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3.png" ContentType="image/png"/>
  <Override PartName="/word/media/rId71.png" ContentType="image/png"/>
  <Override PartName="/word/media/rId42.png" ContentType="image/png"/>
  <Override PartName="/word/media/rId50.png" ContentType="image/png"/>
  <Override PartName="/word/media/rId58.png" ContentType="image/png"/>
  <Override PartName="/word/media/rId88.png" ContentType="image/png"/>
  <Override PartName="/word/media/rId25.png" ContentType="image/png"/>
  <Override PartName="/word/media/rId32.png" ContentType="image/png"/>
  <Override PartName="/word/media/rId38.png" ContentType="image/png"/>
  <Override PartName="/word/media/rId46.png" ContentType="image/png"/>
  <Override PartName="/word/media/rId54.png" ContentType="image/png"/>
  <Override PartName="/word/media/rId67.png" ContentType="image/png"/>
  <Override PartName="/word/media/rId75.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17-0513:</w:t>
      </w:r>
      <w:r>
        <w:t xml:space="preserve"> </w:t>
      </w:r>
      <w:r>
        <w:t xml:space="preserve">Town</w:t>
      </w:r>
      <w:r>
        <w:t xml:space="preserve"> </w:t>
      </w:r>
      <w:r>
        <w:t xml:space="preserve">of</w:t>
      </w:r>
      <w:r>
        <w:t xml:space="preserve"> </w:t>
      </w:r>
      <w:r>
        <w:t xml:space="preserve">Broadway,</w:t>
      </w:r>
      <w:r>
        <w:t xml:space="preserve"> </w:t>
      </w:r>
      <w:r>
        <w:t xml:space="preserve">North</w:t>
      </w:r>
      <w:r>
        <w:t xml:space="preserve"> </w:t>
      </w:r>
      <w:r>
        <w:t xml:space="preserve">Fork</w:t>
      </w:r>
      <w:r>
        <w:t xml:space="preserve"> </w:t>
      </w:r>
      <w:r>
        <w:t xml:space="preserve">Shenandoah</w:t>
      </w:r>
      <w:r>
        <w:t xml:space="preserve"> </w:t>
      </w:r>
      <w:r>
        <w:t xml:space="preserve">River</w:t>
      </w:r>
    </w:p>
    <w:p>
      <w:pPr>
        <w:pStyle w:val="Date"/>
      </w:pPr>
      <w:r>
        <w:t xml:space="preserve">01/23/2023</w:t>
      </w:r>
    </w:p>
    <w:p>
      <w:r>
        <w:br w:type="page"/>
      </w:r>
    </w:p>
    <w:bookmarkStart w:id="21" w:name="project-introduction"/>
    <w:p>
      <w:pPr>
        <w:pStyle w:val="Titre1"/>
      </w:pPr>
      <w:r>
        <w:t xml:space="preserve">Project Introduction</w:t>
      </w:r>
    </w:p>
    <w:p>
      <w:pPr>
        <w:pStyle w:val="Normal"/>
      </w:pPr>
      <w:r>
        <w:t xml:space="preserve">Introduction to facility and intake information (non-model specific).</w:t>
      </w:r>
    </w:p>
    <w:bookmarkStart w:id="20" w:name="location-map"/>
    <w:p>
      <w:pPr>
        <w:pStyle w:val="Titre2"/>
      </w:pPr>
      <w:r>
        <w:t xml:space="preserve">Location Map</w:t>
      </w:r>
    </w:p>
    <w:p>
      <w:pPr>
        <w:pStyle w:val="Normal"/>
      </w:pPr>
      <w:r>
        <w:rPr>
          <w:iCs/>
          <w:i/>
        </w:rPr>
        <w:t xml:space="preserve">No location map available for this facility model</w:t>
      </w:r>
    </w:p>
    <w:p>
      <w:r>
        <w:br w:type="page"/>
      </w:r>
    </w:p>
    <w:bookmarkEnd w:id="20"/>
    <w:bookmarkEnd w:id="21"/>
    <w:bookmarkStart w:id="29"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Watershed/river-segment model overview. Descriptive information about the model location, reach length, whether or not it has an impoundment, and how these are represented in the model.</w:t>
      </w:r>
    </w:p>
    <w:p>
      <w:pPr>
        <w:pStyle w:val="Corpsdetexte"/>
      </w:pPr>
      <w:r>
        <w:rPr>
          <w:bCs/>
          <w:b/>
        </w:rPr>
        <w:t xml:space="preserve">Facility &amp; Intake Model Description</w:t>
      </w:r>
      <w:r>
        <w:t xml:space="preserve"> </w:t>
      </w:r>
      <w:r>
        <w:t xml:space="preserve">The town of Broadway operates an intake on the North Fork Shenandoah river. The NF Shenandoah intake is a short distance upstream of the confluence with Linville Creek, therefore, flow-bys are modeled as including the flow from Linville Creek, thereby increasing the available water for the town’s withdrawal (total drainage area of 231 sq.mi.). The treated wastewater discharge is located between 3.5-4.0 miles downstream of the intake (at 291 sq.mi. drainage), and returns treated effluent into the North Fork Shenandoah River. Therefore, a proposed flowby of 25% at the confluence with Linville Creek would equate to approximately 20% flowby at the discharge return point. Other notable withdrawals also exist in between the Town of Broadway withdrawal and discharge return, including the Food Processors Co-Op withdrawal which ranges between 1.0-1.3 mgd during low-flow periods. Combined flow reductions from these withdrawals amounts to approximately 19% of the 7Q10, 18% of the 30-day low flow, and 8% of the 90-day low flow at the Mount Jackson stream gage, approximately 299 square miles drainage area.</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Style w:val="Compact"/>
      </w:pPr>
      <w:r>
        <w:rPr>
          <w:bCs/>
          <w:b/>
        </w:rPr>
        <w:t xml:space="preserve">runid_11</w:t>
      </w:r>
      <w:r>
        <w:t xml:space="preserve"> </w:t>
      </w:r>
      <w:r>
        <w:t xml:space="preserve">- Run report information not provided.</w:t>
      </w:r>
    </w:p>
    <w:p>
      <w:pPr>
        <w:numPr>
          <w:ilvl w:val="0"/>
          <w:numId w:val="1001"/>
        </w:numPr>
        <w:pStyle w:val="Compact"/>
      </w:pPr>
      <w:r>
        <w:rPr>
          <w:bCs/>
          <w:b/>
        </w:rPr>
        <w:t xml:space="preserve">runid_400</w:t>
      </w:r>
      <w:r>
        <w:t xml:space="preserve"> </w:t>
      </w:r>
      <w:r>
        <w:t xml:space="preserve">- Run report information not provided.</w:t>
      </w:r>
    </w:p>
    <w:p>
      <w:pPr>
        <w:numPr>
          <w:ilvl w:val="0"/>
          <w:numId w:val="1001"/>
        </w:numPr>
        <w:pStyle w:val="Compact"/>
      </w:pPr>
      <w:r>
        <w:rPr>
          <w:bCs/>
          <w:b/>
        </w:rPr>
        <w:t xml:space="preserve">Proposed permit conditions with 75% flowby</w:t>
      </w:r>
      <w:r>
        <w:t xml:space="preserve"> </w:t>
      </w:r>
      <w:r>
        <w:t xml:space="preserve">(Permit Max w/PoF 75%)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bookmarkStart w:id="24" w:name="table-of-modeled-demand-limits"/>
    <w:p>
      <w:pPr>
        <w:pStyle w:val="Titre2"/>
      </w:pPr>
      <w:r>
        <w:t xml:space="preserve">Table of Modeled Demand Limits:</w:t>
      </w:r>
    </w:p>
    <w:tbl xmlns:w14="http://schemas.microsoft.com/office/word/2010/wordml">
      <w:tblPr>
        <w:tblLayout w:type="fixed"/>
        <w:jc w:val="center"/>
        <w:tblLook w:firstRow="1" w:lastRow="0" w:firstColumn="0" w:lastColumn="0" w:noHBand="0" w:noVBand="1"/>
      </w:tblPr>
      <w:tblGrid>
        <w:gridCol w:w="2736"/>
        <w:gridCol w:w="2448"/>
        <w:gridCol w:w="2448"/>
        <w:gridCol w:w="2448"/>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Permit Max w/PoF 75%</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300.00</w:t>
            </w:r>
          </w:p>
        </w:tc>
      </w:tr>
    </w:tbl>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and discharges upstream of the intake location and are presented in Table 1. The Virginia Drought Assessment and Response Plan</w:t>
      </w:r>
      <w:r>
        <w:rPr>
          <w:rStyle w:val="Appelnotedebasdep"/>
        </w:rPr>
        <w:footnoteReference w:id="22"/>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tbl xmlns:w14="http://schemas.microsoft.com/office/word/2010/wordml">
      <w:tblPr>
        <w:tblLayout w:type="fixed"/>
        <w:jc w:val="center"/>
        <w:tblLook w:firstRow="1" w:lastRow="0" w:firstColumn="0" w:lastColumn="0" w:noHBand="0" w:noVBand="1"/>
      </w:tblPr>
      <w:tblGrid>
        <w:gridCol w:w="1022"/>
        <w:gridCol w:w="765"/>
        <w:gridCol w:w="729"/>
        <w:gridCol w:w="851"/>
        <w:gridCol w:w="851"/>
        <w:gridCol w:w="851"/>
        <w:gridCol w:w="851"/>
        <w:gridCol w:w="961"/>
      </w:tblGrid>
      <w:tr>
        <w:trPr>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Mean</w:t>
            </w:r>
          </w:p>
        </w:tc>
      </w:tr>
      <w:tr>
        <w:trPr>
          <w:trHeight w:val="572"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314</w:t>
            </w:r>
          </w:p>
        </w:tc>
      </w:tr>
      <w:tr>
        <w:trPr>
          <w:trHeight w:val="57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346</w:t>
            </w:r>
          </w:p>
        </w:tc>
      </w:tr>
      <w:tr>
        <w:trPr>
          <w:trHeight w:val="572"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423</w:t>
            </w:r>
          </w:p>
        </w:tc>
      </w:tr>
      <w:tr>
        <w:trPr>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358</w:t>
            </w:r>
          </w:p>
        </w:tc>
      </w:tr>
      <w:tr>
        <w:trPr>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302</w:t>
            </w:r>
          </w:p>
        </w:tc>
      </w:tr>
      <w:tr>
        <w:trPr>
          <w:trHeight w:val="572"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208</w:t>
            </w:r>
          </w:p>
        </w:tc>
      </w:tr>
      <w:tr>
        <w:trPr>
          <w:trHeight w:val="572"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113</w:t>
            </w:r>
          </w:p>
        </w:tc>
      </w:tr>
      <w:tr>
        <w:trPr>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104</w:t>
            </w:r>
          </w:p>
        </w:tc>
      </w:tr>
      <w:tr>
        <w:trPr>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205</w:t>
            </w:r>
          </w:p>
        </w:tc>
      </w:tr>
      <w:tr>
        <w:trPr>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171</w:t>
            </w:r>
          </w:p>
        </w:tc>
      </w:tr>
      <w:tr>
        <w:trPr>
          <w:trHeight w:val="57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243</w:t>
            </w:r>
          </w:p>
        </w:tc>
      </w:tr>
      <w:tr>
        <w:trPr>
          <w:trHeight w:val="57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302</w:t>
            </w:r>
          </w:p>
        </w:tc>
      </w:tr>
    </w:tbl>
    <w:p>
      <w:pPr>
        <w:pStyle w:val="Corpsdetexte"/>
      </w:pPr>
      <w:r>
        <w:rPr>
          <w:bCs/>
          <w:b/>
        </w:rPr>
        <w:t xml:space="preserve">Table 1:</w:t>
      </w:r>
      <w:r>
        <w:t xml:space="preserve"> </w:t>
      </w:r>
      <w:r>
        <w:t xml:space="preserve">Modeled monthly current flow statistics for North Fork Shenandoah in cubic feet per second (cfs). Columns show the minimum (Min) and average (Mean) modeled flow, and a range of non-exceedance flow percentiles, that is,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90 cfs.</w:t>
      </w:r>
    </w:p>
    <w:bookmarkEnd w:id="24"/>
    <w:bookmarkStart w:id="28" w:name="X65da31ce28e5fa9b16f4d4d6d51c4e80933fda9"/>
    <w:p>
      <w:pPr>
        <w:pStyle w:val="Titre2"/>
      </w:pPr>
      <w:r>
        <w:t xml:space="preserve">Current Facility Base Demand Before Conservation:</w:t>
      </w:r>
    </w:p>
    <w:p>
      <w:pPr>
        <w:pStyle w:val="Normal"/>
      </w:pPr>
      <w:r>
        <w:drawing>
          <wp:inline>
            <wp:extent cx="5969000" cy="5969000"/>
            <wp:effectExtent b="0" l="0" r="0" t="0"/>
            <wp:docPr descr="" title="" id="1" name="Picture"/>
            <a:graphic>
              <a:graphicData uri="http://schemas.openxmlformats.org/drawingml/2006/picture">
                <pic:pic>
                  <pic:nvPicPr>
                    <pic:cNvPr descr="http://deq1.bse.vt.edu:81/data/proj3/out/fig.monthly_demand.298102.400.png" id="2" name="Picture"/>
                    <pic:cNvPicPr>
                      <a:picLocks noChangeArrowheads="1" noChangeAspect="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28"/>
    <w:bookmarkEnd w:id="29"/>
    <w:bookmarkStart w:id="81" w:name="results"/>
    <w:p>
      <w:pPr>
        <w:pStyle w:val="Titre1"/>
      </w:pPr>
      <w:r>
        <w:t xml:space="preserve">Results</w:t>
      </w:r>
    </w:p>
    <w:bookmarkStart w:id="30" w:name="summary"/>
    <w:p>
      <w:pPr>
        <w:pStyle w:val="Titre2"/>
      </w:pPr>
      <w:r>
        <w:t xml:space="preserve">Summary</w:t>
      </w:r>
    </w:p>
    <w:p>
      <w:pPr>
        <w:pStyle w:val="Normal"/>
      </w:pPr>
      <w:r>
        <w:t xml:space="preserve">Presented below are 3 scenarios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runid_11</w:t>
      </w:r>
      <w:r>
        <w:t xml:space="preserve"> </w:t>
      </w:r>
      <w:r>
        <w:t xml:space="preserve">- Run analysis not provided.</w:t>
      </w:r>
    </w:p>
    <w:p>
      <w:pPr>
        <w:numPr>
          <w:ilvl w:val="0"/>
          <w:numId w:val="1002"/>
        </w:numPr>
        <w:pStyle w:val="Compact"/>
      </w:pPr>
      <w:r>
        <w:rPr>
          <w:bCs/>
          <w:b/>
        </w:rPr>
        <w:t xml:space="preserve">runid_400</w:t>
      </w:r>
      <w:r>
        <w:t xml:space="preserve"> </w:t>
      </w:r>
      <w:r>
        <w:t xml:space="preserve">- Run analysis not provided.</w:t>
      </w:r>
    </w:p>
    <w:p>
      <w:pPr>
        <w:numPr>
          <w:ilvl w:val="0"/>
          <w:numId w:val="1002"/>
        </w:numPr>
        <w:pStyle w:val="Compact"/>
      </w:pPr>
      <w:r>
        <w:rPr>
          <w:bCs/>
          <w:b/>
        </w:rPr>
        <w:t xml:space="preserve">Proposed permit conditions with 75% flowby</w:t>
      </w:r>
      <w:r>
        <w:t xml:space="preserve"> </w:t>
      </w:r>
      <w:r>
        <w:t xml:space="preserve">- The 75% flow-by, with allowance for flows that enter the North Fork Shenandoah from Linville Creek downstream of the intake, results in the full permitted pumping amount during all conditions. While the flow-by was low enough to meet the simulated demands during the most extreme drought simulated without any drought reductions, given the cumulative reduction of flow in the entire river segment above the Broadway STP return flow exceeds 10% under drought warning conditions (10% non-exceedance flow), and exceeds 30% during the most severe drought in the simulation period (see table 3.2.1 columns that show consumptive use percent at</w:t>
      </w:r>
      <w:r>
        <w:t xml:space="preserve"> </w:t>
      </w:r>
      <w:r>
        <w:t xml:space="preserve">“</w:t>
      </w:r>
      <w:r>
        <w:t xml:space="preserve">10%</w:t>
      </w:r>
      <w:r>
        <w:t xml:space="preserve">”</w:t>
      </w:r>
      <w:r>
        <w:t xml:space="preserve"> </w:t>
      </w:r>
      <w:r>
        <w:t xml:space="preserve">“</w:t>
      </w:r>
      <w:r>
        <w:t xml:space="preserve">5%</w:t>
      </w:r>
      <w:r>
        <w:t xml:space="preserve">”</w:t>
      </w:r>
      <w:r>
        <w:t xml:space="preserve"> </w:t>
      </w:r>
      <w:r>
        <w:t xml:space="preserve">and</w:t>
      </w:r>
      <w:r>
        <w:t xml:space="preserve"> </w:t>
      </w:r>
      <w:r>
        <w:t xml:space="preserve">“</w:t>
      </w:r>
      <w:r>
        <w:t xml:space="preserve">Min</w:t>
      </w:r>
      <w:r>
        <w:t xml:space="preserve">”</w:t>
      </w:r>
      <w:r>
        <w:t xml:space="preserve"> </w:t>
      </w:r>
      <w:r>
        <w:t xml:space="preserve">flows), even after considering the additional inflows below the town of Broadway intakes.</w:t>
      </w:r>
    </w:p>
    <w:tbl>
      <w:tblPr>
        <w:tblStyle w:val="Table"/>
        <w:tblW w:type="pct" w:w="5000"/>
        <w:tblLook w:firstRow="1" w:lastRow="0" w:firstColumn="0" w:lastColumn="0" w:noHBand="0" w:noVBand="0" w:val="0020"/>
      </w:tblPr>
      <w:tblGrid>
        <w:gridCol w:w="799"/>
        <w:gridCol w:w="1017"/>
        <w:gridCol w:w="1017"/>
        <w:gridCol w:w="1017"/>
        <w:gridCol w:w="1017"/>
        <w:gridCol w:w="1017"/>
        <w:gridCol w:w="1017"/>
        <w:gridCol w:w="1017"/>
      </w:tblGrid>
      <w:tr>
        <w:trPr>
          <w:tblHeader w:val="true"/>
        </w:trPr>
        <w:tc>
          <w:tcPr/>
          <w:p>
            <w:pPr>
              <w:pStyle w:val="Compact"/>
              <w:jc w:val="left"/>
            </w:pPr>
            <w:r>
              <w:t xml:space="preserve">Month</w:t>
            </w:r>
          </w:p>
        </w:tc>
        <w:tc>
          <w:tcPr/>
          <w:p>
            <w:pPr>
              <w:pStyle w:val="Compact"/>
              <w:jc w:val="left"/>
            </w:pPr>
            <w:r>
              <w:t xml:space="preserve">Min</w:t>
            </w:r>
          </w:p>
        </w:tc>
        <w:tc>
          <w:tcPr/>
          <w:p>
            <w:pPr>
              <w:pStyle w:val="Compact"/>
              <w:jc w:val="left"/>
            </w:pPr>
            <w:r>
              <w:t xml:space="preserve">5%</w:t>
            </w:r>
          </w:p>
        </w:tc>
        <w:tc>
          <w:tcPr/>
          <w:p>
            <w:pPr>
              <w:pStyle w:val="Compact"/>
              <w:jc w:val="left"/>
            </w:pPr>
            <w:r>
              <w:t xml:space="preserve">10%</w:t>
            </w:r>
          </w:p>
        </w:tc>
        <w:tc>
          <w:tcPr/>
          <w:p>
            <w:pPr>
              <w:pStyle w:val="Compact"/>
              <w:jc w:val="left"/>
            </w:pPr>
            <w:r>
              <w:t xml:space="preserve">25%</w:t>
            </w:r>
          </w:p>
        </w:tc>
        <w:tc>
          <w:tcPr/>
          <w:p>
            <w:pPr>
              <w:pStyle w:val="Compact"/>
              <w:jc w:val="left"/>
            </w:pPr>
            <w:r>
              <w:t xml:space="preserve">30%</w:t>
            </w:r>
          </w:p>
        </w:tc>
        <w:tc>
          <w:tcPr/>
          <w:p>
            <w:pPr>
              <w:pStyle w:val="Compact"/>
              <w:jc w:val="left"/>
            </w:pPr>
            <w:r>
              <w:t xml:space="preserve">50%</w:t>
            </w:r>
          </w:p>
        </w:tc>
        <w:tc>
          <w:tcPr/>
          <w:p>
            <w:pPr>
              <w:pStyle w:val="Compact"/>
              <w:jc w:val="left"/>
            </w:pPr>
            <w:r>
              <w:t xml:space="preserve">Mean</w:t>
            </w:r>
          </w:p>
        </w:tc>
      </w:tr>
      <w:tr>
        <w:tc>
          <w:tcPr/>
          <w:p>
            <w:pPr>
              <w:pStyle w:val="Compact"/>
              <w:jc w:val="left"/>
            </w:pPr>
            <w:r>
              <w:t xml:space="preserve">Jan (Jan%)</w:t>
            </w:r>
          </w:p>
        </w:tc>
        <w:tc>
          <w:tcPr/>
          <w:p>
            <w:pPr>
              <w:pStyle w:val="Compact"/>
              <w:jc w:val="left"/>
            </w:pPr>
            <w:r>
              <w:t xml:space="preserve">59.8 (-5%)</w:t>
            </w:r>
          </w:p>
        </w:tc>
        <w:tc>
          <w:tcPr/>
          <w:p>
            <w:pPr>
              <w:pStyle w:val="Compact"/>
              <w:jc w:val="left"/>
            </w:pPr>
            <w:r>
              <w:t xml:space="preserve">105.3 (-2.9%)</w:t>
            </w:r>
          </w:p>
        </w:tc>
        <w:tc>
          <w:tcPr/>
          <w:p>
            <w:pPr>
              <w:pStyle w:val="Compact"/>
              <w:jc w:val="left"/>
            </w:pPr>
            <w:r>
              <w:t xml:space="preserve">156.6 (-2%)</w:t>
            </w:r>
          </w:p>
        </w:tc>
        <w:tc>
          <w:tcPr/>
          <w:p>
            <w:pPr>
              <w:pStyle w:val="Compact"/>
              <w:jc w:val="left"/>
            </w:pPr>
            <w:r>
              <w:t xml:space="preserve">262 (-1.2%)</w:t>
            </w:r>
          </w:p>
        </w:tc>
        <w:tc>
          <w:tcPr/>
          <w:p>
            <w:pPr>
              <w:pStyle w:val="Compact"/>
              <w:jc w:val="left"/>
            </w:pPr>
            <w:r>
              <w:t xml:space="preserve">292.2 (-1.1%)</w:t>
            </w:r>
          </w:p>
        </w:tc>
        <w:tc>
          <w:tcPr/>
          <w:p>
            <w:pPr>
              <w:pStyle w:val="Compact"/>
              <w:jc w:val="left"/>
            </w:pPr>
            <w:r>
              <w:t xml:space="preserve">391.3 (-0.8%)</w:t>
            </w:r>
          </w:p>
        </w:tc>
        <w:tc>
          <w:tcPr/>
          <w:p>
            <w:pPr>
              <w:pStyle w:val="Compact"/>
              <w:jc w:val="left"/>
            </w:pPr>
            <w:r>
              <w:t xml:space="preserve">573.7 (-1%)</w:t>
            </w:r>
          </w:p>
        </w:tc>
      </w:tr>
      <w:tr>
        <w:tc>
          <w:tcPr/>
          <w:p>
            <w:pPr>
              <w:pStyle w:val="Compact"/>
              <w:jc w:val="left"/>
            </w:pPr>
            <w:r>
              <w:t xml:space="preserve">Feb (Feb%)</w:t>
            </w:r>
          </w:p>
        </w:tc>
        <w:tc>
          <w:tcPr/>
          <w:p>
            <w:pPr>
              <w:pStyle w:val="Compact"/>
              <w:jc w:val="left"/>
            </w:pPr>
            <w:r>
              <w:t xml:space="preserve">34 (-8.7%)</w:t>
            </w:r>
          </w:p>
        </w:tc>
        <w:tc>
          <w:tcPr/>
          <w:p>
            <w:pPr>
              <w:pStyle w:val="Compact"/>
              <w:jc w:val="left"/>
            </w:pPr>
            <w:r>
              <w:t xml:space="preserve">153.1 (-2.1%)</w:t>
            </w:r>
          </w:p>
        </w:tc>
        <w:tc>
          <w:tcPr/>
          <w:p>
            <w:pPr>
              <w:pStyle w:val="Compact"/>
              <w:jc w:val="left"/>
            </w:pPr>
            <w:r>
              <w:t xml:space="preserve">202.8 (-1.6%)</w:t>
            </w:r>
          </w:p>
        </w:tc>
        <w:tc>
          <w:tcPr/>
          <w:p>
            <w:pPr>
              <w:pStyle w:val="Compact"/>
              <w:jc w:val="left"/>
            </w:pPr>
            <w:r>
              <w:t xml:space="preserve">321.6 (-1%)</w:t>
            </w:r>
          </w:p>
        </w:tc>
        <w:tc>
          <w:tcPr/>
          <w:p>
            <w:pPr>
              <w:pStyle w:val="Compact"/>
              <w:jc w:val="left"/>
            </w:pPr>
            <w:r>
              <w:t xml:space="preserve">352.1 (-0.9%)</w:t>
            </w:r>
          </w:p>
        </w:tc>
        <w:tc>
          <w:tcPr/>
          <w:p>
            <w:pPr>
              <w:pStyle w:val="Compact"/>
              <w:jc w:val="left"/>
            </w:pPr>
            <w:r>
              <w:t xml:space="preserve">441.9 (-0.7%)</w:t>
            </w:r>
          </w:p>
        </w:tc>
        <w:tc>
          <w:tcPr/>
          <w:p>
            <w:pPr>
              <w:pStyle w:val="Compact"/>
              <w:jc w:val="left"/>
            </w:pPr>
            <w:r>
              <w:t xml:space="preserve">641.1 (-0.9%)</w:t>
            </w:r>
          </w:p>
        </w:tc>
      </w:tr>
      <w:tr>
        <w:tc>
          <w:tcPr/>
          <w:p>
            <w:pPr>
              <w:pStyle w:val="Compact"/>
              <w:jc w:val="left"/>
            </w:pPr>
            <w:r>
              <w:t xml:space="preserve">Mar (Mar%)</w:t>
            </w:r>
          </w:p>
        </w:tc>
        <w:tc>
          <w:tcPr/>
          <w:p>
            <w:pPr>
              <w:pStyle w:val="Compact"/>
              <w:jc w:val="left"/>
            </w:pPr>
            <w:r>
              <w:t xml:space="preserve">29.6 (-9.6%)</w:t>
            </w:r>
          </w:p>
        </w:tc>
        <w:tc>
          <w:tcPr/>
          <w:p>
            <w:pPr>
              <w:pStyle w:val="Compact"/>
              <w:jc w:val="left"/>
            </w:pPr>
            <w:r>
              <w:t xml:space="preserve">151.8 (-2%)</w:t>
            </w:r>
          </w:p>
        </w:tc>
        <w:tc>
          <w:tcPr/>
          <w:p>
            <w:pPr>
              <w:pStyle w:val="Compact"/>
              <w:jc w:val="left"/>
            </w:pPr>
            <w:r>
              <w:t xml:space="preserve">206.2 (-1.5%)</w:t>
            </w:r>
          </w:p>
        </w:tc>
        <w:tc>
          <w:tcPr/>
          <w:p>
            <w:pPr>
              <w:pStyle w:val="Compact"/>
              <w:jc w:val="left"/>
            </w:pPr>
            <w:r>
              <w:t xml:space="preserve">334.7 (-0.9%)</w:t>
            </w:r>
          </w:p>
        </w:tc>
        <w:tc>
          <w:tcPr/>
          <w:p>
            <w:pPr>
              <w:pStyle w:val="Compact"/>
              <w:jc w:val="left"/>
            </w:pPr>
            <w:r>
              <w:t xml:space="preserve">364 (-0.9%)</w:t>
            </w:r>
          </w:p>
        </w:tc>
        <w:tc>
          <w:tcPr/>
          <w:p>
            <w:pPr>
              <w:pStyle w:val="Compact"/>
              <w:jc w:val="left"/>
            </w:pPr>
            <w:r>
              <w:t xml:space="preserve">509.2 (-0.6%)</w:t>
            </w:r>
          </w:p>
        </w:tc>
        <w:tc>
          <w:tcPr/>
          <w:p>
            <w:pPr>
              <w:pStyle w:val="Compact"/>
              <w:jc w:val="left"/>
            </w:pPr>
            <w:r>
              <w:t xml:space="preserve">756.8 (-0.8%)</w:t>
            </w:r>
          </w:p>
        </w:tc>
      </w:tr>
      <w:tr>
        <w:tc>
          <w:tcPr/>
          <w:p>
            <w:pPr>
              <w:pStyle w:val="Compact"/>
              <w:jc w:val="left"/>
            </w:pPr>
            <w:r>
              <w:t xml:space="preserve">Apr (Apr%)</w:t>
            </w:r>
          </w:p>
        </w:tc>
        <w:tc>
          <w:tcPr/>
          <w:p>
            <w:pPr>
              <w:pStyle w:val="Compact"/>
              <w:jc w:val="left"/>
            </w:pPr>
            <w:r>
              <w:t xml:space="preserve">80.4 (-3.8%)</w:t>
            </w:r>
          </w:p>
        </w:tc>
        <w:tc>
          <w:tcPr/>
          <w:p>
            <w:pPr>
              <w:pStyle w:val="Compact"/>
              <w:jc w:val="left"/>
            </w:pPr>
            <w:r>
              <w:t xml:space="preserve">143.8 (-2.2%)</w:t>
            </w:r>
          </w:p>
        </w:tc>
        <w:tc>
          <w:tcPr/>
          <w:p>
            <w:pPr>
              <w:pStyle w:val="Compact"/>
              <w:jc w:val="left"/>
            </w:pPr>
            <w:r>
              <w:t xml:space="preserve">184.5 (-1.7%)</w:t>
            </w:r>
          </w:p>
        </w:tc>
        <w:tc>
          <w:tcPr/>
          <w:p>
            <w:pPr>
              <w:pStyle w:val="Compact"/>
              <w:jc w:val="left"/>
            </w:pPr>
            <w:r>
              <w:t xml:space="preserve">289.9 (-1.1%)</w:t>
            </w:r>
          </w:p>
        </w:tc>
        <w:tc>
          <w:tcPr/>
          <w:p>
            <w:pPr>
              <w:pStyle w:val="Compact"/>
              <w:jc w:val="left"/>
            </w:pPr>
            <w:r>
              <w:t xml:space="preserve">319.1 (-1%)</w:t>
            </w:r>
          </w:p>
        </w:tc>
        <w:tc>
          <w:tcPr/>
          <w:p>
            <w:pPr>
              <w:pStyle w:val="Compact"/>
              <w:jc w:val="left"/>
            </w:pPr>
            <w:r>
              <w:t xml:space="preserve">424.5 (-0.7%)</w:t>
            </w:r>
          </w:p>
        </w:tc>
        <w:tc>
          <w:tcPr/>
          <w:p>
            <w:pPr>
              <w:pStyle w:val="Compact"/>
              <w:jc w:val="left"/>
            </w:pPr>
            <w:r>
              <w:t xml:space="preserve">651.2 (-0.9%)</w:t>
            </w:r>
          </w:p>
        </w:tc>
      </w:tr>
      <w:tr>
        <w:tc>
          <w:tcPr/>
          <w:p>
            <w:pPr>
              <w:pStyle w:val="Compact"/>
              <w:jc w:val="left"/>
            </w:pPr>
            <w:r>
              <w:t xml:space="preserve">May (May%)</w:t>
            </w:r>
          </w:p>
        </w:tc>
        <w:tc>
          <w:tcPr/>
          <w:p>
            <w:pPr>
              <w:pStyle w:val="Compact"/>
              <w:jc w:val="left"/>
            </w:pPr>
            <w:r>
              <w:t xml:space="preserve">77.2 (-4.1%)</w:t>
            </w:r>
          </w:p>
        </w:tc>
        <w:tc>
          <w:tcPr/>
          <w:p>
            <w:pPr>
              <w:pStyle w:val="Compact"/>
              <w:jc w:val="left"/>
            </w:pPr>
            <w:r>
              <w:t xml:space="preserve">138.4 (-2.3%)</w:t>
            </w:r>
          </w:p>
        </w:tc>
        <w:tc>
          <w:tcPr/>
          <w:p>
            <w:pPr>
              <w:pStyle w:val="Compact"/>
              <w:jc w:val="left"/>
            </w:pPr>
            <w:r>
              <w:t xml:space="preserve">171.3 (-1.9%)</w:t>
            </w:r>
          </w:p>
        </w:tc>
        <w:tc>
          <w:tcPr/>
          <w:p>
            <w:pPr>
              <w:pStyle w:val="Compact"/>
              <w:jc w:val="left"/>
            </w:pPr>
            <w:r>
              <w:t xml:space="preserve">244.6 (-1.3%)</w:t>
            </w:r>
          </w:p>
        </w:tc>
        <w:tc>
          <w:tcPr/>
          <w:p>
            <w:pPr>
              <w:pStyle w:val="Compact"/>
              <w:jc w:val="left"/>
            </w:pPr>
            <w:r>
              <w:t xml:space="preserve">271.6 (-1.2%)</w:t>
            </w:r>
          </w:p>
        </w:tc>
        <w:tc>
          <w:tcPr/>
          <w:p>
            <w:pPr>
              <w:pStyle w:val="Compact"/>
              <w:jc w:val="left"/>
            </w:pPr>
            <w:r>
              <w:t xml:space="preserve">392.1 (-0.8%)</w:t>
            </w:r>
          </w:p>
        </w:tc>
        <w:tc>
          <w:tcPr/>
          <w:p>
            <w:pPr>
              <w:pStyle w:val="Compact"/>
              <w:jc w:val="left"/>
            </w:pPr>
            <w:r>
              <w:t xml:space="preserve">564 (-1%)</w:t>
            </w:r>
          </w:p>
        </w:tc>
      </w:tr>
      <w:tr>
        <w:tc>
          <w:tcPr/>
          <w:p>
            <w:pPr>
              <w:pStyle w:val="Compact"/>
              <w:jc w:val="left"/>
            </w:pPr>
            <w:r>
              <w:t xml:space="preserve">Jun (Jun%)</w:t>
            </w:r>
          </w:p>
        </w:tc>
        <w:tc>
          <w:tcPr/>
          <w:p>
            <w:pPr>
              <w:pStyle w:val="Compact"/>
              <w:jc w:val="left"/>
            </w:pPr>
            <w:r>
              <w:t xml:space="preserve">27.5 (-11.6%)</w:t>
            </w:r>
          </w:p>
        </w:tc>
        <w:tc>
          <w:tcPr/>
          <w:p>
            <w:pPr>
              <w:pStyle w:val="Compact"/>
              <w:jc w:val="left"/>
            </w:pPr>
            <w:r>
              <w:t xml:space="preserve">63.8 (-5.3%)</w:t>
            </w:r>
          </w:p>
        </w:tc>
        <w:tc>
          <w:tcPr/>
          <w:p>
            <w:pPr>
              <w:pStyle w:val="Compact"/>
              <w:jc w:val="left"/>
            </w:pPr>
            <w:r>
              <w:t xml:space="preserve">87.2 (-4%)</w:t>
            </w:r>
          </w:p>
        </w:tc>
        <w:tc>
          <w:tcPr/>
          <w:p>
            <w:pPr>
              <w:pStyle w:val="Compact"/>
              <w:jc w:val="left"/>
            </w:pPr>
            <w:r>
              <w:t xml:space="preserve">132.7 (-2.6%)</w:t>
            </w:r>
          </w:p>
        </w:tc>
        <w:tc>
          <w:tcPr/>
          <w:p>
            <w:pPr>
              <w:pStyle w:val="Compact"/>
              <w:jc w:val="left"/>
            </w:pPr>
            <w:r>
              <w:t xml:space="preserve">149.5 (-2.4%)</w:t>
            </w:r>
          </w:p>
        </w:tc>
        <w:tc>
          <w:tcPr/>
          <w:p>
            <w:pPr>
              <w:pStyle w:val="Compact"/>
              <w:jc w:val="left"/>
            </w:pPr>
            <w:r>
              <w:t xml:space="preserve">225.8 (-1.6%)</w:t>
            </w:r>
          </w:p>
        </w:tc>
        <w:tc>
          <w:tcPr/>
          <w:p>
            <w:pPr>
              <w:pStyle w:val="Compact"/>
              <w:jc w:val="left"/>
            </w:pPr>
            <w:r>
              <w:t xml:space="preserve">398.2 (-2%)</w:t>
            </w:r>
          </w:p>
        </w:tc>
      </w:tr>
      <w:tr>
        <w:tc>
          <w:tcPr/>
          <w:p>
            <w:pPr>
              <w:pStyle w:val="Compact"/>
              <w:jc w:val="left"/>
            </w:pPr>
            <w:r>
              <w:t xml:space="preserve">Jul (Jul%)</w:t>
            </w:r>
          </w:p>
        </w:tc>
        <w:tc>
          <w:tcPr/>
          <w:p>
            <w:pPr>
              <w:pStyle w:val="Compact"/>
              <w:jc w:val="left"/>
            </w:pPr>
            <w:r>
              <w:t xml:space="preserve">12.6 (-23.2%)</w:t>
            </w:r>
          </w:p>
        </w:tc>
        <w:tc>
          <w:tcPr/>
          <w:p>
            <w:pPr>
              <w:pStyle w:val="Compact"/>
              <w:jc w:val="left"/>
            </w:pPr>
            <w:r>
              <w:t xml:space="preserve">39 (-8.9%)</w:t>
            </w:r>
          </w:p>
        </w:tc>
        <w:tc>
          <w:tcPr/>
          <w:p>
            <w:pPr>
              <w:pStyle w:val="Compact"/>
              <w:jc w:val="left"/>
            </w:pPr>
            <w:r>
              <w:t xml:space="preserve">48.6 (-7.3%)</w:t>
            </w:r>
          </w:p>
        </w:tc>
        <w:tc>
          <w:tcPr/>
          <w:p>
            <w:pPr>
              <w:pStyle w:val="Compact"/>
              <w:jc w:val="left"/>
            </w:pPr>
            <w:r>
              <w:t xml:space="preserve">80 (-4.5%)</w:t>
            </w:r>
          </w:p>
        </w:tc>
        <w:tc>
          <w:tcPr/>
          <w:p>
            <w:pPr>
              <w:pStyle w:val="Compact"/>
              <w:jc w:val="left"/>
            </w:pPr>
            <w:r>
              <w:t xml:space="preserve">90.1 (-4.1%)</w:t>
            </w:r>
          </w:p>
        </w:tc>
        <w:tc>
          <w:tcPr/>
          <w:p>
            <w:pPr>
              <w:pStyle w:val="Compact"/>
              <w:jc w:val="left"/>
            </w:pPr>
            <w:r>
              <w:t xml:space="preserve">140.6 (-2.6%)</w:t>
            </w:r>
          </w:p>
        </w:tc>
        <w:tc>
          <w:tcPr/>
          <w:p>
            <w:pPr>
              <w:pStyle w:val="Compact"/>
              <w:jc w:val="left"/>
            </w:pPr>
            <w:r>
              <w:t xml:space="preserve">216.6 (-3.5%)</w:t>
            </w:r>
          </w:p>
        </w:tc>
      </w:tr>
      <w:tr>
        <w:tc>
          <w:tcPr/>
          <w:p>
            <w:pPr>
              <w:pStyle w:val="Compact"/>
              <w:jc w:val="left"/>
            </w:pPr>
            <w:r>
              <w:t xml:space="preserve">Aug (Aug%)</w:t>
            </w:r>
          </w:p>
        </w:tc>
        <w:tc>
          <w:tcPr/>
          <w:p>
            <w:pPr>
              <w:pStyle w:val="Compact"/>
              <w:jc w:val="left"/>
            </w:pPr>
            <w:r>
              <w:t xml:space="preserve">7.3 (-33.9%)</w:t>
            </w:r>
          </w:p>
        </w:tc>
        <w:tc>
          <w:tcPr/>
          <w:p>
            <w:pPr>
              <w:pStyle w:val="Compact"/>
              <w:jc w:val="left"/>
            </w:pPr>
            <w:r>
              <w:t xml:space="preserve">29.3 (-11.3%)</w:t>
            </w:r>
          </w:p>
        </w:tc>
        <w:tc>
          <w:tcPr/>
          <w:p>
            <w:pPr>
              <w:pStyle w:val="Compact"/>
              <w:jc w:val="left"/>
            </w:pPr>
            <w:r>
              <w:t xml:space="preserve">39.9 (-8.6%)</w:t>
            </w:r>
          </w:p>
        </w:tc>
        <w:tc>
          <w:tcPr/>
          <w:p>
            <w:pPr>
              <w:pStyle w:val="Compact"/>
              <w:jc w:val="left"/>
            </w:pPr>
            <w:r>
              <w:t xml:space="preserve">68.8 (-5.1%)</w:t>
            </w:r>
          </w:p>
        </w:tc>
        <w:tc>
          <w:tcPr/>
          <w:p>
            <w:pPr>
              <w:pStyle w:val="Compact"/>
              <w:jc w:val="left"/>
            </w:pPr>
            <w:r>
              <w:t xml:space="preserve">79.2 (-4.5%)</w:t>
            </w:r>
          </w:p>
        </w:tc>
        <w:tc>
          <w:tcPr/>
          <w:p>
            <w:pPr>
              <w:pStyle w:val="Compact"/>
              <w:jc w:val="left"/>
            </w:pPr>
            <w:r>
              <w:t xml:space="preserve">115.2 (-3.1%)</w:t>
            </w:r>
          </w:p>
        </w:tc>
        <w:tc>
          <w:tcPr/>
          <w:p>
            <w:pPr>
              <w:pStyle w:val="Compact"/>
              <w:jc w:val="left"/>
            </w:pPr>
            <w:r>
              <w:t xml:space="preserve">199 (-4.2%)</w:t>
            </w:r>
          </w:p>
        </w:tc>
      </w:tr>
      <w:tr>
        <w:tc>
          <w:tcPr/>
          <w:p>
            <w:pPr>
              <w:pStyle w:val="Compact"/>
              <w:jc w:val="left"/>
            </w:pPr>
            <w:r>
              <w:t xml:space="preserve">Sep (Sep%)</w:t>
            </w:r>
          </w:p>
        </w:tc>
        <w:tc>
          <w:tcPr/>
          <w:p>
            <w:pPr>
              <w:pStyle w:val="Compact"/>
              <w:jc w:val="left"/>
            </w:pPr>
            <w:r>
              <w:t xml:space="preserve">8.5 (-28.2%)</w:t>
            </w:r>
          </w:p>
        </w:tc>
        <w:tc>
          <w:tcPr/>
          <w:p>
            <w:pPr>
              <w:pStyle w:val="Compact"/>
              <w:jc w:val="left"/>
            </w:pPr>
            <w:r>
              <w:t xml:space="preserve">22.5 (-12.9%)</w:t>
            </w:r>
          </w:p>
        </w:tc>
        <w:tc>
          <w:tcPr/>
          <w:p>
            <w:pPr>
              <w:pStyle w:val="Compact"/>
              <w:jc w:val="left"/>
            </w:pPr>
            <w:r>
              <w:t xml:space="preserve">29.8 (-10%)</w:t>
            </w:r>
          </w:p>
        </w:tc>
        <w:tc>
          <w:tcPr/>
          <w:p>
            <w:pPr>
              <w:pStyle w:val="Compact"/>
              <w:jc w:val="left"/>
            </w:pPr>
            <w:r>
              <w:t xml:space="preserve">52.4 (-6%)</w:t>
            </w:r>
          </w:p>
        </w:tc>
        <w:tc>
          <w:tcPr/>
          <w:p>
            <w:pPr>
              <w:pStyle w:val="Compact"/>
              <w:jc w:val="left"/>
            </w:pPr>
            <w:r>
              <w:t xml:space="preserve">58 (-5.4%)</w:t>
            </w:r>
          </w:p>
        </w:tc>
        <w:tc>
          <w:tcPr/>
          <w:p>
            <w:pPr>
              <w:pStyle w:val="Compact"/>
              <w:jc w:val="left"/>
            </w:pPr>
            <w:r>
              <w:t xml:space="preserve">98.5 (-3.3%)</w:t>
            </w:r>
          </w:p>
        </w:tc>
        <w:tc>
          <w:tcPr/>
          <w:p>
            <w:pPr>
              <w:pStyle w:val="Compact"/>
              <w:jc w:val="left"/>
            </w:pPr>
            <w:r>
              <w:t xml:space="preserve">375.4 (-4.3%)</w:t>
            </w:r>
          </w:p>
        </w:tc>
      </w:tr>
      <w:tr>
        <w:tc>
          <w:tcPr/>
          <w:p>
            <w:pPr>
              <w:pStyle w:val="Compact"/>
              <w:jc w:val="left"/>
            </w:pPr>
            <w:r>
              <w:t xml:space="preserve">Oct (Oct%)</w:t>
            </w:r>
          </w:p>
        </w:tc>
        <w:tc>
          <w:tcPr/>
          <w:p>
            <w:pPr>
              <w:pStyle w:val="Compact"/>
              <w:jc w:val="left"/>
            </w:pPr>
            <w:r>
              <w:t xml:space="preserve">10.9 (-21.3%)</w:t>
            </w:r>
          </w:p>
        </w:tc>
        <w:tc>
          <w:tcPr/>
          <w:p>
            <w:pPr>
              <w:pStyle w:val="Compact"/>
              <w:jc w:val="left"/>
            </w:pPr>
            <w:r>
              <w:t xml:space="preserve">21.5 (-12%)</w:t>
            </w:r>
          </w:p>
        </w:tc>
        <w:tc>
          <w:tcPr/>
          <w:p>
            <w:pPr>
              <w:pStyle w:val="Compact"/>
              <w:jc w:val="left"/>
            </w:pPr>
            <w:r>
              <w:t xml:space="preserve">35.6 (-7.6%)</w:t>
            </w:r>
          </w:p>
        </w:tc>
        <w:tc>
          <w:tcPr/>
          <w:p>
            <w:pPr>
              <w:pStyle w:val="Compact"/>
              <w:jc w:val="left"/>
            </w:pPr>
            <w:r>
              <w:t xml:space="preserve">65.3 (-4.3%)</w:t>
            </w:r>
          </w:p>
        </w:tc>
        <w:tc>
          <w:tcPr/>
          <w:p>
            <w:pPr>
              <w:pStyle w:val="Compact"/>
              <w:jc w:val="left"/>
            </w:pPr>
            <w:r>
              <w:t xml:space="preserve">77.7 (-3.6%)</w:t>
            </w:r>
          </w:p>
        </w:tc>
        <w:tc>
          <w:tcPr/>
          <w:p>
            <w:pPr>
              <w:pStyle w:val="Compact"/>
              <w:jc w:val="left"/>
            </w:pPr>
            <w:r>
              <w:t xml:space="preserve">155.5 (-1.9%)</w:t>
            </w:r>
          </w:p>
        </w:tc>
        <w:tc>
          <w:tcPr/>
          <w:p>
            <w:pPr>
              <w:pStyle w:val="Compact"/>
              <w:jc w:val="left"/>
            </w:pPr>
            <w:r>
              <w:t xml:space="preserve">314.9 (-3.2%)</w:t>
            </w:r>
          </w:p>
        </w:tc>
      </w:tr>
      <w:tr>
        <w:tc>
          <w:tcPr/>
          <w:p>
            <w:pPr>
              <w:pStyle w:val="Compact"/>
              <w:jc w:val="left"/>
            </w:pPr>
            <w:r>
              <w:t xml:space="preserve">Nov (Nov%)</w:t>
            </w:r>
          </w:p>
        </w:tc>
        <w:tc>
          <w:tcPr/>
          <w:p>
            <w:pPr>
              <w:pStyle w:val="Compact"/>
              <w:jc w:val="left"/>
            </w:pPr>
            <w:r>
              <w:t xml:space="preserve">7.3 (-28.7%)</w:t>
            </w:r>
          </w:p>
        </w:tc>
        <w:tc>
          <w:tcPr/>
          <w:p>
            <w:pPr>
              <w:pStyle w:val="Compact"/>
              <w:jc w:val="left"/>
            </w:pPr>
            <w:r>
              <w:t xml:space="preserve">29.2 (-9.2%)</w:t>
            </w:r>
          </w:p>
        </w:tc>
        <w:tc>
          <w:tcPr/>
          <w:p>
            <w:pPr>
              <w:pStyle w:val="Compact"/>
              <w:jc w:val="left"/>
            </w:pPr>
            <w:r>
              <w:t xml:space="preserve">59.7 (-4.7%)</w:t>
            </w:r>
          </w:p>
        </w:tc>
        <w:tc>
          <w:tcPr/>
          <w:p>
            <w:pPr>
              <w:pStyle w:val="Compact"/>
              <w:jc w:val="left"/>
            </w:pPr>
            <w:r>
              <w:t xml:space="preserve">105.4 (-2.7%)</w:t>
            </w:r>
          </w:p>
        </w:tc>
        <w:tc>
          <w:tcPr/>
          <w:p>
            <w:pPr>
              <w:pStyle w:val="Compact"/>
              <w:jc w:val="left"/>
            </w:pPr>
            <w:r>
              <w:t xml:space="preserve">127.6 (-2.3%)</w:t>
            </w:r>
          </w:p>
        </w:tc>
        <w:tc>
          <w:tcPr/>
          <w:p>
            <w:pPr>
              <w:pStyle w:val="Compact"/>
              <w:jc w:val="left"/>
            </w:pPr>
            <w:r>
              <w:t xml:space="preserve">220.2 (-1.3%)</w:t>
            </w:r>
          </w:p>
        </w:tc>
        <w:tc>
          <w:tcPr/>
          <w:p>
            <w:pPr>
              <w:pStyle w:val="Compact"/>
              <w:jc w:val="left"/>
            </w:pPr>
            <w:r>
              <w:t xml:space="preserve">437.2 (-2.5%)</w:t>
            </w:r>
          </w:p>
        </w:tc>
      </w:tr>
      <w:tr>
        <w:tc>
          <w:tcPr/>
          <w:p>
            <w:pPr>
              <w:pStyle w:val="Compact"/>
              <w:jc w:val="left"/>
            </w:pPr>
            <w:r>
              <w:t xml:space="preserve">Dec (Dec%)</w:t>
            </w:r>
          </w:p>
        </w:tc>
        <w:tc>
          <w:tcPr/>
          <w:p>
            <w:pPr>
              <w:pStyle w:val="Compact"/>
              <w:jc w:val="left"/>
            </w:pPr>
            <w:r>
              <w:t xml:space="preserve">10.4 (-22.5%)</w:t>
            </w:r>
          </w:p>
        </w:tc>
        <w:tc>
          <w:tcPr/>
          <w:p>
            <w:pPr>
              <w:pStyle w:val="Compact"/>
              <w:jc w:val="left"/>
            </w:pPr>
            <w:r>
              <w:t xml:space="preserve">78.4 (-3.7%)</w:t>
            </w:r>
          </w:p>
        </w:tc>
        <w:tc>
          <w:tcPr/>
          <w:p>
            <w:pPr>
              <w:pStyle w:val="Compact"/>
              <w:jc w:val="left"/>
            </w:pPr>
            <w:r>
              <w:t xml:space="preserve">108.6 (-2.7%)</w:t>
            </w:r>
          </w:p>
        </w:tc>
        <w:tc>
          <w:tcPr/>
          <w:p>
            <w:pPr>
              <w:pStyle w:val="Compact"/>
              <w:jc w:val="left"/>
            </w:pPr>
            <w:r>
              <w:t xml:space="preserve">214.8 (-1.4%)</w:t>
            </w:r>
          </w:p>
        </w:tc>
        <w:tc>
          <w:tcPr/>
          <w:p>
            <w:pPr>
              <w:pStyle w:val="Compact"/>
              <w:jc w:val="left"/>
            </w:pPr>
            <w:r>
              <w:t xml:space="preserve">246.6 (-1.2%)</w:t>
            </w:r>
          </w:p>
        </w:tc>
        <w:tc>
          <w:tcPr/>
          <w:p>
            <w:pPr>
              <w:pStyle w:val="Compact"/>
              <w:jc w:val="left"/>
            </w:pPr>
            <w:r>
              <w:t xml:space="preserve">387.7 (-0.8%)</w:t>
            </w:r>
          </w:p>
        </w:tc>
        <w:tc>
          <w:tcPr/>
          <w:p>
            <w:pPr>
              <w:pStyle w:val="Compact"/>
              <w:jc w:val="left"/>
            </w:pPr>
            <w:r>
              <w:t xml:space="preserve">556.8 (-1.3%)</w:t>
            </w:r>
          </w:p>
        </w:tc>
      </w:tr>
    </w:tbl>
    <w:p>
      <w:pPr>
        <w:pStyle w:val="Corpsdetexte"/>
      </w:pPr>
      <w:r>
        <w:rPr>
          <w:bCs/>
          <w:b/>
        </w:rPr>
        <w:t xml:space="preserve">Table 3.2.1</w:t>
      </w:r>
      <w:r>
        <w:t xml:space="preserve"> </w:t>
      </w:r>
      <w:r>
        <w:t xml:space="preserve">Cumulative flow reductions simulated in the North Fork Shenandoah River above the Mount Jackson USGS flow gage, prior to the return of treated effluent from the Broadway Regional WWTP.</w:t>
      </w:r>
    </w:p>
    <w:bookmarkEnd w:id="30"/>
    <w:bookmarkStart w:id="31" w:name="conclusion"/>
    <w:p>
      <w:pPr>
        <w:pStyle w:val="Titre2"/>
      </w:pPr>
      <w:r>
        <w:t xml:space="preserve">Conclusion</w:t>
      </w:r>
    </w:p>
    <w:p>
      <w:pPr>
        <w:numPr>
          <w:ilvl w:val="0"/>
          <w:numId w:val="1003"/>
        </w:numPr>
        <w:pStyle w:val="Compact"/>
      </w:pPr>
      <w:r>
        <w:rPr>
          <w:bCs/>
          <w:b/>
        </w:rPr>
        <w:t xml:space="preserve">Proposed permit conditions with 75% flowby</w:t>
      </w:r>
      <w:r>
        <w:t xml:space="preserve"> </w:t>
      </w:r>
      <w:r>
        <w:t xml:space="preserve">- If this scenario is the preferred scenario, add remarks here for inclusion in final analysis.</w:t>
      </w:r>
    </w:p>
    <w:bookmarkEnd w:id="31"/>
    <w:bookmarkStart w:id="35" w:name="X5b4c7174894926bc19499978438dfbf90eaa54a"/>
    <w:p>
      <w:pPr>
        <w:pStyle w:val="Titre2"/>
      </w:pPr>
      <w:r>
        <w:t xml:space="preserve">Facility Base Demand Before Conservation: Proposed permit conditions with 75% flowby</w:t>
      </w:r>
    </w:p>
    <w:p>
      <w:pPr>
        <w:pStyle w:val="Normal"/>
      </w:pPr>
      <w:r>
        <w:drawing>
          <wp:inline>
            <wp:extent cx="5969000" cy="5969000"/>
            <wp:effectExtent b="0" l="0" r="0" t="0"/>
            <wp:docPr descr="" title="" id="3" name="Picture"/>
            <a:graphic>
              <a:graphicData uri="http://schemas.openxmlformats.org/drawingml/2006/picture">
                <pic:pic>
                  <pic:nvPicPr>
                    <pic:cNvPr descr="http://deq1.bse.vt.edu:81/data/proj3/out/fig.monthly_demand.298102.600.png" id="4" name="Picture"/>
                    <pic:cNvPicPr>
                      <a:picLocks noChangeArrowheads="1" noChangeAspect="1"/>
                    </pic:cNvPicPr>
                  </pic:nvPicPr>
                  <pic:blipFill>
                    <a:blip r:embed="rId32"/>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35"/>
    <w:bookmarkStart w:id="80"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footerReference r:id="rId9" w:type="default"/>
          <w:footerReference r:id="rId10" w:type="even"/>
          <w:cols/>
          <w:pgSz w:h="16848" w:w="11952" w:orient="portrait"/>
          <w:pgMar w:header="0" w:bottom="720" w:top="720" w:right="1440" w:left="720" w:footer="0" w:gutter="720"/>
        </w:sectPr>
      </w:pPr>
    </w:p>
    <w:bookmarkStart w:id="36" w:name="summary-of-results"/>
    <w:p>
      <w:pPr>
        <w:pStyle w:val="Titre3"/>
      </w:pPr>
      <w:r>
        <w:t xml:space="preserve">Summary of Results:</w:t>
      </w:r>
    </w:p>
    <w:tbl xmlns:w14="http://schemas.microsoft.com/office/word/2010/wordml">
      <w:tblPr>
        <w:tblLayout w:type="fixed"/>
        <w:jc w:val="center"/>
        <w:tblLook w:firstRow="1" w:lastRow="0" w:firstColumn="0" w:lastColumn="0" w:noHBand="0" w:noVBand="1"/>
      </w:tblPr>
      <w:tblGrid>
        <w:gridCol w:w="3600"/>
        <w:gridCol w:w="2736"/>
        <w:gridCol w:w="2736"/>
        <w:gridCol w:w="2736"/>
      </w:tblGrid>
      <w:tr>
        <w:trPr>
          <w:trHeight w:val="613"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Permit Max w/PoF 75%</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533.39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472.6</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14.29</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38.41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38.41</w:t>
            </w:r>
          </w:p>
        </w:tc>
      </w:tr>
      <w:tr>
        <w:trPr>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0.71</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36"/>
    <w:bookmarkStart w:id="37"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p>
    <w:p>
      <w:r>
        <w:br w:type="page"/>
      </w:r>
    </w:p>
    <w:bookmarkEnd w:id="37"/>
    <w:bookmarkStart w:id="62"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41" w:name="heatmap-runid_11"/>
    <w:p>
      <w:pPr>
        <w:pStyle w:val="Titre4"/>
      </w:pPr>
      <w:r>
        <w:t xml:space="preserve">Heatmap: runid_11</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298102.11.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5" w:name="hydrograph-runid_11"/>
    <w:p>
      <w:pPr>
        <w:pStyle w:val="Titre4"/>
      </w:pPr>
      <w:r>
        <w:t xml:space="preserve">Hydrograph: runid_11</w:t>
      </w:r>
    </w:p>
    <w:p>
      <w:pPr>
        <w:pStyle w:val="Normal"/>
      </w:pPr>
      <w:r>
        <w:drawing>
          <wp:inline>
            <wp:extent cx="5969000" cy="4050392"/>
            <wp:effectExtent b="0" l="0" r="0" t="0"/>
            <wp:docPr descr="" title="" id="7" name="Picture"/>
            <a:graphic>
              <a:graphicData uri="http://schemas.openxmlformats.org/drawingml/2006/picture">
                <pic:pic>
                  <pic:nvPicPr>
                    <pic:cNvPr descr="http://deq1.bse.vt.edu:81/data/proj3/out/fig.30daymax_unmet.298102.11.png" id="8" name="Picture"/>
                    <pic:cNvPicPr>
                      <a:picLocks noChangeArrowheads="1" noChangeAspect="1"/>
                    </pic:cNvPicPr>
                  </pic:nvPicPr>
                  <pic:blipFill>
                    <a:blip r:embed="rId42"/>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45"/>
    <w:bookmarkStart w:id="49" w:name="heatmap-runid_400"/>
    <w:p>
      <w:pPr>
        <w:pStyle w:val="Titre4"/>
      </w:pPr>
      <w:r>
        <w:t xml:space="preserve">Heatmap: runid_400</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298102.400.png" id="10"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9"/>
    <w:bookmarkStart w:id="53" w:name="hydrograph-runid_400"/>
    <w:p>
      <w:pPr>
        <w:pStyle w:val="Titre4"/>
      </w:pPr>
      <w:r>
        <w:t xml:space="preserve">Hydrograph: runid_400</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298102.400.png" id="12" name="Picture"/>
                    <pic:cNvPicPr>
                      <a:picLocks noChangeArrowheads="1" noChangeAspect="1"/>
                    </pic:cNvPicPr>
                  </pic:nvPicPr>
                  <pic:blipFill>
                    <a:blip r:embed="rId50"/>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runid_400</w:t>
      </w:r>
      <w:r>
        <w:t xml:space="preserve">”</w:t>
      </w:r>
    </w:p>
    <w:p>
      <w:r>
        <w:br w:type="page"/>
      </w:r>
    </w:p>
    <w:bookmarkEnd w:id="53"/>
    <w:bookmarkStart w:id="57" w:name="heatmap-permit-max-wpof-75"/>
    <w:p>
      <w:pPr>
        <w:pStyle w:val="Titre4"/>
      </w:pPr>
      <w:r>
        <w:t xml:space="preserve">Heatmap: Permit Max w/PoF 75%</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298102.600.png" id="1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bookmarkEnd w:id="57"/>
    <w:bookmarkStart w:id="61" w:name="hydrograph-permit-max-wpof-75"/>
    <w:p>
      <w:pPr>
        <w:pStyle w:val="Titre4"/>
      </w:pPr>
      <w:r>
        <w:t xml:space="preserve">Hydrograph: Permit Max w/PoF 75%</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298102.600.png" id="16" name="Picture"/>
                    <pic:cNvPicPr>
                      <a:picLocks noChangeArrowheads="1" noChangeAspect="1"/>
                    </pic:cNvPicPr>
                  </pic:nvPicPr>
                  <pic:blipFill>
                    <a:blip r:embed="rId5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Permit Max w/PoF 75%</w:t>
      </w:r>
      <w:r>
        <w:t xml:space="preserve">”</w:t>
      </w:r>
    </w:p>
    <w:p>
      <w:r>
        <w:br w:type="page"/>
      </w:r>
    </w:p>
    <w:p>
      <w:r>
        <w:br w:type="page"/>
      </w:r>
    </w:p>
    <w:bookmarkEnd w:id="61"/>
    <w:bookmarkEnd w:id="62"/>
    <w:bookmarkStart w:id="79" w:name="additional-model-flow-plots"/>
    <w:p>
      <w:pPr>
        <w:pStyle w:val="Titre3"/>
      </w:pPr>
      <w:r>
        <w:t xml:space="preserve">Additional Model Flow Plots:</w:t>
      </w:r>
    </w:p>
    <w:p>
      <w:r>
        <w:br w:type="page"/>
      </w:r>
    </w:p>
    <w:bookmarkStart w:id="66" w:name="runid_400"/>
    <w:p>
      <w:pPr>
        <w:pStyle w:val="Titre4"/>
      </w:pPr>
      <w:r>
        <w:t xml:space="preserve">runid_400 :</w:t>
      </w:r>
    </w:p>
    <w:p>
      <w:pPr>
        <w:pStyle w:val="Normal"/>
      </w:pPr>
      <w:r>
        <w:drawing>
          <wp:inline>
            <wp:extent cx="5969000" cy="5968999"/>
            <wp:effectExtent b="0" l="0" r="0" t="0"/>
            <wp:docPr descr="" title="" id="17" name="Picture"/>
            <a:graphic>
              <a:graphicData uri="http://schemas.openxmlformats.org/drawingml/2006/picture">
                <pic:pic>
                  <pic:nvPicPr>
                    <pic:cNvPr descr="http://deq1.bse.vt.edu:81/data/proj3/out/fdc.229937.400.png" id="18" name="Picture"/>
                    <pic:cNvPicPr>
                      <a:picLocks noChangeArrowheads="1" noChangeAspect="1"/>
                    </pic:cNvPicPr>
                  </pic:nvPicPr>
                  <pic:blipFill>
                    <a:blip r:embed="rId63"/>
                    <a:stretch>
                      <a:fillRect/>
                    </a:stretch>
                  </pic:blipFill>
                  <pic:spPr bwMode="auto">
                    <a:xfrm>
                      <a:off x="0" y="0"/>
                      <a:ext cx="5969000" cy="5968999"/>
                    </a:xfrm>
                    <a:prstGeom prst="rect">
                      <a:avLst/>
                    </a:prstGeom>
                    <a:noFill/>
                    <a:ln w="9525">
                      <a:noFill/>
                      <a:headEnd/>
                      <a:tailEnd/>
                    </a:ln>
                  </pic:spPr>
                </pic:pic>
              </a:graphicData>
            </a:graphic>
          </wp:inline>
        </w:drawing>
      </w:r>
    </w:p>
    <w:bookmarkEnd w:id="66"/>
    <w:bookmarkStart w:id="70" w:name="runid_400-1"/>
    <w:p>
      <w:pPr>
        <w:pStyle w:val="Titre4"/>
      </w:pPr>
      <w:r>
        <w:t xml:space="preserve">runid_400 :</w:t>
      </w:r>
    </w:p>
    <w:p>
      <w:pPr>
        <w:pStyle w:val="Normal"/>
      </w:pPr>
      <w:r>
        <w:drawing>
          <wp:inline>
            <wp:extent cx="5969000" cy="4642555"/>
            <wp:effectExtent b="0" l="0" r="0" t="0"/>
            <wp:docPr descr="" title="" id="19" name="Picture"/>
            <a:graphic>
              <a:graphicData uri="http://schemas.openxmlformats.org/drawingml/2006/picture">
                <pic:pic>
                  <pic:nvPicPr>
                    <pic:cNvPr descr="http://deq1.bse.vt.edu:81/data/proj3/out/hydrograph_dry.229937.400.png" id="20" name="Picture"/>
                    <pic:cNvPicPr>
                      <a:picLocks noChangeArrowheads="1" noChangeAspect="1"/>
                    </pic:cNvPicPr>
                  </pic:nvPicPr>
                  <pic:blipFill>
                    <a:blip r:embed="rId67"/>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70"/>
    <w:bookmarkStart w:id="74" w:name="permit-max-wpof-75"/>
    <w:p>
      <w:pPr>
        <w:pStyle w:val="Titre4"/>
      </w:pPr>
      <w:r>
        <w:t xml:space="preserve">Permit Max w/PoF 75% :</w:t>
      </w:r>
    </w:p>
    <w:p>
      <w:pPr>
        <w:pStyle w:val="Normal"/>
      </w:pPr>
      <w:r>
        <w:drawing>
          <wp:inline>
            <wp:extent cx="5969000" cy="5968999"/>
            <wp:effectExtent b="0" l="0" r="0" t="0"/>
            <wp:docPr descr="" title="" id="21" name="Picture"/>
            <a:graphic>
              <a:graphicData uri="http://schemas.openxmlformats.org/drawingml/2006/picture">
                <pic:pic>
                  <pic:nvPicPr>
                    <pic:cNvPr descr="http://deq1.bse.vt.edu:81/data/proj3/out/fdc.229937.600.png" id="22" name="Picture"/>
                    <pic:cNvPicPr>
                      <a:picLocks noChangeArrowheads="1" noChangeAspect="1"/>
                    </pic:cNvPicPr>
                  </pic:nvPicPr>
                  <pic:blipFill>
                    <a:blip r:embed="rId71"/>
                    <a:stretch>
                      <a:fillRect/>
                    </a:stretch>
                  </pic:blipFill>
                  <pic:spPr bwMode="auto">
                    <a:xfrm>
                      <a:off x="0" y="0"/>
                      <a:ext cx="5969000" cy="5968999"/>
                    </a:xfrm>
                    <a:prstGeom prst="rect">
                      <a:avLst/>
                    </a:prstGeom>
                    <a:noFill/>
                    <a:ln w="9525">
                      <a:noFill/>
                      <a:headEnd/>
                      <a:tailEnd/>
                    </a:ln>
                  </pic:spPr>
                </pic:pic>
              </a:graphicData>
            </a:graphic>
          </wp:inline>
        </w:drawing>
      </w:r>
    </w:p>
    <w:bookmarkEnd w:id="74"/>
    <w:bookmarkStart w:id="78" w:name="permit-max-wpof-75-1"/>
    <w:p>
      <w:pPr>
        <w:pStyle w:val="Titre4"/>
      </w:pPr>
      <w:r>
        <w:t xml:space="preserve">Permit Max w/PoF 75% :</w:t>
      </w:r>
    </w:p>
    <w:p>
      <w:pPr>
        <w:pStyle w:val="Normal"/>
      </w:pPr>
      <w:r>
        <w:drawing>
          <wp:inline>
            <wp:extent cx="5969000" cy="4642555"/>
            <wp:effectExtent b="0" l="0" r="0" t="0"/>
            <wp:docPr descr="" title="" id="23" name="Picture"/>
            <a:graphic>
              <a:graphicData uri="http://schemas.openxmlformats.org/drawingml/2006/picture">
                <pic:pic>
                  <pic:nvPicPr>
                    <pic:cNvPr descr="http://deq1.bse.vt.edu:81/data/proj3/out/hydrograph_dry.229937.600.png" id="24" name="Picture"/>
                    <pic:cNvPicPr>
                      <a:picLocks noChangeArrowheads="1" noChangeAspect="1"/>
                    </pic:cNvPicPr>
                  </pic:nvPicPr>
                  <pic:blipFill>
                    <a:blip r:embed="rId75"/>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bookmarkEnd w:id="78"/>
    <w:bookmarkEnd w:id="79"/>
    <w:bookmarkEnd w:id="80"/>
    <w:bookmarkEnd w:id="81"/>
    <w:bookmarkStart w:id="87" w:name="vahydro-model"/>
    <w:p>
      <w:pPr>
        <w:pStyle w:val="Titre1"/>
      </w:pPr>
      <w:r>
        <w:t xml:space="preserve">VAHydro Model:</w:t>
      </w:r>
    </w:p>
    <w:bookmarkStart w:id="84" w:name="appendix-b---vahydro"/>
    <w:p>
      <w:pPr>
        <w:pStyle w:val="Titre2"/>
      </w:pPr>
      <w:r>
        <w:t xml:space="preserve">Appendix B - 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82"/>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84"/>
    <w:bookmarkStart w:id="86"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85"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r>
        <w:br w:type="page"/>
      </w:r>
    </w:p>
    <w:bookmarkEnd w:id="85"/>
    <w:bookmarkEnd w:id="86"/>
    <w:bookmarkEnd w:id="87"/>
    <w:bookmarkStart w:id="97" w:name="X1caaf1d17d291896f9cf274a41dbe3eb875ccf1"/>
    <w:p>
      <w:pPr>
        <w:pStyle w:val="Titre1"/>
      </w:pPr>
      <w:r>
        <w:t xml:space="preserve">Appendix A - Ecological Impacts Assessment:</w:t>
      </w:r>
    </w:p>
    <w:bookmarkStart w:id="91"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25" name="Picture"/>
            <a:graphic>
              <a:graphicData uri="http://schemas.openxmlformats.org/drawingml/2006/picture">
                <pic:pic>
                  <pic:nvPicPr>
                    <pic:cNvPr descr="http://deq1.bse.vt.edu:81/data/proj3/out/fig.elfgen.6354343.png" id="26" name="Picture"/>
                    <pic:cNvPicPr>
                      <a:picLocks noChangeArrowheads="1" noChangeAspect="1"/>
                    </pic:cNvPicPr>
                  </pic:nvPicPr>
                  <pic:blipFill>
                    <a:blip r:embed="rId88"/>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91"/>
    <w:bookmarkStart w:id="95"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92"/>
      </w:r>
      <w:r>
        <w:t xml:space="preserve">. Note: elfgen methodology only applicable for watersheds &lt; 800 cfs mean annual flow.</w:t>
      </w:r>
    </w:p>
    <w:tbl xmlns:w14="http://schemas.microsoft.com/office/word/2010/wordml">
      <w:tblPr>
        <w:tblLayout w:type="fixed"/>
        <w:jc w:val="center"/>
        <w:tblLook w:firstRow="1" w:lastRow="0" w:firstColumn="0" w:lastColumn="0" w:noHBand="0" w:noVBand="1"/>
      </w:tblPr>
      <w:tblGrid>
        <w:gridCol w:w="2880"/>
        <w:gridCol w:w="2160"/>
        <w:gridCol w:w="2160"/>
        <w:gridCol w:w="2160"/>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Permit Max w/PoF 75%</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w:t>
            </w:r>
          </w:p>
        </w:tc>
      </w:tr>
      <w:tr>
        <w:trPr>
          <w:trHeight w:val="615"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r>
      <w:tr>
        <w:trPr>
          <w:trHeight w:val="617"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w:t>
            </w:r>
          </w:p>
        </w:tc>
      </w:tr>
    </w:tbl>
    <w:bookmarkEnd w:id="95"/>
    <w:bookmarkStart w:id="96" w:name="habitat-if-applicable"/>
    <w:p>
      <w:pPr>
        <w:pStyle w:val="Titre2"/>
      </w:pPr>
      <w:r>
        <w:t xml:space="preserve">Habitat (If Applicable):</w:t>
      </w:r>
    </w:p>
    <w:p>
      <w:r>
        <w:br w:type="page"/>
      </w:r>
    </w:p>
    <w:p>
      <w:pPr>
        <w:sectPr>
          <w:type w:val="continuous"/>
          <w:footerReference r:id="rId9" w:type="default"/>
          <w:footerReference r:id="rId10" w:type="even"/>
          <w:cols/>
          <w:pgSz w:h="16848" w:w="11952" w:orient="portrait"/>
          <w:pgMar w:header="0" w:bottom="720" w:top="720" w:right="1440" w:left="720" w:footer="0" w:gutter="720"/>
        </w:sectPr>
      </w:pPr>
    </w:p>
    <w:bookmarkEnd w:id="96"/>
    <w:bookmarkEnd w:id="97"/>
    <w:bookmarkStart w:id="98" w:name="appendix-c---nearby-users-table"/>
    <w:p>
      <w:pPr>
        <w:pStyle w:val="Titre1"/>
      </w:pPr>
      <w:r>
        <w:t xml:space="preserve">Appendix C - Nearby Users Table:</w:t>
      </w:r>
    </w:p>
    <w:tbl xmlns:w14="http://schemas.microsoft.com/office/word/2010/wordml">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Permit Max w/PoF 75%: base_demand_mgy </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Food Processors North Fork Shenandoah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419.21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403.82</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 FORK SHENANDOAH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104.86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BROADWAY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124.25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248.57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Windcrest Holsteins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27.07</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Wehrmann Run/Lake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Windcrest Holsteins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27.07</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SHENVALEE LODGE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21.39</w:t>
            </w:r>
          </w:p>
        </w:tc>
      </w:tr>
      <w:tr>
        <w:trPr>
          <w:trHeight w:val="617"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THELMA PHILLIPS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7.17</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GOODS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BAKERS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 F SHENANDOAH R - SVA LAND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Center Pivot Irrigation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Center Pivot Irrigation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TIMBERVILLE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89.98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144.27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2.80</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ROBY JANNEY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2.30</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NEW MARKET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Wilkins Brothers Dairy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MASSANUTTEN IMPOUNDMENT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NEW MARKET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SHADY LANE 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FARM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LEON M HEATWOLE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ROSELAWN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LEON M HEATWOLE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BROADWAY PLANT COMPLEX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CEDAR BLUFF 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98"/>
    <w:sectPr>
      <w:pgMar w:header="0" w:bottom="720" w:top="720" w:right="1440" w:left="720" w:footer="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Notedebasdepage"/>
      </w:pPr>
      <w:r>
        <w:rPr>
          <w:rStyle w:val="Appelnotedebasdep"/>
        </w:rPr>
        <w:footnoteRef/>
      </w:r>
      <w:r>
        <w:t xml:space="preserve"> </w:t>
      </w:r>
      <w:r>
        <w:t xml:space="preserve"> </w:t>
      </w:r>
      <w:hyperlink r:id="rId23">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82">
    <w:p>
      <w:pPr>
        <w:pStyle w:val="Notedebasdepage"/>
      </w:pPr>
      <w:r>
        <w:rPr>
          <w:rStyle w:val="Appelnotedebasdep"/>
        </w:rPr>
        <w:footnoteRef/>
      </w:r>
      <w:r>
        <w:t xml:space="preserve"> </w:t>
      </w:r>
      <w:r>
        <w:t xml:space="preserve"> </w:t>
      </w:r>
      <w:hyperlink r:id="rId83">
        <w:r>
          <w:rPr>
            <w:rStyle w:val="Lienhypertexte"/>
          </w:rPr>
          <w:t xml:space="preserve">Chesapeake Bay Program Phase 6 Model</w:t>
        </w:r>
      </w:hyperlink>
      <w:r>
        <w:t xml:space="preserve">.</w:t>
      </w:r>
    </w:p>
  </w:footnote>
  <w:footnote w:id="92">
    <w:p>
      <w:pPr>
        <w:pStyle w:val="Notedebasdepage"/>
      </w:pPr>
      <w:r>
        <w:rPr>
          <w:rStyle w:val="Appelnotedebasdep"/>
        </w:rPr>
        <w:footnoteRef/>
      </w:r>
      <w:r>
        <w:t xml:space="preserve"> </w:t>
      </w:r>
      <w:r>
        <w:t xml:space="preserve">Kleiner et al:</w:t>
      </w:r>
      <w:r>
        <w:t xml:space="preserve"> </w:t>
      </w:r>
      <w:hyperlink r:id="rId93">
        <w:r>
          <w:rPr>
            <w:rStyle w:val="Lienhypertexte"/>
          </w:rPr>
          <w:t xml:space="preserve">https://onlinelibrary.wiley.com/doi/full/10.1111/1752-1688.12876</w:t>
        </w:r>
      </w:hyperlink>
      <w:r>
        <w:t xml:space="preserve"> </w:t>
      </w:r>
      <w:r>
        <w:t xml:space="preserve">&amp; Rapp et al:</w:t>
      </w:r>
      <w:r>
        <w:t xml:space="preserve"> </w:t>
      </w:r>
      <w:hyperlink r:id="rId94">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63" Type="http://schemas.openxmlformats.org/officeDocument/2006/relationships/image" Target="media/rId63.png"/>
<Relationship Id="rId71" Type="http://schemas.openxmlformats.org/officeDocument/2006/relationships/image" Target="media/rId71.png"/>
<Relationship Id="rId42" Type="http://schemas.openxmlformats.org/officeDocument/2006/relationships/image" Target="media/rId42.png"/>
<Relationship Id="rId50" Type="http://schemas.openxmlformats.org/officeDocument/2006/relationships/image" Target="media/rId50.png"/>
<Relationship Id="rId58" Type="http://schemas.openxmlformats.org/officeDocument/2006/relationships/image" Target="media/rId58.png"/>
<Relationship Id="rId88" Type="http://schemas.openxmlformats.org/officeDocument/2006/relationships/image" Target="media/rId88.png"/>
<Relationship Id="rId25" Type="http://schemas.openxmlformats.org/officeDocument/2006/relationships/image" Target="media/rId25.png"/>
<Relationship Id="rId32" Type="http://schemas.openxmlformats.org/officeDocument/2006/relationships/image" Target="media/rId32.png"/>
<Relationship Id="rId38" Type="http://schemas.openxmlformats.org/officeDocument/2006/relationships/image" Target="media/rId38.png"/>
<Relationship Id="rId46" Type="http://schemas.openxmlformats.org/officeDocument/2006/relationships/image" Target="media/rId46.png"/>
<Relationship Id="rId54" Type="http://schemas.openxmlformats.org/officeDocument/2006/relationships/image" Target="media/rId54.png"/>
<Relationship Id="rId67" Type="http://schemas.openxmlformats.org/officeDocument/2006/relationships/image" Target="media/rId67.png"/>
<Relationship Id="rId75" Type="http://schemas.openxmlformats.org/officeDocument/2006/relationships/image" Target="media/rId75.png"/>
<Relationship Id="rId93" Type="http://schemas.openxmlformats.org/officeDocument/2006/relationships/hyperlink" Target="https://onlinelibrary.wiley.com/doi/full/10.1111/1752-1688.12876" TargetMode="External"/>
<Relationship Id="rId94" Type="http://schemas.openxmlformats.org/officeDocument/2006/relationships/hyperlink" Target="https://onlinelibrary.wiley.com/doi/full/10.1111/1752-1688.12877" TargetMode="External"/>
<Relationship Id="rId83"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_rels/footnotes.xml.rels><?xml version="1.0" encoding="UTF-8" standalone="yes"?>

<Relationships  xmlns="http://schemas.openxmlformats.org/package/2006/relationships">
<Relationship Id="rId93" Type="http://schemas.openxmlformats.org/officeDocument/2006/relationships/hyperlink" Target="https://onlinelibrary.wiley.com/doi/full/10.1111/1752-1688.12876" TargetMode="External"/>
<Relationship Id="rId94" Type="http://schemas.openxmlformats.org/officeDocument/2006/relationships/hyperlink" Target="https://onlinelibrary.wiley.com/doi/full/10.1111/1752-1688.12877" TargetMode="External"/>
<Relationship Id="rId83"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17-0513: Town of Broadway, North Fork Shenandoah River</dc:title>
  <dc:creator/>
  <cp:keywords/>
  <dcterms:created xsi:type="dcterms:W3CDTF">2023-01-23T16:45:55Z</dcterms:created>
  <dcterms:modified xsi:type="dcterms:W3CDTF">2023-01-23T11:45:55Z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01/23/2023</vt:lpwstr>
  </property>
  <property fmtid="{D5CDD505-2E9C-101B-9397-08002B2CF9AE}" pid="3" name="output">
    <vt:lpwstr/>
  </property>
  <property fmtid="{D5CDD505-2E9C-101B-9397-08002B2CF9AE}" pid="4" name="params">
    <vt:lpwstr/>
  </property>
</Properties>
</file>