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46.png" ContentType="image/png"/>
  <Override PartName="/word/media/rId54.png" ContentType="image/png"/>
  <Override PartName="/word/media/rId76.png" ContentType="image/png"/>
  <Override PartName="/word/media/rId33.png" ContentType="image/png"/>
  <Override PartName="/word/media/rId37.png" ContentType="image/png"/>
  <Override PartName="/word/media/rId25.png" ContentType="image/png"/>
  <Override PartName="/word/media/rId42.png" ContentType="image/png"/>
  <Override PartName="/word/media/rId50.png" ContentType="image/png"/>
  <Override PartName="/word/media/rId6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Technical</w:t>
      </w:r>
      <w:r>
        <w:t xml:space="preserve"> </w:t>
      </w:r>
      <w:r>
        <w:t xml:space="preserve">Evaluation</w:t>
      </w:r>
      <w:r>
        <w:t xml:space="preserve"> </w:t>
      </w:r>
      <w:r>
        <w:t xml:space="preserve">–</w:t>
      </w:r>
      <w:r>
        <w:t xml:space="preserve"> </w:t>
      </w:r>
      <w:r>
        <w:t xml:space="preserve">VWP</w:t>
      </w:r>
      <w:r>
        <w:t xml:space="preserve"> </w:t>
      </w:r>
      <w:r>
        <w:t xml:space="preserve">21-1912</w:t>
      </w:r>
      <w:r>
        <w:t xml:space="preserve"> </w:t>
      </w:r>
      <w:r>
        <w:t xml:space="preserve">Sandy</w:t>
      </w:r>
      <w:r>
        <w:t xml:space="preserve"> </w:t>
      </w:r>
      <w:r>
        <w:t xml:space="preserve">River</w:t>
      </w:r>
      <w:r>
        <w:t xml:space="preserve"> </w:t>
      </w:r>
      <w:r>
        <w:t xml:space="preserve">Reservoir</w:t>
      </w:r>
    </w:p>
    <w:p>
      <w:pPr>
        <w:pStyle w:val="Date"/>
      </w:pPr>
      <w:r>
        <w:t xml:space="preserve">02/14/2023</w:t>
      </w:r>
    </w:p>
    <w:p>
      <w:r>
        <w:br w:type="page"/>
      </w:r>
    </w:p>
    <w:bookmarkStart w:id="21" w:name="project-introduction"/>
    <w:p>
      <w:pPr>
        <w:pStyle w:val="Titre1"/>
      </w:pPr>
      <w:r>
        <w:t xml:space="preserve">Project Introduction</w:t>
      </w:r>
    </w:p>
    <w:p>
      <w:pPr>
        <w:pStyle w:val="Normal"/>
      </w:pPr>
      <w:r>
        <w:t xml:space="preserve">Introduction to facility and intake information (non-model specific).</w:t>
      </w:r>
    </w:p>
    <w:bookmarkStart w:id="20" w:name="location-map"/>
    <w:p>
      <w:pPr>
        <w:pStyle w:val="Titre2"/>
      </w:pPr>
      <w:r>
        <w:t xml:space="preserve">Location Map</w:t>
      </w:r>
    </w:p>
    <w:p>
      <w:pPr>
        <w:pStyle w:val="Normal"/>
      </w:pPr>
      <w:r>
        <w:rPr>
          <w:iCs/>
          <w:i/>
        </w:rPr>
        <w:t xml:space="preserve">No location map available for this facility model</w:t>
      </w:r>
    </w:p>
    <w:p>
      <w:r>
        <w:br w:type="page"/>
      </w:r>
    </w:p>
    <w:bookmarkEnd w:id="20"/>
    <w:bookmarkEnd w:id="21"/>
    <w:bookmarkStart w:id="29" w:name="model-overview-and-scenario-descriptions"/>
    <w:p>
      <w:pPr>
        <w:pStyle w:val="Titre1"/>
      </w:pPr>
      <w:r>
        <w:t xml:space="preserve">Model Overview and Scenario Descriptions</w:t>
      </w:r>
    </w:p>
    <w:p>
      <w:pPr>
        <w:pStyle w:val="Normal"/>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The Sandy River Reservoir is yet to be constructed but has a permit that was approved in 2006. Current simulations use the permit rules that were in effect at the time of issuance, however, the permit reservoir rules provide for a reduction in MIF when under drought restrictions, but currently the drought triggers in this model are estimated. This will need to be amended once the permit construction begins.</w:t>
      </w:r>
    </w:p>
    <w:p>
      <w:pPr>
        <w:pStyle w:val="Corpsdetexte"/>
      </w:pPr>
      <w:r>
        <w:rPr>
          <w:bCs/>
          <w:b/>
        </w:rPr>
        <w:t xml:space="preserve">Table 1:</w:t>
      </w:r>
      <w:r>
        <w:t xml:space="preserve"> </w:t>
      </w:r>
      <w:r>
        <w:t xml:space="preserve">Flow-bys from VWP Permit 05-1464. Note that drought status is dependent upon the triggers in Table 2, but these are estimated for preliminary model development.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Month + Drought Status</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1</w:t>
            </w:r>
          </w:p>
        </w:tc>
        <w:tc>
          <w:tcPr/>
          <w:p>
            <w:pPr>
              <w:pStyle w:val="Compact"/>
              <w:jc w:val="left"/>
            </w:pPr>
            <w:r>
              <w:t xml:space="preserve">20</w:t>
            </w:r>
          </w:p>
        </w:tc>
        <w:tc>
          <w:tcPr/>
          <w:p>
            <w:pPr>
              <w:pStyle w:val="Compact"/>
              <w:jc w:val="left"/>
            </w:pPr>
            <w:r>
              <w:t xml:space="preserve">20</w:t>
            </w:r>
          </w:p>
        </w:tc>
        <w:tc>
          <w:tcPr/>
          <w:p>
            <w:pPr>
              <w:pStyle w:val="Compact"/>
              <w:jc w:val="left"/>
            </w:pPr>
            <w:r>
              <w:t xml:space="preserve">8</w:t>
            </w:r>
          </w:p>
        </w:tc>
        <w:tc>
          <w:tcPr/>
          <w:p>
            <w:pPr>
              <w:pStyle w:val="Compact"/>
              <w:jc w:val="left"/>
            </w:pPr>
            <w:r>
              <w:t xml:space="preserve">2.6</w:t>
            </w:r>
          </w:p>
        </w:tc>
      </w:tr>
      <w:tr>
        <w:tc>
          <w:tcPr/>
          <w:p>
            <w:pPr>
              <w:pStyle w:val="Compact"/>
              <w:jc w:val="left"/>
            </w:pPr>
            <w:r>
              <w:t xml:space="preserve">3</w:t>
            </w:r>
          </w:p>
        </w:tc>
        <w:tc>
          <w:tcPr/>
          <w:p>
            <w:pPr>
              <w:pStyle w:val="Compact"/>
              <w:jc w:val="left"/>
            </w:pPr>
            <w:r>
              <w:t xml:space="preserve">14</w:t>
            </w:r>
          </w:p>
        </w:tc>
        <w:tc>
          <w:tcPr/>
          <w:p>
            <w:pPr>
              <w:pStyle w:val="Compact"/>
              <w:jc w:val="left"/>
            </w:pPr>
            <w:r>
              <w:t xml:space="preserve">14</w:t>
            </w:r>
          </w:p>
        </w:tc>
        <w:tc>
          <w:tcPr/>
          <w:p>
            <w:pPr>
              <w:pStyle w:val="Compact"/>
              <w:jc w:val="left"/>
            </w:pPr>
            <w:r>
              <w:t xml:space="preserve">8</w:t>
            </w:r>
          </w:p>
        </w:tc>
        <w:tc>
          <w:tcPr/>
          <w:p>
            <w:pPr>
              <w:pStyle w:val="Compact"/>
              <w:jc w:val="left"/>
            </w:pPr>
            <w:r>
              <w:t xml:space="preserve">2.6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8</w:t>
            </w:r>
          </w:p>
        </w:tc>
        <w:tc>
          <w:tcPr/>
          <w:p>
            <w:pPr>
              <w:pStyle w:val="Compact"/>
              <w:jc w:val="left"/>
            </w:pPr>
            <w:r>
              <w:t xml:space="preserve">5</w:t>
            </w:r>
          </w:p>
        </w:tc>
        <w:tc>
          <w:tcPr/>
          <w:p>
            <w:pPr>
              <w:pStyle w:val="Compact"/>
              <w:jc w:val="left"/>
            </w:pPr>
            <w:r>
              <w:t xml:space="preserve">2.6</w:t>
            </w:r>
          </w:p>
        </w:tc>
      </w:tr>
      <w:tr>
        <w:tc>
          <w:tcPr/>
          <w:p>
            <w:pPr>
              <w:pStyle w:val="Compact"/>
              <w:jc w:val="left"/>
            </w:pPr>
            <w:r>
              <w:t xml:space="preserve">10</w:t>
            </w:r>
          </w:p>
        </w:tc>
        <w:tc>
          <w:tcPr/>
          <w:p>
            <w:pPr>
              <w:pStyle w:val="Compact"/>
              <w:jc w:val="left"/>
            </w:pPr>
            <w:r>
              <w:t xml:space="preserve">14</w:t>
            </w:r>
          </w:p>
        </w:tc>
        <w:tc>
          <w:tcPr/>
          <w:p>
            <w:pPr>
              <w:pStyle w:val="Compact"/>
              <w:jc w:val="left"/>
            </w:pPr>
            <w:r>
              <w:t xml:space="preserve">14</w:t>
            </w:r>
          </w:p>
        </w:tc>
        <w:tc>
          <w:tcPr/>
          <w:p>
            <w:pPr>
              <w:pStyle w:val="Compact"/>
              <w:jc w:val="left"/>
            </w:pPr>
            <w:r>
              <w:t xml:space="preserve">8</w:t>
            </w:r>
          </w:p>
        </w:tc>
        <w:tc>
          <w:tcPr/>
          <w:p>
            <w:pPr>
              <w:pStyle w:val="Compact"/>
              <w:jc w:val="left"/>
            </w:pPr>
            <w:r>
              <w:t xml:space="preserve">2.6</w:t>
            </w:r>
          </w:p>
        </w:tc>
      </w:tr>
      <w:tr>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c>
          <w:tcPr/>
          <w:p>
            <w:pPr>
              <w:pStyle w:val="Compact"/>
              <w:jc w:val="left"/>
            </w:pPr>
            <w:r>
              <w:t xml:space="preserve">8</w:t>
            </w:r>
          </w:p>
        </w:tc>
        <w:tc>
          <w:tcPr/>
          <w:p>
            <w:pPr>
              <w:pStyle w:val="Compact"/>
              <w:jc w:val="left"/>
            </w:pPr>
            <w:r>
              <w:t xml:space="preserve">2.6</w:t>
            </w:r>
          </w:p>
        </w:tc>
      </w:tr>
    </w:tbl>
    <w:p>
      <w:pPr>
        <w:pStyle w:val="Corpsdetexte"/>
      </w:pPr>
      <w:r>
        <w:rPr>
          <w:bCs/>
          <w:b/>
        </w:rPr>
        <w:t xml:space="preserve">Table 2:</w:t>
      </w:r>
      <w:r>
        <w:t xml:space="preserve"> </w:t>
      </w:r>
      <w:r>
        <w:t xml:space="preserve">This is an estimated drought trigger for permit development purposes. Max usable is approximately 3,200 MG. Permit development will need to ascertain these triggers.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Use Remaining(MG)</w:t>
            </w:r>
          </w:p>
        </w:tc>
        <w:tc>
          <w:tcPr/>
          <w:p>
            <w:pPr>
              <w:pStyle w:val="Compact"/>
              <w:jc w:val="left"/>
            </w:pPr>
            <w:r>
              <w:t xml:space="preserve">Drought Status</w:t>
            </w:r>
          </w:p>
        </w:tc>
      </w:tr>
      <w:tr>
        <w:tc>
          <w:tcPr/>
          <w:p>
            <w:pPr>
              <w:pStyle w:val="Compact"/>
              <w:jc w:val="left"/>
            </w:pPr>
            <w:r>
              <w:t xml:space="preserve">0</w:t>
            </w:r>
          </w:p>
        </w:tc>
        <w:tc>
          <w:tcPr/>
          <w:p>
            <w:pPr>
              <w:pStyle w:val="Compact"/>
              <w:jc w:val="left"/>
            </w:pPr>
            <w:r>
              <w:t xml:space="preserve">3</w:t>
            </w:r>
          </w:p>
        </w:tc>
      </w:tr>
      <w:tr>
        <w:tc>
          <w:tcPr/>
          <w:p>
            <w:pPr>
              <w:pStyle w:val="Compact"/>
              <w:jc w:val="left"/>
            </w:pPr>
            <w:r>
              <w:t xml:space="preserve">800</w:t>
            </w:r>
          </w:p>
        </w:tc>
        <w:tc>
          <w:tcPr/>
          <w:p>
            <w:pPr>
              <w:pStyle w:val="Compact"/>
              <w:jc w:val="left"/>
            </w:pPr>
            <w:r>
              <w:t xml:space="preserve">2</w:t>
            </w:r>
          </w:p>
        </w:tc>
      </w:tr>
      <w:tr>
        <w:tc>
          <w:tcPr/>
          <w:p>
            <w:pPr>
              <w:pStyle w:val="Compact"/>
              <w:jc w:val="left"/>
            </w:pPr>
            <w:r>
              <w:t xml:space="preserve">1200</w:t>
            </w:r>
          </w:p>
        </w:tc>
        <w:tc>
          <w:tcPr/>
          <w:p>
            <w:pPr>
              <w:pStyle w:val="Compact"/>
              <w:jc w:val="left"/>
            </w:pPr>
            <w:r>
              <w:t xml:space="preserve">1</w:t>
            </w:r>
          </w:p>
        </w:tc>
      </w:tr>
      <w:tr>
        <w:tc>
          <w:tcPr/>
          <w:p>
            <w:pPr>
              <w:pStyle w:val="Compact"/>
              <w:jc w:val="left"/>
            </w:pPr>
            <w:r>
              <w:t xml:space="preserve">1500</w:t>
            </w:r>
          </w:p>
        </w:tc>
        <w:tc>
          <w:tcPr/>
          <w:p>
            <w:pPr>
              <w:pStyle w:val="Compact"/>
              <w:jc w:val="left"/>
            </w:pPr>
            <w:r>
              <w:t xml:space="preserve">0</w:t>
            </w:r>
          </w:p>
        </w:tc>
      </w:tr>
      <w:tr>
        <w:tc>
          <w:tcPr/>
          <w:p>
            <w:pPr>
              <w:pStyle w:val="Compact"/>
              <w:jc w:val="left"/>
            </w:pPr>
            <w:r>
              <w:t xml:space="preserve">3000</w:t>
            </w:r>
          </w:p>
        </w:tc>
        <w:tc>
          <w:tcPr/>
          <w:p>
            <w:pPr>
              <w:pStyle w:val="Compact"/>
              <w:jc w:val="left"/>
            </w:pPr>
            <w:r>
              <w:t xml:space="preserve">0</w:t>
            </w:r>
          </w:p>
        </w:tc>
      </w:tr>
      <w:tr>
        <w:tc>
          <w:tcPr/>
          <w:p>
            <w:pPr>
              <w:pStyle w:val="Compact"/>
              <w:jc w:val="left"/>
            </w:pPr>
            <w:r>
              <w:t xml:space="preserve">4000</w:t>
            </w:r>
          </w:p>
        </w:tc>
        <w:tc>
          <w:tcPr/>
          <w:p>
            <w:pPr>
              <w:pStyle w:val="Compact"/>
              <w:jc w:val="left"/>
            </w:pPr>
            <w:r>
              <w:t xml:space="preserve">0</w:t>
            </w:r>
          </w:p>
        </w:tc>
      </w:tr>
    </w:tbl>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Cs/>
          <w:b/>
        </w:rPr>
        <w:t xml:space="preserve">runid_400</w:t>
      </w:r>
      <w:r>
        <w:t xml:space="preserve"> </w:t>
      </w:r>
      <w:r>
        <w:t xml:space="preserve">- Run report information not provided.</w:t>
      </w:r>
    </w:p>
    <w:p>
      <w:pPr>
        <w:numPr>
          <w:ilvl w:val="0"/>
          <w:numId w:val="1001"/>
        </w:numPr>
        <w:pStyle w:val="Compact"/>
      </w:pPr>
      <w:r>
        <w:rPr>
          <w:bCs/>
          <w:b/>
        </w:rPr>
        <w:t xml:space="preserve">runid_601</w:t>
      </w:r>
      <w:r>
        <w:t xml:space="preserve"> </w:t>
      </w:r>
      <w:r>
        <w:t xml:space="preserve">- Run report information not provided.</w:t>
      </w:r>
    </w:p>
    <w:bookmarkStart w:id="24" w:name="table-of-modeled-demand-limits"/>
    <w:p>
      <w:pPr>
        <w:pStyle w:val="Titre2"/>
      </w:pPr>
      <w:r>
        <w:t xml:space="preserve">Table of Modeled Demand Limits:</w:t>
      </w:r>
    </w:p>
    <w:tbl xmlns:w14="http://schemas.microsoft.com/office/word/2010/wordml">
      <w:tblPr>
        <w:tblLayout w:type="fixed"/>
        <w:jc w:val="center"/>
        <w:tblLook w:firstRow="1" w:lastRow="0" w:firstColumn="0" w:lastColumn="0" w:noHBand="0" w:noVBand="1"/>
      </w:tblPr>
      <w:tblGrid>
        <w:gridCol w:w="2736"/>
        <w:gridCol w:w="2448"/>
        <w:gridCol w:w="2448"/>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0"/>
                <w:szCs w:val="20"/>
                <w:color w:val="000000"/>
              </w:rPr>
              <w:t xml:space="preserve">runid_400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0"/>
                <w:szCs w:val="20"/>
                <w:color w:val="000000"/>
              </w:rPr>
              <w:t xml:space="preserve">runid_601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3.73</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6.30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1360.00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1360.00</w:t>
            </w:r>
          </w:p>
        </w:tc>
      </w:tr>
    </w:tbl>
    <w:p>
      <w:r>
        <w:br w:type="page"/>
      </w:r>
    </w:p>
    <w:p>
      <w:pPr>
        <w:pStyle w:val="Normal"/>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and discharges upstream of the intake location and are presented in Table 1. The Virginia Drought Assessment and Response Plan</w:t>
      </w:r>
      <w:r>
        <w:rPr>
          <w:rStyle w:val="Appelnotedebasdep"/>
        </w:rPr>
        <w:footnoteReference w:id="22"/>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tbl xmlns:w14="http://schemas.microsoft.com/office/word/2010/wordml">
      <w:tblPr>
        <w:tblLayout w:type="fixed"/>
        <w:jc w:val="center"/>
        <w:tblLook w:firstRow="1" w:lastRow="0" w:firstColumn="0" w:lastColumn="0" w:noHBand="0" w:noVBand="1"/>
      </w:tblPr>
      <w:tblGrid>
        <w:gridCol w:w="1022"/>
        <w:gridCol w:w="765"/>
        <w:gridCol w:w="729"/>
        <w:gridCol w:w="851"/>
        <w:gridCol w:w="851"/>
        <w:gridCol w:w="851"/>
        <w:gridCol w:w="851"/>
        <w:gridCol w:w="961"/>
      </w:tblGrid>
      <w:tr>
        <w:trPr>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Mean</w:t>
            </w:r>
          </w:p>
        </w:tc>
      </w:tr>
      <w:tr>
        <w:trPr>
          <w:trHeight w:val="572"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r>
      <w:tr>
        <w:trPr>
          <w:trHeight w:val="572"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r>
      <w:tr>
        <w:trPr>
          <w:trHeight w:val="571"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w:t>
            </w:r>
          </w:p>
        </w:tc>
      </w:tr>
      <w:tr>
        <w:trPr>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r>
      <w:tr>
        <w:trPr>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r>
      <w:tr>
        <w:trPr>
          <w:trHeight w:val="571"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r>
      <w:tr>
        <w:trPr>
          <w:trHeight w:val="572"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r>
      <w:tr>
        <w:trPr>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r>
      <w:tr>
        <w:trPr>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r>
      <w:tr>
        <w:trPr>
          <w:trHeight w:val="574"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r>
      <w:tr>
        <w:trPr>
          <w:trHeight w:val="571"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r>
      <w:tr>
        <w:trPr>
          <w:trHeight w:val="572"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r>
    </w:tbl>
    <w:p>
      <w:pPr>
        <w:pStyle w:val="Corpsdetexte"/>
      </w:pPr>
      <w:r>
        <w:rPr>
          <w:bCs/>
          <w:b/>
        </w:rPr>
        <w:t xml:space="preserve">Table 1:</w:t>
      </w:r>
      <w:r>
        <w:t xml:space="preserve"> </w:t>
      </w:r>
      <w:r>
        <w:t xml:space="preserve">Modeled monthly current flow statistics for Sandy River Reservoir intake in cubic feet per second (cfs). Columns show the minimum (Min) and average (Mean) modeled flow, and a range of non-exceedance flow percentiles, that is,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8 cfs.</w:t>
      </w:r>
    </w:p>
    <w:bookmarkEnd w:id="24"/>
    <w:bookmarkStart w:id="28" w:name="X65da31ce28e5fa9b16f4d4d6d51c4e80933fda9"/>
    <w:p>
      <w:pPr>
        <w:pStyle w:val="Titre2"/>
      </w:pPr>
      <w:r>
        <w:t xml:space="preserve">Current Facility Base Demand Before Conservation:</w:t>
      </w:r>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351166.400.png" id="2" name="Picture"/>
                    <pic:cNvPicPr>
                      <a:picLocks noChangeArrowheads="1" noChangeAspect="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28"/>
    <w:bookmarkEnd w:id="29"/>
    <w:bookmarkStart w:id="69" w:name="results"/>
    <w:p>
      <w:pPr>
        <w:pStyle w:val="Titre1"/>
      </w:pPr>
      <w:r>
        <w:t xml:space="preserve">Results</w:t>
      </w:r>
    </w:p>
    <w:bookmarkStart w:id="30" w:name="summary"/>
    <w:p>
      <w:pPr>
        <w:pStyle w:val="Titre2"/>
      </w:pPr>
      <w:r>
        <w:t xml:space="preserve">Summary</w:t>
      </w:r>
    </w:p>
    <w:p>
      <w:pPr>
        <w:pStyle w:val="Normal"/>
      </w:pPr>
      <w:r>
        <w:t xml:space="preserve">Presented below are 2 scenarios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runid_400</w:t>
      </w:r>
      <w:r>
        <w:t xml:space="preserve"> </w:t>
      </w:r>
      <w:r>
        <w:t xml:space="preserve">- Run analysis not provided.</w:t>
      </w:r>
    </w:p>
    <w:p>
      <w:pPr>
        <w:numPr>
          <w:ilvl w:val="0"/>
          <w:numId w:val="1002"/>
        </w:numPr>
        <w:pStyle w:val="Compact"/>
      </w:pPr>
      <w:r>
        <w:rPr>
          <w:bCs/>
          <w:b/>
        </w:rPr>
        <w:t xml:space="preserve">runid_601</w:t>
      </w:r>
      <w:r>
        <w:t xml:space="preserve"> </w:t>
      </w:r>
      <w:r>
        <w:t xml:space="preserve">- Run analysis not provided.</w:t>
      </w:r>
    </w:p>
    <w:bookmarkEnd w:id="30"/>
    <w:bookmarkStart w:id="31" w:name="conclusion"/>
    <w:p>
      <w:pPr>
        <w:pStyle w:val="Titre2"/>
      </w:pPr>
      <w:r>
        <w:t xml:space="preserve">Conclusion</w:t>
      </w:r>
    </w:p>
    <w:p>
      <w:pPr>
        <w:numPr>
          <w:ilvl w:val="0"/>
          <w:numId w:val="1003"/>
        </w:numPr>
        <w:pStyle w:val="Compact"/>
      </w:pPr>
      <w:r>
        <w:rPr>
          <w:bCs/>
          <w:b/>
        </w:rPr>
        <w:t xml:space="preserve">runid_400</w:t>
      </w:r>
      <w:r>
        <w:t xml:space="preserve"> </w:t>
      </w:r>
      <w:r>
        <w:t xml:space="preserve">- Preferred scenario, runid_400 , conclusions not provided.</w:t>
      </w:r>
      <w:r>
        <w:t xml:space="preserve"> </w:t>
      </w:r>
      <w:r>
        <w:t xml:space="preserve">Conclusions should be stored in [model] -&gt; 400 -&gt; reports -&gt; conclusions</w:t>
      </w:r>
    </w:p>
    <w:p xmlns:w14="http://schemas.microsoft.com/office/word/2010/wordml">
      <w:pPr>
        <w:pStyle w:val="TableCaption"/>
        <w:jc w:val="center"/>
        <w:keepNext/>
      </w:pPr>
      <w:r>
        <w:t xml:space="preserve">Modeled monthly consumptive use statistics in the  Sandy River @ SR Reservoir in cubic feet per second (cfs). Columns show the modeled non-exceedance flow percentiles and the associated consumptive user percentage due to cumulative demands for the  scenario. Simulated demands include all up-stream demands as well as simulated demands at the Sandy River Reservoir Intake Sandy River Reservoir intake intake ) and cumulative return flows.  </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Month</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Jan (Jan%)</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11.1 (-33.7%)</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 (-28%)</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18.5 (-23.4%)</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29.4 (-33.3%)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Feb (Feb%)</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 (-52.9%)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16.5 (-27.4%)</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17.9 (-26%)</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18.9 (-24.7%)</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 (-27.7%)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 (Mar%)</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 (-55.3%)</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 (-36.9%)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18.5 (-23.4%)</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18.5 (-23.4%)</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 (-19.7%)</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43.1 (-22.4%)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Apr (Apr%)</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 (-48.6%)</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15.3 (-27.7%)</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17.2 (-25.3%)</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18.3 (-24.2%)</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33.5 (-27.5%)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May (May%)</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 (-60.2%)</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 (-36.3%)</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12.1 (-31.9%)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18.5 (-23.4%)</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25.7 (-31.9%)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Jun (Jun%)</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 (-93%)</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 (-54.5%)</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 (-48.8%)</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11.2 (-34.3%)</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14.4 (-42.7%)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Jul (Jul%)</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 (-90.9%)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(-80.4%)</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 (-56%)</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10.9 (-57.6%)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Aug (Aug%)</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 (-67.5%)</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7.2 (-63.8%)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Sep (Sep%)</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 (-81.7%)</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12.5 (-67.1%)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Oct (Oct%)</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 (-61%)</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 (-63%)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Nov (Nov%)</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 (-40.4%)</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16.5 (-55.9%)</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Dec (Dec%)</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(-100%)</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 (-63.7%)</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 (-51.2%)</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18.3 (-23.6%)</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24.9 (-42.4%)</w:t>
            </w:r>
          </w:p>
        </w:tc>
      </w:tr>
    </w:tbl>
    <w:p>
      <w:r>
        <w:br w:type="page"/>
      </w:r>
    </w:p>
    <w:bookmarkEnd w:id="31"/>
    <w:bookmarkStart w:id="68" w:name="detailed-cumulative-impact-analysis"/>
    <w:p>
      <w:pPr>
        <w:pStyle w:val="Titre2"/>
      </w:pPr>
      <w:r>
        <w:t xml:space="preserve">Detailed Cumulative Impact Analysis</w:t>
      </w:r>
    </w:p>
    <w:p>
      <w:pPr>
        <w:pStyle w:val="Normal"/>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footerReference r:id="rId9" w:type="default"/>
          <w:footerReference r:id="rId10" w:type="even"/>
          <w:cols/>
          <w:pgSz w:h="16848" w:w="11952" w:orient="portrait"/>
          <w:pgMar w:header="0" w:bottom="720" w:top="720" w:right="1440" w:left="720" w:footer="0" w:gutter="720"/>
        </w:sectPr>
      </w:pPr>
    </w:p>
    <w:bookmarkStart w:id="32" w:name="summary-of-results"/>
    <w:p>
      <w:pPr>
        <w:pStyle w:val="Titre3"/>
      </w:pPr>
      <w:r>
        <w:t xml:space="preserve">Summary of Results:</w:t>
      </w:r>
    </w:p>
    <w:tbl xmlns:w14="http://schemas.microsoft.com/office/word/2010/wordml">
      <w:tblPr>
        <w:tblLayout w:type="fixed"/>
        <w:jc w:val="center"/>
        <w:tblLook w:firstRow="1" w:lastRow="0" w:firstColumn="0" w:lastColumn="0" w:noHBand="0" w:noVBand="1"/>
      </w:tblPr>
      <w:tblGrid>
        <w:gridCol w:w="3600"/>
        <w:gridCol w:w="2736"/>
        <w:gridCol w:w="2736"/>
      </w:tblGrid>
      <w:tr>
        <w:trPr>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runid_400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runid_601</w:t>
            </w:r>
          </w:p>
        </w:tc>
      </w:tr>
      <w:tr>
        <w:trPr>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Sandy River @ SR Reservoir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Sandy River @ SR Reservoir</w:t>
            </w:r>
          </w:p>
        </w:tc>
      </w:tr>
      <w:tr>
        <w:trPr>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8.37</w:t>
            </w:r>
          </w:p>
        </w:tc>
      </w:tr>
      <w:tr>
        <w:trPr>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708.05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96.81</w:t>
            </w:r>
          </w:p>
        </w:tc>
      </w:tr>
      <w:tr>
        <w:trPr>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0.49</w:t>
            </w:r>
          </w:p>
        </w:tc>
      </w:tr>
      <w:tr>
        <w:trPr>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1.52</w:t>
            </w:r>
          </w:p>
        </w:tc>
      </w:tr>
      <w:tr>
        <w:trPr>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0.55</w:t>
            </w:r>
          </w:p>
        </w:tc>
      </w:tr>
      <w:tr>
        <w:trPr>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r>
      <w:tr>
        <w:trPr>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r>
      <w:tr>
        <w:trPr>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Sandy River Reservoir Intake:Bushy River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Sandy River Reservoir Intake:Bushy River</w:t>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1,358.57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1,358.51</w:t>
            </w:r>
          </w:p>
        </w:tc>
      </w:tr>
      <w:tr>
        <w:trPr>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1,358.57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1,358.51</w:t>
            </w:r>
          </w:p>
        </w:tc>
      </w:tr>
      <w:tr>
        <w:trPr>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r>
      <w:tr>
        <w:trPr>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r>
      <w:tr>
        <w:trPr>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r>
        <w:trPr>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32"/>
    <w:bookmarkStart w:id="41" w:name="analysis-of-reservoir-storage"/>
    <w:p>
      <w:pPr>
        <w:pStyle w:val="Titre3"/>
      </w:pPr>
      <w:r>
        <w:t xml:space="preserve">Analysis of Reservoir Storage:</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bookmarkStart w:id="36" w:name="reservoir-storage-runid_400"/>
    <w:p>
      <w:pPr>
        <w:pStyle w:val="Titre4"/>
      </w:pPr>
      <w:r>
        <w:t xml:space="preserve">Reservoir Storage: runid_400</w:t>
      </w:r>
    </w:p>
    <w:p>
      <w:pPr>
        <w:pStyle w:val="Normal"/>
      </w:pPr>
      <w:r>
        <w:drawing>
          <wp:inline>
            <wp:extent cx="5969000" cy="5969000"/>
            <wp:effectExtent b="0" l="0" r="0" t="0"/>
            <wp:docPr descr="" title="" id="3" name="Picture"/>
            <a:graphic>
              <a:graphicData uri="http://schemas.openxmlformats.org/drawingml/2006/picture">
                <pic:pic>
                  <pic:nvPicPr>
                    <pic:cNvPr descr="http://deq1.bse.vt.edu:81/data/proj3/out/fig.imp_storage.all.352139.400.png" id="4" name="Picture"/>
                    <pic:cNvPicPr>
                      <a:picLocks noChangeArrowheads="1" noChangeAspect="1"/>
                    </pic:cNvPicPr>
                  </pic:nvPicPr>
                  <pic:blipFill>
                    <a:blip r:embed="rId33"/>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36"/>
    <w:bookmarkStart w:id="40" w:name="reservoir-storage-runid_601"/>
    <w:p>
      <w:pPr>
        <w:pStyle w:val="Titre4"/>
      </w:pPr>
      <w:r>
        <w:t xml:space="preserve">Reservoir Storage: runid_601</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2139.601.png" id="6"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40"/>
    <w:bookmarkEnd w:id="41"/>
    <w:bookmarkStart w:id="58" w:name="X124a6240bc8912ace867f898c7d80aa333d7cbc"/>
    <w:p>
      <w:pPr>
        <w:pStyle w:val="Titre3"/>
      </w:pPr>
      <w:r>
        <w:t xml:space="preserve">Analysis of Potential Unmet Demand at the River Intake:</w:t>
      </w:r>
    </w:p>
    <w:p>
      <w:pPr>
        <w:pStyle w:val="Normal"/>
      </w:pPr>
      <w:r>
        <w:t xml:space="preserve">The following grids are data plotting tools that help visualize data as magnitudes of color intensity. These depict the number of days with unmet demands for each month of the simulation (due to demands exceeding allowable withdrawal at the intake based on the cumulative conditions in the watershed and the flow-by rules in effect). The cells show the amount of unmet demand for each month [Number of Unmet Days &amp; Amount (MGD)]. Hydrographs are shown for the period of the simulation with greatest unmet demand.</w:t>
      </w:r>
    </w:p>
    <w:bookmarkStart w:id="45" w:name="unmet-demand-runid_400"/>
    <w:p>
      <w:pPr>
        <w:pStyle w:val="Titre4"/>
      </w:pPr>
      <w:r>
        <w:t xml:space="preserve">Unmet Demand: runid_400</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166.400.png" id="8" name="Picture"/>
                    <pic:cNvPicPr>
                      <a:picLocks noChangeArrowheads="1" noChangeAspect="1"/>
                    </pic:cNvPicPr>
                  </pic:nvPicPr>
                  <pic:blipFill>
                    <a:blip r:embed="rId42"/>
                    <a:stretch>
                      <a:fillRect/>
                    </a:stretch>
                  </pic:blipFill>
                  <pic:spPr bwMode="auto">
                    <a:xfrm>
                      <a:off x="0" y="0"/>
                      <a:ext cx="5969000" cy="3769894"/>
                    </a:xfrm>
                    <a:prstGeom prst="rect">
                      <a:avLst/>
                    </a:prstGeom>
                    <a:noFill/>
                    <a:ln w="9525">
                      <a:noFill/>
                      <a:headEnd/>
                      <a:tailEnd/>
                    </a:ln>
                  </pic:spPr>
                </pic:pic>
              </a:graphicData>
            </a:graphic>
          </wp:inline>
        </w:drawing>
      </w:r>
    </w:p>
    <w:bookmarkEnd w:id="45"/>
    <w:bookmarkStart w:id="49" w:name="hydrograph-runid_400"/>
    <w:p>
      <w:pPr>
        <w:pStyle w:val="Titre4"/>
      </w:pPr>
      <w:r>
        <w:t xml:space="preserve">Hydrograph: runid_400</w:t>
      </w:r>
    </w:p>
    <w:p>
      <w:pPr>
        <w:pStyle w:val="Normal"/>
      </w:pPr>
      <w:r>
        <w:drawing>
          <wp:inline>
            <wp:extent cx="5969000" cy="5969000"/>
            <wp:effectExtent b="0" l="0" r="0" t="0"/>
            <wp:docPr descr="" title="" id="9" name="Picture"/>
            <a:graphic>
              <a:graphicData uri="http://schemas.openxmlformats.org/drawingml/2006/picture">
                <pic:pic>
                  <pic:nvPicPr>
                    <pic:cNvPr descr="http://deq1.bse.vt.edu:81/data/proj3/out/fig.30daymax_unmet.351166.400.png" id="10" name="Picture"/>
                    <pic:cNvPicPr>
                      <a:picLocks noChangeArrowheads="1" noChangeAspect="1"/>
                    </pic:cNvPicPr>
                  </pic:nvPicPr>
                  <pic:blipFill>
                    <a:blip r:embed="rId46"/>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runid_400</w:t>
      </w:r>
      <w:r>
        <w:t xml:space="preserve">”</w:t>
      </w:r>
    </w:p>
    <w:p>
      <w:r>
        <w:br w:type="page"/>
      </w:r>
    </w:p>
    <w:bookmarkEnd w:id="49"/>
    <w:bookmarkStart w:id="53" w:name="unmet-demand-runid_601"/>
    <w:p>
      <w:pPr>
        <w:pStyle w:val="Titre4"/>
      </w:pPr>
      <w:r>
        <w:t xml:space="preserve">Unmet Demand: runid_601</w:t>
      </w:r>
    </w:p>
    <w:p>
      <w:pPr>
        <w:pStyle w:val="Normal"/>
      </w:pPr>
      <w:r>
        <w:drawing>
          <wp:inline>
            <wp:extent cx="5969000" cy="3769894"/>
            <wp:effectExtent b="0" l="0" r="0" t="0"/>
            <wp:docPr descr="" title="" id="11" name="Picture"/>
            <a:graphic>
              <a:graphicData uri="http://schemas.openxmlformats.org/drawingml/2006/picture">
                <pic:pic>
                  <pic:nvPicPr>
                    <pic:cNvPr descr="http://deq1.bse.vt.edu:81/data/proj3/out/fig.unmet_heatmap_amt.351166.601.png" id="12" name="Picture"/>
                    <pic:cNvPicPr>
                      <a:picLocks noChangeArrowheads="1" noChangeAspect="1"/>
                    </pic:cNvPicPr>
                  </pic:nvPicPr>
                  <pic:blipFill>
                    <a:blip r:embed="rId50"/>
                    <a:stretch>
                      <a:fillRect/>
                    </a:stretch>
                  </pic:blipFill>
                  <pic:spPr bwMode="auto">
                    <a:xfrm>
                      <a:off x="0" y="0"/>
                      <a:ext cx="5969000" cy="3769894"/>
                    </a:xfrm>
                    <a:prstGeom prst="rect">
                      <a:avLst/>
                    </a:prstGeom>
                    <a:noFill/>
                    <a:ln w="9525">
                      <a:noFill/>
                      <a:headEnd/>
                      <a:tailEnd/>
                    </a:ln>
                  </pic:spPr>
                </pic:pic>
              </a:graphicData>
            </a:graphic>
          </wp:inline>
        </w:drawing>
      </w:r>
    </w:p>
    <w:bookmarkEnd w:id="53"/>
    <w:bookmarkStart w:id="57" w:name="hydrograph-runid_601"/>
    <w:p>
      <w:pPr>
        <w:pStyle w:val="Titre4"/>
      </w:pPr>
      <w:r>
        <w:t xml:space="preserve">Hydrograph: runid_601</w:t>
      </w:r>
    </w:p>
    <w:p>
      <w:pPr>
        <w:pStyle w:val="Normal"/>
      </w:pPr>
      <w:r>
        <w:drawing>
          <wp:inline>
            <wp:extent cx="5969000" cy="5969000"/>
            <wp:effectExtent b="0" l="0" r="0" t="0"/>
            <wp:docPr descr="" title="" id="13" name="Picture"/>
            <a:graphic>
              <a:graphicData uri="http://schemas.openxmlformats.org/drawingml/2006/picture">
                <pic:pic>
                  <pic:nvPicPr>
                    <pic:cNvPr descr="http://deq1.bse.vt.edu:81/data/proj3/out/fig.30daymax_unmet.351166.601.png" id="14" name="Picture"/>
                    <pic:cNvPicPr>
                      <a:picLocks noChangeArrowheads="1" noChangeAspect="1"/>
                    </pic:cNvPicPr>
                  </pic:nvPicPr>
                  <pic:blipFill>
                    <a:blip r:embed="rId54"/>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runid_601</w:t>
      </w:r>
      <w:r>
        <w:t xml:space="preserve">”</w:t>
      </w:r>
    </w:p>
    <w:p>
      <w:r>
        <w:br w:type="page"/>
      </w:r>
    </w:p>
    <w:p>
      <w:r>
        <w:br w:type="page"/>
      </w:r>
    </w:p>
    <w:bookmarkEnd w:id="57"/>
    <w:bookmarkEnd w:id="58"/>
    <w:bookmarkStart w:id="67" w:name="additional-model-flow-plots"/>
    <w:p>
      <w:pPr>
        <w:pStyle w:val="Titre3"/>
      </w:pPr>
      <w:r>
        <w:t xml:space="preserve">Additional Model Flow Plots:</w:t>
      </w:r>
    </w:p>
    <w:bookmarkStart w:id="62" w:name="runid_400"/>
    <w:p>
      <w:pPr>
        <w:pStyle w:val="Titre4"/>
      </w:pPr>
      <w:r>
        <w:t xml:space="preserve">runid_400 :</w:t>
      </w:r>
    </w:p>
    <w:p>
      <w:pPr>
        <w:pStyle w:val="Normal"/>
      </w:pPr>
      <w:r>
        <w:drawing>
          <wp:inline>
            <wp:extent cx="5969000" cy="5968999"/>
            <wp:effectExtent b="0" l="0" r="0" t="0"/>
            <wp:docPr descr="" title="" id="15" name="Picture"/>
            <a:graphic>
              <a:graphicData uri="http://schemas.openxmlformats.org/drawingml/2006/picture">
                <pic:pic>
                  <pic:nvPicPr>
                    <pic:cNvPr descr="http://deq1.bse.vt.edu:81/data/proj3/out/fdc.352139.400.png" id="16" name="Picture"/>
                    <pic:cNvPicPr>
                      <a:picLocks noChangeArrowheads="1" noChangeAspect="1"/>
                    </pic:cNvPicPr>
                  </pic:nvPicPr>
                  <pic:blipFill>
                    <a:blip r:embed="rId59"/>
                    <a:stretch>
                      <a:fillRect/>
                    </a:stretch>
                  </pic:blipFill>
                  <pic:spPr bwMode="auto">
                    <a:xfrm>
                      <a:off x="0" y="0"/>
                      <a:ext cx="5969000" cy="5968999"/>
                    </a:xfrm>
                    <a:prstGeom prst="rect">
                      <a:avLst/>
                    </a:prstGeom>
                    <a:noFill/>
                    <a:ln w="9525">
                      <a:noFill/>
                      <a:headEnd/>
                      <a:tailEnd/>
                    </a:ln>
                  </pic:spPr>
                </pic:pic>
              </a:graphicData>
            </a:graphic>
          </wp:inline>
        </w:drawing>
      </w:r>
    </w:p>
    <w:bookmarkEnd w:id="62"/>
    <w:bookmarkStart w:id="66" w:name="runid_400-1"/>
    <w:p>
      <w:pPr>
        <w:pStyle w:val="Titre4"/>
      </w:pPr>
      <w:r>
        <w:t xml:space="preserve">runid_400 :</w:t>
      </w:r>
    </w:p>
    <w:p>
      <w:pPr>
        <w:pStyle w:val="Normal"/>
      </w:pPr>
      <w:r>
        <w:drawing>
          <wp:inline>
            <wp:extent cx="5969000" cy="4642555"/>
            <wp:effectExtent b="0" l="0" r="0" t="0"/>
            <wp:docPr descr="" title="" id="17" name="Picture"/>
            <a:graphic>
              <a:graphicData uri="http://schemas.openxmlformats.org/drawingml/2006/picture">
                <pic:pic>
                  <pic:nvPicPr>
                    <pic:cNvPr descr="http://deq1.bse.vt.edu:81/data/proj3/out/hydrograph_dry.352139.400.png" id="18" name="Picture"/>
                    <pic:cNvPicPr>
                      <a:picLocks noChangeArrowheads="1" noChangeAspect="1"/>
                    </pic:cNvPicPr>
                  </pic:nvPicPr>
                  <pic:blipFill>
                    <a:blip r:embed="rId63"/>
                    <a:stretch>
                      <a:fillRect/>
                    </a:stretch>
                  </pic:blipFill>
                  <pic:spPr bwMode="auto">
                    <a:xfrm>
                      <a:off x="0" y="0"/>
                      <a:ext cx="5969000" cy="4642555"/>
                    </a:xfrm>
                    <a:prstGeom prst="rect">
                      <a:avLst/>
                    </a:prstGeom>
                    <a:noFill/>
                    <a:ln w="9525">
                      <a:noFill/>
                      <a:headEnd/>
                      <a:tailEnd/>
                    </a:ln>
                  </pic:spPr>
                </pic:pic>
              </a:graphicData>
            </a:graphic>
          </wp:inline>
        </w:drawing>
      </w:r>
    </w:p>
    <w:p>
      <w:r>
        <w:br w:type="page"/>
      </w:r>
    </w:p>
    <w:p>
      <w:r>
        <w:br w:type="page"/>
      </w:r>
    </w:p>
    <w:p>
      <w:r>
        <w:br w:type="page"/>
      </w:r>
    </w:p>
    <w:bookmarkEnd w:id="66"/>
    <w:bookmarkEnd w:id="67"/>
    <w:bookmarkEnd w:id="68"/>
    <w:bookmarkEnd w:id="69"/>
    <w:bookmarkStart w:id="75" w:name="vahydro-model"/>
    <w:p>
      <w:pPr>
        <w:pStyle w:val="Titre1"/>
      </w:pPr>
      <w:r>
        <w:t xml:space="preserve">VAHydro Model:</w:t>
      </w:r>
    </w:p>
    <w:bookmarkStart w:id="72" w:name="appendix-b---vahydro"/>
    <w:p>
      <w:pPr>
        <w:pStyle w:val="Titre2"/>
      </w:pPr>
      <w:r>
        <w:t xml:space="preserve">Appendix B - VAHydro</w:t>
      </w:r>
    </w:p>
    <w:p>
      <w:pPr>
        <w:pStyle w:val="Normal"/>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70"/>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72"/>
    <w:bookmarkStart w:id="74" w:name="cumulative-impact-analysis-cia"/>
    <w:p>
      <w:pPr>
        <w:pStyle w:val="Titre2"/>
      </w:pPr>
      <w:r>
        <w:t xml:space="preserve">Cumulative Impact Analysis (CIA)</w:t>
      </w:r>
    </w:p>
    <w:p>
      <w:pPr>
        <w:pStyle w:val="Normal"/>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bookmarkStart w:id="73"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r>
        <w:br w:type="page"/>
      </w:r>
    </w:p>
    <w:bookmarkEnd w:id="73"/>
    <w:bookmarkEnd w:id="74"/>
    <w:bookmarkEnd w:id="75"/>
    <w:bookmarkStart w:id="85" w:name="X1caaf1d17d291896f9cf274a41dbe3eb875ccf1"/>
    <w:p>
      <w:pPr>
        <w:pStyle w:val="Titre1"/>
      </w:pPr>
      <w:r>
        <w:t xml:space="preserve">Appendix A - Ecological Impacts Assessment:</w:t>
      </w:r>
    </w:p>
    <w:bookmarkStart w:id="79"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19" name="Picture"/>
            <a:graphic>
              <a:graphicData uri="http://schemas.openxmlformats.org/drawingml/2006/picture">
                <pic:pic>
                  <pic:nvPicPr>
                    <pic:cNvPr descr="http://deq1.bse.vt.edu:81/data/proj3/out/fig.elfgen.6598629.png" id="20" name="Picture"/>
                    <pic:cNvPicPr>
                      <a:picLocks noChangeArrowheads="1" noChangeAspect="1"/>
                    </pic:cNvPicPr>
                  </pic:nvPicPr>
                  <pic:blipFill>
                    <a:blip r:embed="rId76"/>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79"/>
    <w:bookmarkStart w:id="83"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80"/>
      </w:r>
      <w:r>
        <w:t xml:space="preserve">. Note: elfgen methodology only applicable for watersheds &lt; 800 cfs mean annual flow.</w:t>
      </w:r>
    </w:p>
    <w:tbl xmlns:w14="http://schemas.microsoft.com/office/word/2010/wordml">
      <w:tblPr>
        <w:tblLayout w:type="fixed"/>
        <w:jc w:val="center"/>
        <w:tblLook w:firstRow="1" w:lastRow="0" w:firstColumn="0" w:lastColumn="0" w:noHBand="0" w:noVBand="1"/>
      </w:tblPr>
      <w:tblGrid>
        <w:gridCol w:w="2880"/>
        <w:gridCol w:w="2160"/>
        <w:gridCol w:w="2160"/>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runid_400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runid_601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Consumptive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55</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3.72</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NA</w:t>
            </w:r>
          </w:p>
        </w:tc>
      </w:tr>
      <w:tr>
        <w:trPr>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18"/>
                <w:szCs w:val="18"/>
                <w:color w:val="000000"/>
              </w:rPr>
              <w:t xml:space="preserve">NA</w:t>
            </w:r>
          </w:p>
        </w:tc>
      </w:tr>
    </w:tbl>
    <w:bookmarkEnd w:id="83"/>
    <w:bookmarkStart w:id="84" w:name="habitat-if-applicable"/>
    <w:p>
      <w:pPr>
        <w:pStyle w:val="Titre2"/>
      </w:pPr>
      <w:r>
        <w:t xml:space="preserve">Habitat (If Applicable):</w:t>
      </w:r>
    </w:p>
    <w:p>
      <w:r>
        <w:br w:type="page"/>
      </w:r>
    </w:p>
    <w:p>
      <w:pPr>
        <w:sectPr>
          <w:type w:val="continuous"/>
          <w:footerReference r:id="rId9" w:type="default"/>
          <w:footerReference r:id="rId10" w:type="even"/>
          <w:cols/>
          <w:pgSz w:h="16848" w:w="11952" w:orient="portrait"/>
          <w:pgMar w:header="0" w:bottom="720" w:top="720" w:right="1440" w:left="720" w:footer="0" w:gutter="720"/>
        </w:sectPr>
      </w:pPr>
    </w:p>
    <w:bookmarkEnd w:id="84"/>
    <w:bookmarkEnd w:id="85"/>
    <w:bookmarkStart w:id="86" w:name="appendix-c---nearby-users-table"/>
    <w:p>
      <w:pPr>
        <w:pStyle w:val="Titre1"/>
      </w:pPr>
      <w:r>
        <w:t xml:space="preserve">Appendix C - Nearby Users Table:</w:t>
      </w:r>
    </w:p>
    <w:tbl xmlns:w14="http://schemas.microsoft.com/office/word/2010/wordml">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true"/>
                <w:u w:val="none"/>
                <w:sz w:val="18"/>
                <w:szCs w:val="18"/>
                <w:color w:val="000000"/>
              </w:rPr>
              <w:t xml:space="preserve"> runid_400: base_demand_mgy </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Sandy River @ SR Reservoir</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Sandy River Reservoir 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Sandy River Reservoir 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hAnsi="Arial" w:eastAsia="Arial" w:cs="Arial"/>
                <w:i w:val="false"/>
                <w:b w:val="false"/>
                <w:u w:val="none"/>
                <w:sz w:val="18"/>
                <w:szCs w:val="18"/>
                <w:color w:val="000000"/>
              </w:rPr>
              <w:t xml:space="preserve">1,358.57</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86"/>
    <w:sectPr>
      <w:pgMar w:header="0" w:bottom="720" w:top="720" w:right="1440" w:left="720" w:footer="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 </w:t>
      </w:r>
      <w:hyperlink r:id="rId23">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70">
    <w:p>
      <w:pPr>
        <w:pStyle w:val="Notedebasdepage"/>
      </w:pPr>
      <w:r>
        <w:rPr>
          <w:rStyle w:val="Appelnotedebasdep"/>
        </w:rPr>
        <w:footnoteRef/>
      </w:r>
      <w:r>
        <w:t xml:space="preserve"> </w:t>
      </w:r>
      <w:r>
        <w:t xml:space="preserve"> </w:t>
      </w:r>
      <w:hyperlink r:id="rId71">
        <w:r>
          <w:rPr>
            <w:rStyle w:val="Lienhypertexte"/>
          </w:rPr>
          <w:t xml:space="preserve">Chesapeake Bay Program Phase 6 Model</w:t>
        </w:r>
      </w:hyperlink>
      <w:r>
        <w:t xml:space="preserve">.</w:t>
      </w:r>
    </w:p>
  </w:footnote>
  <w:footnote w:id="80">
    <w:p>
      <w:pPr>
        <w:pStyle w:val="Notedebasdepage"/>
      </w:pPr>
      <w:r>
        <w:rPr>
          <w:rStyle w:val="Appelnotedebasdep"/>
        </w:rPr>
        <w:footnoteRef/>
      </w:r>
      <w:r>
        <w:t xml:space="preserve"> </w:t>
      </w:r>
      <w:r>
        <w:t xml:space="preserve">Kleiner et al:</w:t>
      </w:r>
      <w:r>
        <w:t xml:space="preserve"> </w:t>
      </w:r>
      <w:hyperlink r:id="rId81">
        <w:r>
          <w:rPr>
            <w:rStyle w:val="Lienhypertexte"/>
          </w:rPr>
          <w:t xml:space="preserve">https://onlinelibrary.wiley.com/doi/full/10.1111/1752-1688.12876</w:t>
        </w:r>
      </w:hyperlink>
      <w:r>
        <w:t xml:space="preserve"> </w:t>
      </w:r>
      <w:r>
        <w:t xml:space="preserve">&amp; Rapp et al:</w:t>
      </w:r>
      <w:r>
        <w:t xml:space="preserve"> </w:t>
      </w:r>
      <w:hyperlink r:id="rId82">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59" Type="http://schemas.openxmlformats.org/officeDocument/2006/relationships/image" Target="media/rId59.png"/>
<Relationship Id="rId46" Type="http://schemas.openxmlformats.org/officeDocument/2006/relationships/image" Target="media/rId46.png"/>
<Relationship Id="rId54" Type="http://schemas.openxmlformats.org/officeDocument/2006/relationships/image" Target="media/rId54.png"/>
<Relationship Id="rId76" Type="http://schemas.openxmlformats.org/officeDocument/2006/relationships/image" Target="media/rId76.png"/>
<Relationship Id="rId33" Type="http://schemas.openxmlformats.org/officeDocument/2006/relationships/image" Target="media/rId33.png"/>
<Relationship Id="rId37" Type="http://schemas.openxmlformats.org/officeDocument/2006/relationships/image" Target="media/rId37.png"/>
<Relationship Id="rId25" Type="http://schemas.openxmlformats.org/officeDocument/2006/relationships/image" Target="media/rId25.png"/>
<Relationship Id="rId42" Type="http://schemas.openxmlformats.org/officeDocument/2006/relationships/image" Target="media/rId42.png"/>
<Relationship Id="rId50" Type="http://schemas.openxmlformats.org/officeDocument/2006/relationships/image" Target="media/rId50.png"/>
<Relationship Id="rId63" Type="http://schemas.openxmlformats.org/officeDocument/2006/relationships/image" Target="media/rId63.png"/>
<Relationship Id="rId81" Type="http://schemas.openxmlformats.org/officeDocument/2006/relationships/hyperlink" Target="https://onlinelibrary.wiley.com/doi/full/10.1111/1752-1688.12876" TargetMode="External"/>
<Relationship Id="rId82" Type="http://schemas.openxmlformats.org/officeDocument/2006/relationships/hyperlink" Target="https://onlinelibrary.wiley.com/doi/full/10.1111/1752-1688.12877" TargetMode="External"/>
<Relationship Id="rId71"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_rels/footnotes.xml.rels><?xml version="1.0" encoding="UTF-8" standalone="yes"?>

<Relationships  xmlns="http://schemas.openxmlformats.org/package/2006/relationships">
<Relationship Id="rId81" Type="http://schemas.openxmlformats.org/officeDocument/2006/relationships/hyperlink" Target="https://onlinelibrary.wiley.com/doi/full/10.1111/1752-1688.12876" TargetMode="External"/>
<Relationship Id="rId82" Type="http://schemas.openxmlformats.org/officeDocument/2006/relationships/hyperlink" Target="https://onlinelibrary.wiley.com/doi/full/10.1111/1752-1688.12877" TargetMode="External"/>
<Relationship Id="rId71"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Technical Evaluation – VWP 21-1912 Sandy River Reservoir</dc:title>
  <dc:creator/>
  <cp:keywords/>
  <dcterms:created xsi:type="dcterms:W3CDTF">2023-02-14T17:42:21Z</dcterms:created>
  <dcterms:modified xsi:type="dcterms:W3CDTF">2023-02-14T12:42:22Z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02/14/2023</vt:lpwstr>
  </property>
  <property fmtid="{D5CDD505-2E9C-101B-9397-08002B2CF9AE}" pid="3" name="output">
    <vt:lpwstr/>
  </property>
  <property fmtid="{D5CDD505-2E9C-101B-9397-08002B2CF9AE}" pid="4" name="params">
    <vt:lpwstr/>
  </property>
</Properties>
</file>