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38.png" ContentType="image/png"/>
  <Override PartName="/word/media/rId64.png" ContentType="image/png"/>
  <Override PartName="/word/media/rId42.png" ContentType="image/png"/>
  <Override PartName="/word/media/rId25.png" ContentType="image/png"/>
  <Override PartName="/word/media/rId34.png" ContentType="image/png"/>
  <Override PartName="/word/media/rId51.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Technical</w:t>
      </w:r>
      <w:r>
        <w:t xml:space="preserve"> </w:t>
      </w:r>
      <w:r>
        <w:t xml:space="preserve">Evaluation</w:t>
      </w:r>
      <w:r>
        <w:t xml:space="preserve"> </w:t>
      </w:r>
      <w:r>
        <w:t xml:space="preserve">–</w:t>
      </w:r>
      <w:r>
        <w:t xml:space="preserve"> </w:t>
      </w:r>
      <w:r>
        <w:t xml:space="preserve">VWP</w:t>
      </w:r>
      <w:r>
        <w:t xml:space="preserve"> </w:t>
      </w:r>
      <w:r>
        <w:t xml:space="preserve">18-0982</w:t>
      </w:r>
      <w:r>
        <w:t xml:space="preserve"> </w:t>
      </w:r>
      <w:r>
        <w:t xml:space="preserve">Kingsmill</w:t>
      </w:r>
    </w:p>
    <w:p>
      <w:pPr>
        <w:pStyle w:val="Date"/>
      </w:pPr>
      <w:r>
        <w:t xml:space="preserve">02/15/2023</w:t>
      </w:r>
    </w:p>
    <w:p>
      <w:r>
        <w:br w:type="page"/>
      </w:r>
    </w:p>
    <w:bookmarkStart w:id="21" w:name="project-introduction"/>
    <w:p>
      <w:pPr>
        <w:pStyle w:val="Titre1"/>
      </w:pPr>
      <w:r>
        <w:t xml:space="preserve">Project Introduction</w:t>
      </w:r>
    </w:p>
    <w:p>
      <w:pPr>
        <w:pStyle w:val="Normal"/>
      </w:pPr>
      <w:r>
        <w:t xml:space="preserve">General information about facility &amp; intake (non-model specific)</w:t>
      </w:r>
    </w:p>
    <w:bookmarkStart w:id="20" w:name="location-map"/>
    <w:p>
      <w:pPr>
        <w:pStyle w:val="Titre2"/>
      </w:pPr>
      <w:r>
        <w:t xml:space="preserve">Location Map</w:t>
      </w:r>
    </w:p>
    <w:p>
      <w:pPr>
        <w:pStyle w:val="Normal"/>
      </w:pPr>
      <w:r>
        <w:rPr>
          <w:iCs/>
          <w:i/>
        </w:rPr>
        <w:t xml:space="preserve">No location map available for this facility model</w:t>
      </w:r>
    </w:p>
    <w:p>
      <w:r>
        <w:br w:type="page"/>
      </w:r>
    </w:p>
    <w:bookmarkEnd w:id="20"/>
    <w:bookmarkEnd w:id="21"/>
    <w:bookmarkStart w:id="29" w:name="model-overview-and-scenario-descriptions"/>
    <w:p>
      <w:pPr>
        <w:pStyle w:val="Titre1"/>
      </w:pPr>
      <w:r>
        <w:t xml:space="preserve">Model Overview and Scenario Descriptions</w:t>
      </w:r>
    </w:p>
    <w:p>
      <w:pPr>
        <w:pStyle w:val="Normal"/>
      </w:pPr>
      <w:r>
        <w:rPr>
          <w:bCs/>
          <w:b/>
        </w:rPr>
        <w:t xml:space="preserve">River Model Description</w:t>
      </w:r>
      <w:r>
        <w:t xml:space="preserve"> </w:t>
      </w:r>
      <w:r>
        <w:t xml:space="preserve">River segment model overview not provided.</w:t>
      </w:r>
    </w:p>
    <w:p>
      <w:pPr>
        <w:pStyle w:val="Corpsdetexte"/>
      </w:pPr>
      <w:r>
        <w:rPr>
          <w:bCs/>
          <w:b/>
        </w:rPr>
        <w:t xml:space="preserve">Facility &amp; Intake Model Description</w:t>
      </w:r>
      <w:r>
        <w:t xml:space="preserve"> </w:t>
      </w:r>
      <w:r>
        <w:t xml:space="preserve">Facility intake model overview not provided.</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Cs/>
          <w:b/>
        </w:rPr>
        <w:t xml:space="preserve">runid_401</w:t>
      </w:r>
      <w:r>
        <w:t xml:space="preserve"> </w:t>
      </w:r>
      <w:r>
        <w:t xml:space="preserve">- Run report information not provided.</w:t>
      </w:r>
    </w:p>
    <w:bookmarkStart w:id="24" w:name="table-of-modeled-demand-limits"/>
    <w:p>
      <w:pPr>
        <w:pStyle w:val="Titre2"/>
      </w:pPr>
      <w:r>
        <w:t xml:space="preserve">Table of Modeled Demand Limits:</w:t>
      </w:r>
    </w:p>
    <w:tbl xmlns:w14="http://schemas.microsoft.com/office/word/2010/wordml">
      <w:tblPr>
        <w:tblLayout w:type="fixed"/>
        <w:jc w:val="center"/>
        <w:tblLook w:firstRow="1" w:lastRow="0" w:firstColumn="0" w:lastColumn="0" w:noHBand="0" w:noVBand="1"/>
      </w:tblPr>
      <w:tblGrid>
        <w:gridCol w:w="2736"/>
        <w:gridCol w:w="2448"/>
      </w:tblGrid>
      <w:tr>
        <w:trPr>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0"/>
                <w:szCs w:val="20"/>
                <w:color w:val="000000"/>
              </w:rPr>
              <w:t xml:space="preserve">runid_401</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Average Daily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0.11</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Peak Day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0.80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Maximum Annual Volume (MG)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40.00</w:t>
            </w:r>
          </w:p>
        </w:tc>
      </w:tr>
    </w:tbl>
    <w:p>
      <w:r>
        <w:br w:type="page"/>
      </w:r>
    </w:p>
    <w:p>
      <w:pPr>
        <w:pStyle w:val="Normal"/>
      </w:pPr>
      <w:r>
        <w:rPr>
          <w:bCs/>
          <w:b/>
        </w:rPr>
        <w:t xml:space="preserve">Historical Intake Flows and Drought Flow Indicators</w:t>
      </w:r>
    </w:p>
    <w:p>
      <w:pPr>
        <w:pStyle w:val="Corpsdetexte"/>
      </w:pPr>
      <w:r>
        <w:t xml:space="preserve">The VAHydro model is used to estimate flows at the project intake, including the impact of all cumulative withdrawals and discharges upstream of the intake location and are presented in Table 1. The Virginia Drought Assessment and Response Plan</w:t>
      </w:r>
      <w:r>
        <w:rPr>
          <w:rStyle w:val="Appelnotedebasdep"/>
        </w:rPr>
        <w:footnoteReference w:id="22"/>
      </w:r>
      <w:r>
        <w:t xml:space="preserve"> </w:t>
      </w:r>
      <w:r>
        <w:t xml:space="preserve">employs non-exceedance flow percentiles as indicators of drought conditions at particular stream-gaging stations used to monitor drought conditions. Representative daily streamflows above the 25th percentile for return flow frequency represent normal conditions with respect to drought. Representative daily streamflows between the 10th and 25th percentiles represent drought watch conditions. Representative daily streamflows between the 5th and 10th percentiles represent drought warning conditions. Representative daily streamflows below the 5th percentile indicate drought emergency conditions.</w:t>
      </w:r>
    </w:p>
    <w:tbl xmlns:w14="http://schemas.microsoft.com/office/word/2010/wordml">
      <w:tblPr>
        <w:tblLayout w:type="fixed"/>
        <w:jc w:val="center"/>
        <w:tblLook w:firstRow="1" w:lastRow="0" w:firstColumn="0" w:lastColumn="0" w:noHBand="0" w:noVBand="1"/>
      </w:tblPr>
      <w:tblGrid>
        <w:gridCol w:w="1022"/>
        <w:gridCol w:w="765"/>
        <w:gridCol w:w="729"/>
        <w:gridCol w:w="851"/>
        <w:gridCol w:w="851"/>
        <w:gridCol w:w="851"/>
        <w:gridCol w:w="851"/>
        <w:gridCol w:w="961"/>
      </w:tblGrid>
      <w:tr>
        <w:trPr>
          <w:trHeight w:val="57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Mean</w:t>
            </w:r>
          </w:p>
        </w:tc>
      </w:tr>
      <w:tr>
        <w:trPr>
          <w:trHeight w:val="571"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r>
      <w:tr>
        <w:trPr>
          <w:trHeight w:val="571"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r>
      <w:tr>
        <w:trPr>
          <w:trHeight w:val="572"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3.8</w:t>
            </w:r>
          </w:p>
        </w:tc>
      </w:tr>
      <w:tr>
        <w:trPr>
          <w:trHeight w:val="612"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w:t>
            </w:r>
          </w:p>
        </w:tc>
      </w:tr>
      <w:tr>
        <w:trPr>
          <w:trHeight w:val="61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w:t>
            </w:r>
          </w:p>
        </w:tc>
      </w:tr>
      <w:tr>
        <w:trPr>
          <w:trHeight w:val="572"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w:t>
            </w:r>
          </w:p>
        </w:tc>
      </w:tr>
      <w:tr>
        <w:trPr>
          <w:trHeight w:val="572"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r>
      <w:tr>
        <w:trPr>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r>
      <w:tr>
        <w:trPr>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r>
      <w:tr>
        <w:trPr>
          <w:trHeight w:val="574"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w:t>
            </w:r>
          </w:p>
        </w:tc>
      </w:tr>
      <w:tr>
        <w:trPr>
          <w:trHeight w:val="571"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w:t>
            </w:r>
          </w:p>
        </w:tc>
      </w:tr>
      <w:tr>
        <w:trPr>
          <w:trHeight w:val="572"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w:t>
            </w:r>
          </w:p>
        </w:tc>
      </w:tr>
    </w:tbl>
    <w:p>
      <w:pPr>
        <w:pStyle w:val="Corpsdetexte"/>
      </w:pPr>
      <w:r>
        <w:rPr>
          <w:bCs/>
          <w:b/>
        </w:rPr>
        <w:t xml:space="preserve">Table 1:</w:t>
      </w:r>
      <w:r>
        <w:t xml:space="preserve"> </w:t>
      </w:r>
      <w:r>
        <w:t xml:space="preserve">Modeled monthly current flow statistics for un-named intake in cubic feet per second (cfs). Columns show the minimum (Min) and average (Mean) modeled flow, and a range of non-exceedance flow percentiles, that is, the percent of flows that do</w:t>
      </w:r>
      <w:r>
        <w:t xml:space="preserve"> </w:t>
      </w:r>
      <w:r>
        <w:rPr>
          <w:iCs/>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1 cfs.</w:t>
      </w:r>
    </w:p>
    <w:bookmarkEnd w:id="24"/>
    <w:bookmarkStart w:id="28" w:name="X65da31ce28e5fa9b16f4d4d6d51c4e80933fda9"/>
    <w:p>
      <w:pPr>
        <w:pStyle w:val="Titre2"/>
      </w:pPr>
      <w:r>
        <w:t xml:space="preserve">Current Facility Base Demand Before Conservation:</w:t>
      </w:r>
    </w:p>
    <w:p>
      <w:pPr>
        <w:pStyle w:val="Normal"/>
      </w:pPr>
      <w:r>
        <w:drawing>
          <wp:inline>
            <wp:extent cx="5969000" cy="5969000"/>
            <wp:effectExtent b="0" l="0" r="0" t="0"/>
            <wp:docPr descr="" title="" id="1" name="Picture"/>
            <a:graphic>
              <a:graphicData uri="http://schemas.openxmlformats.org/drawingml/2006/picture">
                <pic:pic>
                  <pic:nvPicPr>
                    <pic:cNvPr descr="http://deq1.bse.vt.edu:81/data/proj3/out/fig.monthly_demand.220401.401.png" id="2" name="Picture"/>
                    <pic:cNvPicPr>
                      <a:picLocks noChangeArrowheads="1" noChangeAspect="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28"/>
    <w:bookmarkEnd w:id="29"/>
    <w:bookmarkStart w:id="57" w:name="results"/>
    <w:p>
      <w:pPr>
        <w:pStyle w:val="Titre1"/>
      </w:pPr>
      <w:r>
        <w:t xml:space="preserve">Results</w:t>
      </w:r>
    </w:p>
    <w:bookmarkStart w:id="30" w:name="summary"/>
    <w:p>
      <w:pPr>
        <w:pStyle w:val="Titre2"/>
      </w:pPr>
      <w:r>
        <w:t xml:space="preserve">Summary</w:t>
      </w:r>
    </w:p>
    <w:p>
      <w:pPr>
        <w:pStyle w:val="Normal"/>
      </w:pPr>
      <w:r>
        <w:t xml:space="preserve">Presented below are 1 scenarios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2"/>
        </w:numPr>
        <w:pStyle w:val="Compact"/>
      </w:pPr>
      <w:r>
        <w:rPr>
          <w:bCs/>
          <w:b/>
        </w:rPr>
        <w:t xml:space="preserve">runid_401</w:t>
      </w:r>
      <w:r>
        <w:t xml:space="preserve"> </w:t>
      </w:r>
      <w:r>
        <w:t xml:space="preserve">- Run analysis not provided.</w:t>
      </w:r>
    </w:p>
    <w:bookmarkEnd w:id="30"/>
    <w:bookmarkStart w:id="31" w:name="conclusion"/>
    <w:p>
      <w:pPr>
        <w:pStyle w:val="Titre2"/>
      </w:pPr>
      <w:r>
        <w:t xml:space="preserve">Conclusion</w:t>
      </w:r>
    </w:p>
    <w:p>
      <w:pPr>
        <w:numPr>
          <w:ilvl w:val="0"/>
          <w:numId w:val="1003"/>
        </w:numPr>
        <w:pStyle w:val="Compact"/>
      </w:pPr>
      <w:r>
        <w:rPr>
          <w:bCs/>
          <w:b/>
        </w:rPr>
        <w:t xml:space="preserve">runid_401</w:t>
      </w:r>
      <w:r>
        <w:t xml:space="preserve"> </w:t>
      </w:r>
      <w:r>
        <w:t xml:space="preserve">- Preferred scenario, runid_401 , conclusions not provided.</w:t>
      </w:r>
      <w:r>
        <w:t xml:space="preserve"> </w:t>
      </w:r>
      <w:r>
        <w:t xml:space="preserve">Conclusions should be stored in [model] -&gt; 401 -&gt; reports -&gt; conclusions</w:t>
      </w:r>
    </w:p>
    <w:p xmlns:w14="http://schemas.microsoft.com/office/word/2010/wordml">
      <w:pPr>
        <w:pStyle w:val="TableCaption"/>
        <w:jc w:val="center"/>
        <w:keepNext/>
      </w:pPr>
      <w:r>
        <w:t xml:space="preserve">Modeled monthly consumptive use statistics in the  Tidal JB0_7391_0000 James River in cubic feet per second (cfs). Columns show the modeled non-exceedance flow percentiles and the associated consumptive user percentage due to cumulative demands for the  scenario. Simulated demands include all up-stream demands as well as simulated demands at the Kingsmill Resort un-named intake intake ) and cumulative return flows.  </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Month</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Min</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Jan (Jan%)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 (0%)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Feb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 (0%)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 (0%)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Apr (Apr%)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 (0%)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May (May%)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 (0%)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Jun (Jun%)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 (0%)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Jul (Jul%)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 (0%)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Aug (Aug%)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 (0%)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Sep (Sep%)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Oct (Oct%)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 (0%)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Nov (Nov%)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 (0%)</w:t>
            </w:r>
          </w:p>
        </w:tc>
      </w:tr>
      <w:tr>
        <w:trPr>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Dec (Dec%)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(0%)</w:t>
            </w:r>
          </w:p>
        </w:tc>
      </w:tr>
    </w:tbl>
    <w:p>
      <w:r>
        <w:br w:type="page"/>
      </w:r>
    </w:p>
    <w:bookmarkEnd w:id="31"/>
    <w:bookmarkStart w:id="56" w:name="detailed-cumulative-impact-analysis"/>
    <w:p>
      <w:pPr>
        <w:pStyle w:val="Titre2"/>
      </w:pPr>
      <w:r>
        <w:t xml:space="preserve">Detailed Cumulative Impact Analysis</w:t>
      </w:r>
    </w:p>
    <w:p>
      <w:pPr>
        <w:pStyle w:val="Normal"/>
      </w:pPr>
      <w:r>
        <w:t xml:space="preserve">The following</w:t>
      </w:r>
      <w:r>
        <w:t xml:space="preserve"> </w:t>
      </w:r>
      <w:r>
        <w:t xml:space="preserve">“</w:t>
      </w:r>
      <w:r>
        <w:t xml:space="preserve">Summary of Results</w:t>
      </w:r>
      <w:r>
        <w:t xml:space="preserve">”</w:t>
      </w:r>
      <w:r>
        <w:t xml:space="preserve"> </w:t>
      </w:r>
      <w:r>
        <w:t xml:space="preserve">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sectPr>
          <w:type w:val="continuous"/>
          <w:footerReference r:id="rId9" w:type="default"/>
          <w:footerReference r:id="rId10" w:type="even"/>
          <w:cols/>
          <w:pgSz w:h="16848" w:w="11952" w:orient="portrait"/>
          <w:pgMar w:header="0" w:bottom="720" w:top="720" w:right="1440" w:left="720" w:footer="0" w:gutter="720"/>
        </w:sectPr>
      </w:pPr>
    </w:p>
    <w:bookmarkStart w:id="32" w:name="summary-of-results"/>
    <w:p>
      <w:pPr>
        <w:pStyle w:val="Titre3"/>
      </w:pPr>
      <w:r>
        <w:t xml:space="preserve">Summary of Results:</w:t>
      </w:r>
    </w:p>
    <w:tbl xmlns:w14="http://schemas.microsoft.com/office/word/2010/wordml">
      <w:tblPr>
        <w:tblLayout w:type="fixed"/>
        <w:jc w:val="center"/>
        <w:tblLook w:firstRow="1" w:lastRow="0" w:firstColumn="0" w:lastColumn="0" w:noHBand="0" w:noVBand="1"/>
      </w:tblPr>
      <w:tblGrid>
        <w:gridCol w:w="3600"/>
        <w:gridCol w:w="2736"/>
      </w:tblGrid>
      <w:tr>
        <w:trPr>
          <w:trHeight w:val="613"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runid_401</w:t>
            </w:r>
          </w:p>
        </w:tc>
      </w:tr>
      <w:tr>
        <w:trPr>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Tidal JB0_7391_0000 James River</w:t>
            </w:r>
          </w:p>
        </w:tc>
      </w:tr>
      <w:tr>
        <w:trPr>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Flow Out (cfs) - (i.e mean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2.69</w:t>
            </w:r>
          </w:p>
        </w:tc>
      </w:tr>
      <w:tr>
        <w:trPr>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NA</w:t>
            </w:r>
          </w:p>
        </w:tc>
      </w:tr>
      <w:tr>
        <w:trPr>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90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0.31</w:t>
            </w:r>
          </w:p>
        </w:tc>
      </w:tr>
      <w:tr>
        <w:trPr>
          <w:trHeight w:val="615"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Kingsmill Resort:Rhine River Lake/Brewery Road Lake</w:t>
            </w:r>
          </w:p>
        </w:tc>
      </w:tr>
      <w:tr>
        <w:trPr>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Groundwater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32"/>
    <w:bookmarkStart w:id="33" w:name="analysis-of-reservoir-storage"/>
    <w:p>
      <w:pPr>
        <w:pStyle w:val="Titre3"/>
      </w:pPr>
      <w:r>
        <w:t xml:space="preserve">Analysis of Reservoir Storage:</w:t>
      </w:r>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runid_401</w:t>
      </w:r>
      <w:r>
        <w:t xml:space="preserve">”</w:t>
      </w:r>
    </w:p>
    <w:p>
      <w:r>
        <w:br w:type="page"/>
      </w:r>
    </w:p>
    <w:bookmarkEnd w:id="33"/>
    <w:bookmarkStart w:id="46" w:name="X124a6240bc8912ace867f898c7d80aa333d7cbc"/>
    <w:p>
      <w:pPr>
        <w:pStyle w:val="Titre3"/>
      </w:pPr>
      <w:r>
        <w:t xml:space="preserve">Analysis of Potential Unmet Demand at the River Intake:</w:t>
      </w:r>
    </w:p>
    <w:p>
      <w:pPr>
        <w:pStyle w:val="Normal"/>
      </w:pPr>
      <w:r>
        <w:t xml:space="preserve">The following grids are data plotting tools that help visualize data as magnitudes of color intensity. These depict the number of days with unmet demands for each month of the simulation (due to demands exceeding allowable withdrawal at the intake based on the cumulative conditions in the watershed and the flow-by rules in effect). The cells show the amount of unmet demand for each month [Number of Unmet Days &amp; Amount (MGD)]. Hydrographs are shown for the period of the simulation with greatest unmet demand.</w:t>
      </w:r>
    </w:p>
    <w:bookmarkStart w:id="37" w:name="unmet-demand-runid_401"/>
    <w:p>
      <w:pPr>
        <w:pStyle w:val="Titre4"/>
      </w:pPr>
      <w:r>
        <w:t xml:space="preserve">Unmet Demand: runid_401</w:t>
      </w:r>
    </w:p>
    <w:p>
      <w:pPr>
        <w:pStyle w:val="Normal"/>
      </w:pPr>
      <w:r>
        <w:drawing>
          <wp:inline>
            <wp:extent cx="5969000" cy="3769894"/>
            <wp:effectExtent b="0" l="0" r="0" t="0"/>
            <wp:docPr descr="" title="" id="3" name="Picture"/>
            <a:graphic>
              <a:graphicData uri="http://schemas.openxmlformats.org/drawingml/2006/picture">
                <pic:pic>
                  <pic:nvPicPr>
                    <pic:cNvPr descr="http://deq1.bse.vt.edu:81/data/proj3/out/fig.unmet_heatmap_amt.220401.401.png" id="4" name="Picture"/>
                    <pic:cNvPicPr>
                      <a:picLocks noChangeArrowheads="1" noChangeAspect="1"/>
                    </pic:cNvPicPr>
                  </pic:nvPicPr>
                  <pic:blipFill>
                    <a:blip r:embed="rId34"/>
                    <a:stretch>
                      <a:fillRect/>
                    </a:stretch>
                  </pic:blipFill>
                  <pic:spPr bwMode="auto">
                    <a:xfrm>
                      <a:off x="0" y="0"/>
                      <a:ext cx="5969000" cy="3769894"/>
                    </a:xfrm>
                    <a:prstGeom prst="rect">
                      <a:avLst/>
                    </a:prstGeom>
                    <a:noFill/>
                    <a:ln w="9525">
                      <a:noFill/>
                      <a:headEnd/>
                      <a:tailEnd/>
                    </a:ln>
                  </pic:spPr>
                </pic:pic>
              </a:graphicData>
            </a:graphic>
          </wp:inline>
        </w:drawing>
      </w:r>
    </w:p>
    <w:bookmarkEnd w:id="37"/>
    <w:bookmarkStart w:id="41" w:name="hydrograph-runid_401"/>
    <w:p>
      <w:pPr>
        <w:pStyle w:val="Titre4"/>
      </w:pPr>
      <w:r>
        <w:t xml:space="preserve">Hydrograph: runid_401</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30daymax_unmet.220401.401.png" id="6"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bookmarkEnd w:id="41"/>
    <w:bookmarkStart w:id="45" w:name="reservoir-storage-runid_401"/>
    <w:p>
      <w:pPr>
        <w:pStyle w:val="Titre4"/>
      </w:pPr>
      <w:r>
        <w:t xml:space="preserve">Reservoir Storage: runid_401</w:t>
      </w:r>
    </w:p>
    <w:p>
      <w:pPr>
        <w:pStyle w:val="Normal"/>
      </w:pPr>
      <w:r>
        <w:drawing>
          <wp:inline>
            <wp:extent cx="5969000" cy="5969000"/>
            <wp:effectExtent b="0" l="0" r="0" t="0"/>
            <wp:docPr descr="" title="" id="7" name="Picture"/>
            <a:graphic>
              <a:graphicData uri="http://schemas.openxmlformats.org/drawingml/2006/picture">
                <pic:pic>
                  <pic:nvPicPr>
                    <pic:cNvPr descr="http://deq1.bse.vt.edu:81/data/proj3/out/fig.imp_storage.all.220401.401.png" id="8"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45"/>
    <w:bookmarkEnd w:id="46"/>
    <w:bookmarkStart w:id="55" w:name="additional-model-flow-plots"/>
    <w:p>
      <w:pPr>
        <w:pStyle w:val="Titre3"/>
      </w:pPr>
      <w:r>
        <w:t xml:space="preserve">Additional Model Flow Plots:</w:t>
      </w:r>
    </w:p>
    <w:bookmarkStart w:id="50" w:name="runid_401"/>
    <w:p>
      <w:pPr>
        <w:pStyle w:val="Titre4"/>
      </w:pPr>
      <w:r>
        <w:t xml:space="preserve">runid_401 :</w:t>
      </w:r>
    </w:p>
    <w:p>
      <w:pPr>
        <w:pStyle w:val="Normal"/>
      </w:pPr>
      <w:r>
        <w:drawing>
          <wp:inline>
            <wp:extent cx="5969000" cy="5968999"/>
            <wp:effectExtent b="0" l="0" r="0" t="0"/>
            <wp:docPr descr="" title="" id="9" name="Picture"/>
            <a:graphic>
              <a:graphicData uri="http://schemas.openxmlformats.org/drawingml/2006/picture">
                <pic:pic>
                  <pic:nvPicPr>
                    <pic:cNvPr descr="http://deq1.bse.vt.edu:81/data/proj3/out/fdc.212957.401.png" id="10" name="Picture"/>
                    <pic:cNvPicPr>
                      <a:picLocks noChangeArrowheads="1" noChangeAspect="1"/>
                    </pic:cNvPicPr>
                  </pic:nvPicPr>
                  <pic:blipFill>
                    <a:blip r:embed="rId47"/>
                    <a:stretch>
                      <a:fillRect/>
                    </a:stretch>
                  </pic:blipFill>
                  <pic:spPr bwMode="auto">
                    <a:xfrm>
                      <a:off x="0" y="0"/>
                      <a:ext cx="5969000" cy="5968999"/>
                    </a:xfrm>
                    <a:prstGeom prst="rect">
                      <a:avLst/>
                    </a:prstGeom>
                    <a:noFill/>
                    <a:ln w="9525">
                      <a:noFill/>
                      <a:headEnd/>
                      <a:tailEnd/>
                    </a:ln>
                  </pic:spPr>
                </pic:pic>
              </a:graphicData>
            </a:graphic>
          </wp:inline>
        </w:drawing>
      </w:r>
    </w:p>
    <w:bookmarkEnd w:id="50"/>
    <w:bookmarkStart w:id="54" w:name="runid_401-1"/>
    <w:p>
      <w:pPr>
        <w:pStyle w:val="Titre4"/>
      </w:pPr>
      <w:r>
        <w:t xml:space="preserve">runid_401 :</w:t>
      </w:r>
    </w:p>
    <w:p>
      <w:pPr>
        <w:pStyle w:val="Normal"/>
      </w:pPr>
      <w:r>
        <w:drawing>
          <wp:inline>
            <wp:extent cx="5969000" cy="4642555"/>
            <wp:effectExtent b="0" l="0" r="0" t="0"/>
            <wp:docPr descr="" title="" id="11" name="Picture"/>
            <a:graphic>
              <a:graphicData uri="http://schemas.openxmlformats.org/drawingml/2006/picture">
                <pic:pic>
                  <pic:nvPicPr>
                    <pic:cNvPr descr="http://deq1.bse.vt.edu:81/data/proj3/out/hydrograph_dry.212957.401.png" id="12" name="Picture"/>
                    <pic:cNvPicPr>
                      <a:picLocks noChangeArrowheads="1" noChangeAspect="1"/>
                    </pic:cNvPicPr>
                  </pic:nvPicPr>
                  <pic:blipFill>
                    <a:blip r:embed="rId51"/>
                    <a:stretch>
                      <a:fillRect/>
                    </a:stretch>
                  </pic:blipFill>
                  <pic:spPr bwMode="auto">
                    <a:xfrm>
                      <a:off x="0" y="0"/>
                      <a:ext cx="5969000" cy="4642555"/>
                    </a:xfrm>
                    <a:prstGeom prst="rect">
                      <a:avLst/>
                    </a:prstGeom>
                    <a:noFill/>
                    <a:ln w="9525">
                      <a:noFill/>
                      <a:headEnd/>
                      <a:tailEnd/>
                    </a:ln>
                  </pic:spPr>
                </pic:pic>
              </a:graphicData>
            </a:graphic>
          </wp:inline>
        </w:drawing>
      </w:r>
    </w:p>
    <w:p>
      <w:r>
        <w:br w:type="page"/>
      </w:r>
    </w:p>
    <w:p>
      <w:r>
        <w:br w:type="page"/>
      </w:r>
    </w:p>
    <w:bookmarkEnd w:id="54"/>
    <w:bookmarkEnd w:id="55"/>
    <w:bookmarkEnd w:id="56"/>
    <w:bookmarkEnd w:id="57"/>
    <w:bookmarkStart w:id="63" w:name="vahydro-model"/>
    <w:p>
      <w:pPr>
        <w:pStyle w:val="Titre1"/>
      </w:pPr>
      <w:r>
        <w:t xml:space="preserve">VAHydro Model:</w:t>
      </w:r>
    </w:p>
    <w:bookmarkStart w:id="60" w:name="appendix-b---vahydro"/>
    <w:p>
      <w:pPr>
        <w:pStyle w:val="Titre2"/>
      </w:pPr>
      <w:r>
        <w:t xml:space="preserve">Appendix B - VAHydro</w:t>
      </w:r>
    </w:p>
    <w:p>
      <w:pPr>
        <w:pStyle w:val="Normal"/>
      </w:pPr>
      <w:r>
        <w:t xml:space="preserve">The comprehensive VAHydro hydrologic model is used by the DEQ Office of Water Supply to evaluate instream and off-stream beneficial uses for non-tidal surface water withdrawals throughout Virginia. This model also simulates streamflow with inputs such as precipitation, climate, land use, and topography, as well as local data collected through DEQ water supply planning and reporting programs, which includes all known withdrawals and discharges, as well as operational rules of Virginia Water Protection (VWP) permits and major hydrologic features such as reservoirs.</w:t>
      </w:r>
    </w:p>
    <w:p>
      <w:pPr>
        <w:pStyle w:val="Corpsdetexte"/>
      </w:pPr>
      <w:r>
        <w:t xml:space="preserve">The VAHydro model is built on the rainfall-evaporation-runoff (RER) time-series from the Chesapeake Bay Model Phase 6</w:t>
      </w:r>
      <w:r>
        <w:rPr>
          <w:rStyle w:val="Appelnotedebasdep"/>
        </w:rPr>
        <w:footnoteReference w:id="58"/>
      </w:r>
      <w:r>
        <w:t xml:space="preserve">. The VAHydro model simulates conditions from 1984-2014 in the Chesapeake Bay watershed drainage, and 1984-2005 in the rivers flowing outside of the Chesapeake Bay watershed. 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60"/>
    <w:bookmarkStart w:id="62" w:name="cumulative-impact-analysis-cia"/>
    <w:p>
      <w:pPr>
        <w:pStyle w:val="Titre2"/>
      </w:pPr>
      <w:r>
        <w:t xml:space="preserve">Cumulative Impact Analysis (CIA)</w:t>
      </w:r>
    </w:p>
    <w:p>
      <w:pPr>
        <w:pStyle w:val="Normal"/>
      </w:pPr>
      <w:r>
        <w:t xml:space="preserve">DEQ assesses water supply sustainability through Cumulative Impact Analysis (CIA). CIA is a modeling and analysis approach that takes into account the varied hydrologic processes occurring throughout a river network (including meteorological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bookmarkStart w:id="61" w:name="Xf0763edeaba3531f9a3b47309baa01f3df416e6"/>
    <w:p>
      <w:pPr>
        <w:pStyle w:val="Titre3"/>
      </w:pPr>
      <w:r>
        <w:t xml:space="preserve">Glossary of Cumulative Impact Modeling Terms</w:t>
      </w:r>
    </w:p>
    <w:p>
      <w:pPr>
        <w:numPr>
          <w:ilvl w:val="0"/>
          <w:numId w:val="1004"/>
        </w:numPr>
        <w:pStyle w:val="Compact"/>
      </w:pPr>
      <w:r>
        <w:t xml:space="preserve">30 Day Low Flow (l30): Describes the lowest consecutive 30 day average daily streamflow over the simulation period. This metric is a representation of a short-term, or acute drought.</w:t>
      </w:r>
    </w:p>
    <w:p>
      <w:pPr>
        <w:numPr>
          <w:ilvl w:val="0"/>
          <w:numId w:val="1004"/>
        </w:numPr>
        <w:pStyle w:val="Compact"/>
      </w:pPr>
      <w:r>
        <w:t xml:space="preserve">90 Day Low Flow (l90): Represents the lowest consecutive 90 day average daily streamflow over the simulation period. This would represent a prolonged drought.</w:t>
      </w:r>
    </w:p>
    <w:p>
      <w:pPr>
        <w:numPr>
          <w:ilvl w:val="0"/>
          <w:numId w:val="1004"/>
        </w:numPr>
        <w:pStyle w:val="Compact"/>
      </w:pPr>
      <w:r>
        <w:t xml:space="preserve">Base Demand / Requested Demand: The demand simulated for a facility/intake prior to any reductions due to conservation, depleted storage, or adherence to Minimum Instream Flow operational rules (MIF). In this document,</w:t>
      </w:r>
      <w:r>
        <w:t xml:space="preserve"> </w:t>
      </w:r>
      <w:r>
        <w:rPr>
          <w:iCs/>
          <w:i/>
        </w:rPr>
        <w:t xml:space="preserve">Base Demand</w:t>
      </w:r>
      <w:r>
        <w:t xml:space="preserve"> </w:t>
      </w:r>
      <w:r>
        <w:t xml:space="preserve">is expressed as</w:t>
      </w:r>
      <w:r>
        <w:t xml:space="preserve"> </w:t>
      </w:r>
      <w:r>
        <w:rPr>
          <w:iCs/>
          <w:i/>
        </w:rPr>
        <w:t xml:space="preserve">MGY</w:t>
      </w:r>
      <w:r>
        <w:t xml:space="preserve">, and Requested Demand is given in</w:t>
      </w:r>
      <w:r>
        <w:t xml:space="preserve"> </w:t>
      </w:r>
      <w:r>
        <w:rPr>
          <w:iCs/>
          <w:i/>
        </w:rPr>
        <w:t xml:space="preserve">MGD</w:t>
      </w:r>
      <w:r>
        <w:t xml:space="preserve">.</w:t>
      </w:r>
    </w:p>
    <w:p>
      <w:pPr>
        <w:numPr>
          <w:ilvl w:val="0"/>
          <w:numId w:val="1004"/>
        </w:numPr>
        <w:pStyle w:val="Compact"/>
      </w:pPr>
      <w:r>
        <w:t xml:space="preserve">CFS: Cubic Feet Per Second, a common unit of measuring stream flow.</w:t>
      </w:r>
    </w:p>
    <w:p>
      <w:pPr>
        <w:numPr>
          <w:ilvl w:val="0"/>
          <w:numId w:val="1004"/>
        </w:numPr>
        <w:pStyle w:val="Compact"/>
      </w:pPr>
      <w:r>
        <w:t xml:space="preserve">Consumptive Use Fraction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numPr>
          <w:ilvl w:val="0"/>
          <w:numId w:val="1004"/>
        </w:numPr>
        <w:pStyle w:val="Compact"/>
      </w:pPr>
      <w:r>
        <w:t xml:space="preserve">Cumulative Withdrawal: The amount of water withdrawn by all intakes in a given river segment sub-watershed, and all upstream sub-watersheds. See also:</w:t>
      </w:r>
      <w:r>
        <w:t xml:space="preserve"> </w:t>
      </w:r>
      <w:r>
        <w:rPr>
          <w:iCs/>
          <w:i/>
        </w:rPr>
        <w:t xml:space="preserve">Cumulative Withdrawal</w:t>
      </w:r>
      <w:r>
        <w:t xml:space="preserve">.</w:t>
      </w:r>
    </w:p>
    <w:p>
      <w:pPr>
        <w:numPr>
          <w:ilvl w:val="0"/>
          <w:numId w:val="1004"/>
        </w:numPr>
        <w:pStyle w:val="Compact"/>
      </w:pPr>
      <w:r>
        <w:t xml:space="preserve">Days of Storage Remaining: For reservoir models, the quotient of the volume of water in a reservoir divided by the daily rate of withdrawal, calculated at each time step of the entire simulation period.</w:t>
      </w:r>
    </w:p>
    <w:p>
      <w:pPr>
        <w:numPr>
          <w:ilvl w:val="0"/>
          <w:numId w:val="1004"/>
        </w:numPr>
        <w:pStyle w:val="Compact"/>
      </w:pPr>
      <w:r>
        <w:t xml:space="preserve">Maximum 30 day potential unmet demand (MGD): The largest difference between</w:t>
      </w:r>
      <w:r>
        <w:t xml:space="preserve"> </w:t>
      </w:r>
      <w:r>
        <w:rPr>
          <w:iCs/>
          <w:i/>
        </w:rPr>
        <w:t xml:space="preserve">Requested Demand</w:t>
      </w:r>
      <w:r>
        <w:t xml:space="preserve"> </w:t>
      </w:r>
      <w:r>
        <w:t xml:space="preserve">and</w:t>
      </w:r>
      <w:r>
        <w:t xml:space="preserve"> </w:t>
      </w:r>
      <w:r>
        <w:rPr>
          <w:iCs/>
          <w:i/>
        </w:rPr>
        <w:t xml:space="preserve">Withdrawal Met</w:t>
      </w:r>
      <w:r>
        <w:t xml:space="preserve"> </w:t>
      </w:r>
      <w:r>
        <w:t xml:space="preserve">that results during a continuous 30-day simulation period.</w:t>
      </w:r>
    </w:p>
    <w:p>
      <w:pPr>
        <w:numPr>
          <w:ilvl w:val="0"/>
          <w:numId w:val="1004"/>
        </w:numPr>
        <w:pStyle w:val="Compact"/>
      </w:pPr>
      <w:r>
        <w:t xml:space="preserve">MGD: Millions of Gallons per Day, a common unit of measuring withdrawal and discharge.</w:t>
      </w:r>
    </w:p>
    <w:p>
      <w:pPr>
        <w:numPr>
          <w:ilvl w:val="0"/>
          <w:numId w:val="1004"/>
        </w:numPr>
        <w:pStyle w:val="Compact"/>
      </w:pPr>
      <w:r>
        <w:t xml:space="preserve">MGY: Millions of Gallons per Year, a common unit for expressing annual facility demand.</w:t>
      </w:r>
    </w:p>
    <w:p>
      <w:pPr>
        <w:numPr>
          <w:ilvl w:val="0"/>
          <w:numId w:val="1004"/>
        </w:numPr>
        <w:pStyle w:val="Compact"/>
      </w:pPr>
      <w:r>
        <w:t xml:space="preserve">Minimum Days of Storage Remaining: The minimum simulated</w:t>
      </w:r>
      <w:r>
        <w:t xml:space="preserve"> </w:t>
      </w:r>
      <w:r>
        <w:rPr>
          <w:iCs/>
          <w:i/>
        </w:rPr>
        <w:t xml:space="preserve">Days of Storage Remaining</w:t>
      </w:r>
      <w:r>
        <w:t xml:space="preserve"> </w:t>
      </w:r>
      <w:r>
        <w:t xml:space="preserve">in a reservoir.</w:t>
      </w:r>
    </w:p>
    <w:p>
      <w:pPr>
        <w:numPr>
          <w:ilvl w:val="0"/>
          <w:numId w:val="1004"/>
        </w:numPr>
        <w:pStyle w:val="Compact"/>
      </w:pPr>
      <w:r>
        <w:t xml:space="preserve">Point Source: Water returned to the stream as treated wastewater.</w:t>
      </w:r>
    </w:p>
    <w:p>
      <w:pPr>
        <w:numPr>
          <w:ilvl w:val="0"/>
          <w:numId w:val="1004"/>
        </w:numPr>
        <w:pStyle w:val="Compact"/>
      </w:pPr>
      <w:r>
        <w:t xml:space="preserve">Withdrawal: The amount of water withdrawn by a single facility, or the total amount of water withdrawn within a single simulated river segment sub-watershed. See also:</w:t>
      </w:r>
      <w:r>
        <w:t xml:space="preserve"> </w:t>
      </w:r>
      <w:r>
        <w:rPr>
          <w:iCs/>
          <w:i/>
        </w:rPr>
        <w:t xml:space="preserve">Cumulative Withdrawal</w:t>
      </w:r>
      <w:r>
        <w:t xml:space="preserve">.</w:t>
      </w:r>
    </w:p>
    <w:p>
      <w:pPr>
        <w:numPr>
          <w:ilvl w:val="0"/>
          <w:numId w:val="1004"/>
        </w:numPr>
        <w:pStyle w:val="Compact"/>
      </w:pPr>
      <w:r>
        <w:t xml:space="preserve">Withdrawal Met: The amoiunt of requested demand that was met, on average, throughout the entire simulation period.</w:t>
      </w:r>
    </w:p>
    <w:p>
      <w:pPr>
        <w:numPr>
          <w:ilvl w:val="0"/>
          <w:numId w:val="1004"/>
        </w:numPr>
        <w:pStyle w:val="Compact"/>
      </w:pPr>
      <w:r>
        <w:t xml:space="preserve">Unmet Demand: The difference between</w:t>
      </w:r>
      <w:r>
        <w:t xml:space="preserve"> </w:t>
      </w:r>
      <w:r>
        <w:rPr>
          <w:iCs/>
          <w:i/>
        </w:rPr>
        <w:t xml:space="preserve">Base Demand</w:t>
      </w:r>
      <w:r>
        <w:t xml:space="preserve"> </w:t>
      </w:r>
      <w:r>
        <w:t xml:space="preserve">and</w:t>
      </w:r>
      <w:r>
        <w:t xml:space="preserve"> </w:t>
      </w:r>
      <w:r>
        <w:rPr>
          <w:iCs/>
          <w:i/>
        </w:rPr>
        <w:t xml:space="preserve">Withdrawal Met</w:t>
      </w:r>
      <w:r>
        <w:t xml:space="preserve">, on average, throughout the entire simulation period.</w:t>
      </w:r>
    </w:p>
    <w:p>
      <w:r>
        <w:br w:type="page"/>
      </w:r>
    </w:p>
    <w:bookmarkEnd w:id="61"/>
    <w:bookmarkEnd w:id="62"/>
    <w:bookmarkEnd w:id="63"/>
    <w:bookmarkStart w:id="73" w:name="X1caaf1d17d291896f9cf274a41dbe3eb875ccf1"/>
    <w:p>
      <w:pPr>
        <w:pStyle w:val="Titre1"/>
      </w:pPr>
      <w:r>
        <w:t xml:space="preserve">Appendix A - Ecological Impacts Assessment:</w:t>
      </w:r>
    </w:p>
    <w:bookmarkStart w:id="67" w:name="elfgen"/>
    <w:p>
      <w:pPr>
        <w:pStyle w:val="Titre2"/>
      </w:pPr>
      <w:r>
        <w:t xml:space="preserve">Elfgen:</w:t>
      </w:r>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Cs/>
          <w:i/>
        </w:rPr>
        <w:t xml:space="preserve">pronounced elf-jen</w:t>
      </w:r>
      <w:r>
        <w:t xml:space="preserve">) derives its name from Ecological Limit Function (ELF) generation (</w:t>
      </w:r>
      <w:r>
        <w:rPr>
          <w:iCs/>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13" name="Picture"/>
            <a:graphic>
              <a:graphicData uri="http://schemas.openxmlformats.org/drawingml/2006/picture">
                <pic:pic>
                  <pic:nvPicPr>
                    <pic:cNvPr descr="http://deq1.bse.vt.edu:81/data/proj3/out/fig.elfgen.6973763.png" id="14" name="Picture"/>
                    <pic:cNvPicPr>
                      <a:picLocks noChangeArrowheads="1" noChangeAspect="1"/>
                    </pic:cNvPicPr>
                  </pic:nvPicPr>
                  <pic:blipFill>
                    <a:blip r:embed="rId64"/>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bookmarkEnd w:id="67"/>
    <w:bookmarkStart w:id="71" w:name="richness-change-metric-table"/>
    <w:p>
      <w:pPr>
        <w:pStyle w:val="Titre2"/>
      </w:pPr>
      <w:r>
        <w:t xml:space="preserve">Richness Change Metric Table:</w:t>
      </w:r>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w:t>
      </w:r>
      <w:r>
        <w:rPr>
          <w:rStyle w:val="Appelnotedebasdep"/>
        </w:rPr>
        <w:footnoteReference w:id="68"/>
      </w:r>
      <w:r>
        <w:t xml:space="preserve">. Note: elfgen methodology only applicable for watersheds &lt; 800 cfs mean annual flow.</w:t>
      </w:r>
    </w:p>
    <w:tbl xmlns:w14="http://schemas.microsoft.com/office/word/2010/wordml">
      <w:tblPr>
        <w:tblLayout w:type="fixed"/>
        <w:jc w:val="center"/>
        <w:tblLook w:firstRow="1" w:lastRow="0" w:firstColumn="0" w:lastColumn="0" w:noHBand="0" w:noVBand="1"/>
      </w:tblPr>
      <w:tblGrid>
        <w:gridCol w:w="2880"/>
        <w:gridCol w:w="2160"/>
      </w:tblGrid>
      <w:tr>
        <w:trPr>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runid_401</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Consumptive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bl>
    <w:bookmarkEnd w:id="71"/>
    <w:bookmarkStart w:id="72" w:name="habitat-if-applicable"/>
    <w:p>
      <w:pPr>
        <w:pStyle w:val="Titre2"/>
      </w:pPr>
      <w:r>
        <w:t xml:space="preserve">Habitat (If Applicable):</w:t>
      </w:r>
    </w:p>
    <w:p>
      <w:r>
        <w:br w:type="page"/>
      </w:r>
    </w:p>
    <w:p>
      <w:pPr>
        <w:sectPr>
          <w:type w:val="continuous"/>
          <w:footerReference r:id="rId9" w:type="default"/>
          <w:footerReference r:id="rId10" w:type="even"/>
          <w:cols/>
          <w:pgSz w:h="16848" w:w="11952" w:orient="portrait"/>
          <w:pgMar w:header="0" w:bottom="720" w:top="720" w:right="1440" w:left="720" w:footer="0" w:gutter="720"/>
        </w:sectPr>
      </w:pPr>
    </w:p>
    <w:bookmarkEnd w:id="72"/>
    <w:bookmarkEnd w:id="73"/>
    <w:bookmarkStart w:id="74" w:name="appendix-c---nearby-users-table"/>
    <w:p>
      <w:pPr>
        <w:pStyle w:val="Titre1"/>
      </w:pPr>
      <w:r>
        <w:t xml:space="preserve">Appendix C - Nearby Users Table:</w:t>
      </w:r>
    </w:p>
    <w:tbl xmlns:w14="http://schemas.microsoft.com/office/word/2010/wordml">
      <w:tblPr>
        <w:tblLayout w:type="fixed"/>
        <w:jc w:val="center"/>
        <w:tblLook w:firstRow="1" w:lastRow="0" w:firstColumn="0" w:lastColumn="0" w:noHBand="0" w:noVBand="1"/>
      </w:tblPr>
      <w:tblGrid>
        <w:gridCol w:w="576"/>
        <w:gridCol w:w="1296"/>
        <w:gridCol w:w="2160"/>
        <w:gridCol w:w="936"/>
        <w:gridCol w:w="2520"/>
        <w:gridCol w:w="1368"/>
        <w:gridCol w:w="2520"/>
        <w:gridCol w:w="1728"/>
        <w:gridCol w:w="1368"/>
        <w:gridCol w:w="1440"/>
      </w:tblGrid>
      <w:tr>
        <w:trPr>
          <w:trHeight w:val="617"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Location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Sub-Watershed</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MP Type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MP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MP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Facility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Facility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Facility 2040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 runid_401: base_demand_mgy </w:t>
            </w:r>
          </w:p>
        </w:tc>
      </w:tr>
      <w:tr>
        <w:trPr>
          <w:trHeight w:val="614" w:hRule="auto"/>
        </w:trPr>
        body1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Tidal JB0_7391_0000 James River</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Rhine River Lake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8.82</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Kingsmill Resort</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28.58</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100.74</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Tidal JB0_7391_0000 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RHINE RIVER PUMP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Busch Gardens Williamsburg Operations Dept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23.73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0</w:t>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74"/>
    <w:sectPr>
      <w:pgMar w:header="0" w:bottom="720" w:top="720" w:right="1440" w:left="720" w:footer="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 </w:t>
      </w:r>
      <w:hyperlink r:id="rId23">
        <w:r>
          <w:rPr>
            <w:rStyle w:val="Lienhypertexte"/>
          </w:rPr>
          <w:t xml:space="preserve">Virginia Drought Assessment and Response Plan</w:t>
        </w:r>
      </w:hyperlink>
      <w:r>
        <w:t xml:space="preserve">, developed by the Drought Response Technical Advisory Committee in response to Executive Order #39, March 28, 2003.</w:t>
      </w:r>
    </w:p>
  </w:footnote>
  <w:footnote w:id="58">
    <w:p>
      <w:pPr>
        <w:pStyle w:val="Notedebasdepage"/>
      </w:pPr>
      <w:r>
        <w:rPr>
          <w:rStyle w:val="Appelnotedebasdep"/>
        </w:rPr>
        <w:footnoteRef/>
      </w:r>
      <w:r>
        <w:t xml:space="preserve"> </w:t>
      </w:r>
      <w:r>
        <w:t xml:space="preserve"> </w:t>
      </w:r>
      <w:hyperlink r:id="rId59">
        <w:r>
          <w:rPr>
            <w:rStyle w:val="Lienhypertexte"/>
          </w:rPr>
          <w:t xml:space="preserve">Chesapeake Bay Program Phase 6 Model</w:t>
        </w:r>
      </w:hyperlink>
      <w:r>
        <w:t xml:space="preserve">.</w:t>
      </w:r>
    </w:p>
  </w:footnote>
  <w:footnote w:id="68">
    <w:p>
      <w:pPr>
        <w:pStyle w:val="Notedebasdepage"/>
      </w:pPr>
      <w:r>
        <w:rPr>
          <w:rStyle w:val="Appelnotedebasdep"/>
        </w:rPr>
        <w:footnoteRef/>
      </w:r>
      <w:r>
        <w:t xml:space="preserve"> </w:t>
      </w:r>
      <w:r>
        <w:t xml:space="preserve">Kleiner et al:</w:t>
      </w:r>
      <w:r>
        <w:t xml:space="preserve"> </w:t>
      </w:r>
      <w:hyperlink r:id="rId69">
        <w:r>
          <w:rPr>
            <w:rStyle w:val="Lienhypertexte"/>
          </w:rPr>
          <w:t xml:space="preserve">https://onlinelibrary.wiley.com/doi/full/10.1111/1752-1688.12876</w:t>
        </w:r>
      </w:hyperlink>
      <w:r>
        <w:t xml:space="preserve"> </w:t>
      </w:r>
      <w:r>
        <w:t xml:space="preserve">&amp; Rapp et al:</w:t>
      </w:r>
      <w:r>
        <w:t xml:space="preserve"> </w:t>
      </w:r>
      <w:hyperlink r:id="rId70">
        <w:r>
          <w:rPr>
            <w:rStyle w:val="Lienhypertexte"/>
          </w:rPr>
          <w:t xml:space="preserve">https://onlinelibrary.wiley.com/doi/full/10.1111/1752-1688.12877</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7" Type="http://schemas.openxmlformats.org/officeDocument/2006/relationships/image" Target="media/rId47.png"/>
<Relationship Id="rId38" Type="http://schemas.openxmlformats.org/officeDocument/2006/relationships/image" Target="media/rId38.png"/>
<Relationship Id="rId64" Type="http://schemas.openxmlformats.org/officeDocument/2006/relationships/image" Target="media/rId64.png"/>
<Relationship Id="rId42" Type="http://schemas.openxmlformats.org/officeDocument/2006/relationships/image" Target="media/rId42.png"/>
<Relationship Id="rId25" Type="http://schemas.openxmlformats.org/officeDocument/2006/relationships/image" Target="media/rId25.png"/>
<Relationship Id="rId34" Type="http://schemas.openxmlformats.org/officeDocument/2006/relationships/image" Target="media/rId34.png"/>
<Relationship Id="rId51" Type="http://schemas.openxmlformats.org/officeDocument/2006/relationships/image" Target="media/rId51.png"/>
<Relationship Id="rId69" Type="http://schemas.openxmlformats.org/officeDocument/2006/relationships/hyperlink" Target="https://onlinelibrary.wiley.com/doi/full/10.1111/1752-1688.12876" TargetMode="External"/>
<Relationship Id="rId70" Type="http://schemas.openxmlformats.org/officeDocument/2006/relationships/hyperlink" Target="https://onlinelibrary.wiley.com/doi/full/10.1111/1752-1688.12877" TargetMode="External"/>
<Relationship Id="rId59" Type="http://schemas.openxmlformats.org/officeDocument/2006/relationships/hyperlink" Target="https://www.chesapeakebay.net/documents/Phase_6_Modeling_Tools_1-page_factsheet_12-18-17.pdf" TargetMode="External"/>
<Relationship Id="rId23" Type="http://schemas.openxmlformats.org/officeDocument/2006/relationships/hyperlink" Target="https://www.deq.virginia.gov/home/showpublisheddocument/5115/637490843054630000" TargetMode="External"/>
</Relationships>

</file>

<file path=word/_rels/footnotes.xml.rels><?xml version="1.0" encoding="UTF-8" standalone="yes"?>

<Relationships  xmlns="http://schemas.openxmlformats.org/package/2006/relationships">
<Relationship Id="rId69" Type="http://schemas.openxmlformats.org/officeDocument/2006/relationships/hyperlink" Target="https://onlinelibrary.wiley.com/doi/full/10.1111/1752-1688.12876" TargetMode="External"/>
<Relationship Id="rId70" Type="http://schemas.openxmlformats.org/officeDocument/2006/relationships/hyperlink" Target="https://onlinelibrary.wiley.com/doi/full/10.1111/1752-1688.12877" TargetMode="External"/>
<Relationship Id="rId59" Type="http://schemas.openxmlformats.org/officeDocument/2006/relationships/hyperlink" Target="https://www.chesapeakebay.net/documents/Phase_6_Modeling_Tools_1-page_factsheet_12-18-17.pdf" TargetMode="External"/>
<Relationship Id="rId23" Type="http://schemas.openxmlformats.org/officeDocument/2006/relationships/hyperlink" Target="https://www.deq.virginia.gov/home/showpublisheddocument/5115/63749084305463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Technical Evaluation – VWP 18-0982 Kingsmill</dc:title>
  <dc:creator/>
  <cp:keywords/>
  <dcterms:created xsi:type="dcterms:W3CDTF">2023-02-15T12:35:49Z</dcterms:created>
  <dcterms:modified xsi:type="dcterms:W3CDTF">2023-02-15T07:35:49Z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02/15/2023</vt:lpwstr>
  </property>
  <property fmtid="{D5CDD505-2E9C-101B-9397-08002B2CF9AE}" pid="3" name="output">
    <vt:lpwstr/>
  </property>
  <property fmtid="{D5CDD505-2E9C-101B-9397-08002B2CF9AE}" pid="4" name="params">
    <vt:lpwstr/>
  </property>
</Properties>
</file>