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8.png" ContentType="image/png"/>
  <Override PartName="/word/media/rId76.png" ContentType="image/png"/>
  <Override PartName="/word/media/rId84.png" ContentType="image/png"/>
  <Override PartName="/word/media/rId47.png" ContentType="image/png"/>
  <Override PartName="/word/media/rId55.png" ContentType="image/png"/>
  <Override PartName="/word/media/rId63.png" ContentType="image/png"/>
  <Override PartName="/word/media/rId95.png" ContentType="image/png"/>
  <Override PartName="/word/media/rId30.png" ContentType="image/png"/>
  <Override PartName="/word/media/rId43.png" ContentType="image/png"/>
  <Override PartName="/word/media/rId51.png" ContentType="image/png"/>
  <Override PartName="/word/media/rId59.png" ContentType="image/png"/>
  <Override PartName="/word/media/rId72.png" ContentType="image/png"/>
  <Override PartName="/word/media/rId80.png" ContentType="image/png"/>
  <Override PartName="/word/media/rId8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08/05/2022</w:t>
      </w:r>
    </w:p>
    <w:bookmarkStart w:id="24" w:name="vahydro-model"/>
    <w:p>
      <w:pPr>
        <w:pStyle w:val="Titre1"/>
      </w:pPr>
      <w:r>
        <w:t xml:space="preserve">VAHydro Model:</w:t>
      </w:r>
    </w:p>
    <w:bookmarkStart w:id="22" w:name="vahydro"/>
    <w:p>
      <w:pPr>
        <w:pStyle w:val="Titre2"/>
      </w:pPr>
      <w:r>
        <w:t xml:space="preserve">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2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2"/>
    <w:bookmarkStart w:id="23"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3"/>
    <w:bookmarkEnd w:id="24"/>
    <w:bookmarkStart w:id="26" w:name="project-introduction"/>
    <w:p>
      <w:pPr>
        <w:pStyle w:val="Titre1"/>
      </w:pPr>
      <w:r>
        <w:t xml:space="preserve">Project Introduction</w:t>
      </w:r>
    </w:p>
    <w:p>
      <w:pPr>
        <w:pStyle w:val="Normal"/>
      </w:pPr>
      <w:r>
        <w:t xml:space="preserve">The Lake Monticello Water treatment plant, operated by Aqua of Virginia, is applying for a renewal of a VWP permit for withdrawal of water from the Rivanna River. Water from this intake is treated and distributed to supply domestic use in the Lake Monticello Subdivision.</w:t>
      </w:r>
    </w:p>
    <w:bookmarkStart w:id="25" w:name="location-map"/>
    <w:p>
      <w:pPr>
        <w:pStyle w:val="Titre2"/>
      </w:pPr>
      <w:r>
        <w:t xml:space="preserve">Location Map</w:t>
      </w:r>
    </w:p>
    <w:p>
      <w:pPr>
        <w:pStyle w:val="Normal"/>
      </w:pPr>
      <w:r>
        <w:rPr>
          <w:iCs/>
          <w:i/>
        </w:rPr>
        <w:t xml:space="preserve">No location map available for this facility model</w:t>
      </w:r>
    </w:p>
    <w:p>
      <w:r>
        <w:br w:type="page"/>
      </w:r>
    </w:p>
    <w:bookmarkEnd w:id="25"/>
    <w:bookmarkEnd w:id="26"/>
    <w:bookmarkStart w:id="34"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River segment model overview not provided.</w:t>
      </w:r>
    </w:p>
    <w:p>
      <w:pPr>
        <w:pStyle w:val="Corpsdetexte"/>
      </w:pPr>
      <w:r>
        <w:rPr>
          <w:bCs/>
          <w:b/>
        </w:rPr>
        <w:t xml:space="preserve">Facility &amp; Intake Model Description</w:t>
      </w:r>
      <w:r>
        <w:t xml:space="preserve"> </w:t>
      </w:r>
      <w:r>
        <w:t xml:space="preserve">The Lake Monticello intake on the Rivanna River is modeled as a direct withdrawal, with no storage utilized in Lake Monticello. The flows at the intake are largely controlled by upstream activities at the South Fork Rivanna dam, operated by the Rivanna Water and Sewer Authority, and point source discharges of treated municipal wastewater between the Rivanna dam and the Lake Monticello intake. Water withdrawn from this intake is treated and used, then returns to the Rivanna river as treated wastewater effluent approximately 3 miles downstream of the intake.</w:t>
      </w:r>
    </w:p>
    <w:p>
      <w:pPr>
        <w:pStyle w:val="Corpsdetexte"/>
      </w:pPr>
      <w:r>
        <w:t xml:space="preserve">The following model scenarios were simulated in order to determine the most effective means of meeting the project need and all other in-stream beneficial uses:</w:t>
      </w:r>
    </w:p>
    <w:p>
      <w:pPr>
        <w:numPr>
          <w:ilvl w:val="0"/>
          <w:numId w:val="1001"/>
        </w:numPr>
      </w:pPr>
      <w:r>
        <w:rPr>
          <w:bCs/>
          <w:b/>
        </w:rPr>
        <w:t xml:space="preserve">Descriptive name for titles, ex: Proposed permit conditions with 90% flowby</w:t>
      </w:r>
      <w:r>
        <w:t xml:space="preserve"> </w:t>
      </w:r>
      <w:r>
        <w:t xml:space="preserve">(2020 Demand) - This scenario shows the current demand for all facilities as reported in the 2020 state water supply plan. Because of the size of the withdrawals, and amounts of stored water available to the Rivanna Water and Sewer Authority (RWSA) operations, point source effluents can make up a large proportion of low flows in the Rivanna River basin. Point source discharges are proportional to withdrawal, and as a result, low flows in the Rivanna basin can theoretically increase proportionally to increases in demand by RWSA. Therefore, this scenario explores whether current low-flows can expected to be lower than those that would occur under a</w:t>
      </w:r>
      <w:r>
        <w:t xml:space="preserve"> </w:t>
      </w:r>
      <w:r>
        <w:t xml:space="preserve">“</w:t>
      </w:r>
      <w:r>
        <w:t xml:space="preserve">full permitted</w:t>
      </w:r>
      <w:r>
        <w:t xml:space="preserve">”</w:t>
      </w:r>
      <w:r>
        <w:t xml:space="preserve"> </w:t>
      </w:r>
      <w:r>
        <w:t xml:space="preserve">or</w:t>
      </w:r>
      <w:r>
        <w:t xml:space="preserve"> </w:t>
      </w:r>
      <w:r>
        <w:t xml:space="preserve">“</w:t>
      </w:r>
      <w:r>
        <w:t xml:space="preserve">projected future</w:t>
      </w:r>
      <w:r>
        <w:t xml:space="preserve">”</w:t>
      </w:r>
      <w:r>
        <w:t xml:space="preserve"> </w:t>
      </w:r>
      <w:r>
        <w:t xml:space="preserve">demand scenarios when demand, and downstream discharges will increase.</w:t>
      </w:r>
    </w:p>
    <w:p>
      <w:pPr>
        <w:numPr>
          <w:ilvl w:val="0"/>
          <w:numId w:val="1001"/>
        </w:numPr>
      </w:pPr>
      <w:r>
        <w:rPr>
          <w:bCs/>
          <w:b/>
        </w:rPr>
        <w:t xml:space="preserve">Current Permit</w:t>
      </w:r>
      <w:r>
        <w:t xml:space="preserve"> </w:t>
      </w:r>
      <w:r>
        <w:t xml:space="preserve">(Current Permitted) - The current permit provides for a maximum day of 1.1 mgd, and a maximum annual withdrawal of 400 mgy. This is simulated as a near constant demand of 1.1 mgd, although in reality, this facility operates with considerable seasonal variation. There is no minimum instream flow (MIF) in the current permit, so the permitteed would theoretically be allowed to take all of the stream flow in order to meet a daily demand.</w:t>
      </w:r>
    </w:p>
    <w:p>
      <w:pPr>
        <w:numPr>
          <w:ilvl w:val="0"/>
          <w:numId w:val="1001"/>
        </w:numPr>
      </w:pPr>
      <w:r>
        <w:rPr>
          <w:bCs/>
          <w:b/>
        </w:rPr>
        <w:t xml:space="preserve">Proposed Permit</w:t>
      </w:r>
      <w:r>
        <w:t xml:space="preserve"> </w:t>
      </w:r>
      <w:r>
        <w:t xml:space="preserve">(Proposed Permit) - This scenario includes the same total annual demand as the current permit, however, it uses the historical mean monthly distribution to disaggregate that demand into realistic peak month demands that would be likely to occur in practice if this facility were in fact to require the fill 400 million gallons in a single year. In order to accommodate these more realistic demands, this model run introduces a single day withdrawal limit of 1.25 * the maximum average daily demand. As a result, this will result in higher demands in summer months such as July, August and September. This scenario also introduces a minimum instream flow (MIF), which is set at 90% of the previous days flow at the intake – in other words, allowable withdrawal cannot exceed 10% of the previous days flow.</w:t>
      </w:r>
    </w:p>
    <w:p>
      <w:pPr>
        <w:numPr>
          <w:ilvl w:val="0"/>
          <w:numId w:val="1001"/>
        </w:numPr>
      </w:pPr>
      <w:r>
        <w:rPr>
          <w:bCs/>
          <w:b/>
        </w:rPr>
        <w:t xml:space="preserve">runid_6001</w:t>
      </w:r>
      <w:r>
        <w:t xml:space="preserve"> </w:t>
      </w:r>
      <w:r>
        <w:t xml:space="preserve">- Run report information not provided.</w:t>
      </w:r>
    </w:p>
    <w:bookmarkStart w:id="29" w:name="table-of-modeled-demand-limits"/>
    <w:p>
      <w:pPr>
        <w:pStyle w:val="Titre2"/>
      </w:pPr>
      <w:r>
        <w:t xml:space="preserve">Table of Modeled Demand Limits:</w:t>
      </w:r>
    </w:p>
    <w:tbl xmlns:w14="http://schemas.microsoft.com/office/word/2010/wordml">
      <w:tblPr>
        <w:tblLayout w:type="fixed"/>
        <w:jc w:val="center"/>
        <w:tblLook w:firstRow="1" w:lastRow="0" w:firstColumn="0" w:lastColumn="0" w:noHBand="0" w:noVBand="1"/>
      </w:tblPr>
      <w:tblGrid>
        <w:gridCol w:w="2736"/>
        <w:gridCol w:w="2448"/>
        <w:gridCol w:w="2448"/>
        <w:gridCol w:w="2448"/>
        <w:gridCol w:w="2448"/>
      </w:tblGrid>
      <w:tr>
        <w:trPr>
          <w:cantSplit/>
          <w:trHeight w:val="613"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0"/>
                <w:szCs w:val="20"/>
                <w:color w:val="000000"/>
              </w:rPr>
              <w:t xml:space="preserve">2020 Demand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0"/>
                <w:szCs w:val="20"/>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0"/>
                <w:szCs w:val="20"/>
                <w:color w:val="000000"/>
              </w:rPr>
              <w:t xml:space="preserve">Proposed Permit</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0"/>
                <w:szCs w:val="20"/>
                <w:color w:val="000000"/>
              </w:rPr>
              <w:t xml:space="preserve">runid_6001</w:t>
            </w:r>
          </w:p>
        </w:tc>
      </w:tr>
      <w:tr>
        <w:trPr>
          <w:cantSplit/>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Average Daily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1.10</w:t>
            </w:r>
          </w:p>
        </w:tc>
      </w:tr>
      <w:tr>
        <w:trPr>
          <w:cantSplit/>
          <w:trHeight w:val="617"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Peak Day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r>
      <w:tr>
        <w:trPr>
          <w:cantSplit/>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Maximum Annual Volume (MG)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400.00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400.00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400.00</w:t>
            </w:r>
          </w:p>
        </w:tc>
      </w:tr>
    </w:tbl>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7"/>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Rivanna River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156 cfs.</w:t>
      </w:r>
    </w:p>
    <w:tbl xmlns:w14="http://schemas.microsoft.com/office/word/2010/wordml">
      <w:tblPr>
        <w:tblLayout w:type="fixed"/>
        <w:jc w:val="center"/>
        <w:tblLook w:firstRow="1" w:lastRow="0" w:firstColumn="0" w:lastColumn="0" w:noHBand="0" w:noVBand="1"/>
      </w:tblPr>
      <w:tblGrid>
        <w:gridCol w:w="1022"/>
        <w:gridCol w:w="765"/>
        <w:gridCol w:w="778"/>
        <w:gridCol w:w="851"/>
        <w:gridCol w:w="851"/>
        <w:gridCol w:w="851"/>
        <w:gridCol w:w="851"/>
        <w:gridCol w:w="961"/>
      </w:tblGrid>
      <w:tr>
        <w:trPr>
          <w:cantSplit/>
          <w:trHeight w:val="57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Mean</w:t>
            </w:r>
          </w:p>
        </w:tc>
      </w:tr>
      <w:tr>
        <w:trPr>
          <w:cantSplit/>
          <w:trHeight w:val="572"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854</w:t>
            </w:r>
          </w:p>
        </w:tc>
      </w:tr>
      <w:tr>
        <w:trPr>
          <w:cantSplit/>
          <w:trHeight w:val="572"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923</w:t>
            </w:r>
          </w:p>
        </w:tc>
      </w:tr>
      <w:tr>
        <w:trPr>
          <w:cantSplit/>
          <w:trHeight w:val="60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740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1,064</w:t>
            </w:r>
          </w:p>
        </w:tc>
      </w:tr>
      <w:tr>
        <w:trPr>
          <w:cantSplit/>
          <w:trHeight w:val="612"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886</w:t>
            </w:r>
          </w:p>
        </w:tc>
      </w:tr>
      <w:tr>
        <w:trPr>
          <w:cantSplit/>
          <w:trHeight w:val="614"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502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745</w:t>
            </w:r>
          </w:p>
        </w:tc>
      </w:tr>
      <w:tr>
        <w:trPr>
          <w:cantSplit/>
          <w:trHeight w:val="572"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504</w:t>
            </w:r>
          </w:p>
        </w:tc>
      </w:tr>
      <w:tr>
        <w:trPr>
          <w:cantSplit/>
          <w:trHeight w:val="572"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308</w:t>
            </w:r>
          </w:p>
        </w:tc>
      </w:tr>
      <w:tr>
        <w:trPr>
          <w:cantSplit/>
          <w:trHeight w:val="61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259</w:t>
            </w:r>
          </w:p>
        </w:tc>
      </w:tr>
      <w:tr>
        <w:trPr>
          <w:cantSplit/>
          <w:trHeight w:val="615"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466</w:t>
            </w:r>
          </w:p>
        </w:tc>
      </w:tr>
      <w:tr>
        <w:trPr>
          <w:cantSplit/>
          <w:trHeight w:val="574"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485</w:t>
            </w:r>
          </w:p>
        </w:tc>
      </w:tr>
      <w:tr>
        <w:trPr>
          <w:cantSplit/>
          <w:trHeight w:val="572"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165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648</w:t>
            </w:r>
          </w:p>
        </w:tc>
      </w:tr>
      <w:tr>
        <w:trPr>
          <w:cantSplit/>
          <w:trHeight w:val="572"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580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820</w:t>
            </w:r>
          </w:p>
        </w:tc>
      </w:tr>
    </w:tbl>
    <w:bookmarkEnd w:id="29"/>
    <w:bookmarkStart w:id="33" w:name="X8140b3c8e8e0ba60b4bedb49fc6a6f0f850e536"/>
    <w:p>
      <w:pPr>
        <w:pStyle w:val="Titre2"/>
      </w:pPr>
      <w:r>
        <w:t xml:space="preserve">Current Facility Base Demand Before Conservation: Proposed Permit</w:t>
      </w:r>
    </w:p>
    <w:p>
      <w:pPr>
        <w:pStyle w:val="Normal"/>
      </w:pPr>
      <w:r>
        <w:drawing>
          <wp:inline>
            <wp:extent cx="5969000" cy="5969000"/>
            <wp:effectExtent b="0" l="0" r="0" t="0"/>
            <wp:docPr descr="" title="" id="1" name="Picture"/>
            <a:graphic>
              <a:graphicData uri="http://schemas.openxmlformats.org/drawingml/2006/picture">
                <pic:pic>
                  <pic:nvPicPr>
                    <pic:cNvPr descr="http://deq1.bse.vt.edu:81/data/proj3/out/fig.monthly_demand.340406.600.png" id="2" name="Picture"/>
                    <pic:cNvPicPr>
                      <a:picLocks noChangeArrowheads="1" noChangeAspect="1"/>
                    </pic:cNvPicPr>
                  </pic:nvPicPr>
                  <pic:blipFill>
                    <a:blip r:embed="rId30"/>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33"/>
    <w:bookmarkEnd w:id="34"/>
    <w:bookmarkStart w:id="94" w:name="results"/>
    <w:p>
      <w:pPr>
        <w:pStyle w:val="Titre1"/>
      </w:pPr>
      <w:r>
        <w:t xml:space="preserve">Results</w:t>
      </w:r>
    </w:p>
    <w:bookmarkStart w:id="35" w:name="summary"/>
    <w:p>
      <w:pPr>
        <w:pStyle w:val="Titre2"/>
      </w:pPr>
      <w:r>
        <w:t xml:space="preserve">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2"/>
        </w:numPr>
        <w:pStyle w:val="Compact"/>
      </w:pPr>
      <w:r>
        <w:rPr>
          <w:bCs/>
          <w:b/>
        </w:rPr>
        <w:t xml:space="preserve">Descriptive name for titles, ex: Proposed permit conditions with 90% flowby</w:t>
      </w:r>
      <w:r>
        <w:t xml:space="preserve"> </w:t>
      </w:r>
      <w:r>
        <w:t xml:space="preserve">- Despite aveage point source discharges decreasing from over 15mgd in the full permit scenarios to less than 10mgd in this current scenario, low flows at the Lake Monticello intake remain very similar. The 90 day low flow at the intake is less than 0.1 cfs different, while the 30-day low flow at the intake decreases approximately 10% from 34 to 31 cfs, which could reduce available water by approximately 0.2 MGD at the intake with a 90% Minimum Instream Flow(MIF).</w:t>
      </w:r>
    </w:p>
    <w:p>
      <w:pPr>
        <w:numPr>
          <w:ilvl w:val="0"/>
          <w:numId w:val="1002"/>
        </w:numPr>
        <w:pStyle w:val="Compact"/>
      </w:pPr>
      <w:r>
        <w:rPr>
          <w:bCs/>
          <w:b/>
        </w:rPr>
        <w:t xml:space="preserve">Current Permit</w:t>
      </w:r>
      <w:r>
        <w:t xml:space="preserve"> </w:t>
      </w:r>
      <w:r>
        <w:t xml:space="preserve">- This scenario shows a minimum daily flow at the intake of 16 cfs, or approximately 10 MGD, which provides for the 1.1 mgd requested demand under all circumstances. The current permit does not have a minimum instream flow (MIF) provision, however, the cumulative impacts analysis suggests that this demand will have a maximum flow reduction of less than 10% during all but a single month of the simulated period.</w:t>
      </w:r>
    </w:p>
    <w:p>
      <w:pPr>
        <w:numPr>
          <w:ilvl w:val="0"/>
          <w:numId w:val="1002"/>
        </w:numPr>
        <w:pStyle w:val="Compact"/>
      </w:pPr>
      <w:r>
        <w:rPr>
          <w:bCs/>
          <w:b/>
        </w:rPr>
        <w:t xml:space="preserve">Proposed Permit</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2"/>
        </w:numPr>
        <w:pStyle w:val="Compact"/>
      </w:pPr>
      <w:r>
        <w:rPr>
          <w:bCs/>
          <w:b/>
        </w:rPr>
        <w:t xml:space="preserve">runid_6001</w:t>
      </w:r>
      <w:r>
        <w:t xml:space="preserve"> </w:t>
      </w:r>
      <w:r>
        <w:t xml:space="preserve">- Run analysis not provided.</w:t>
      </w:r>
    </w:p>
    <w:bookmarkEnd w:id="35"/>
    <w:bookmarkStart w:id="36" w:name="conclusion"/>
    <w:p>
      <w:pPr>
        <w:pStyle w:val="Titre2"/>
      </w:pPr>
      <w:r>
        <w:t xml:space="preserve">Conclusion</w:t>
      </w:r>
    </w:p>
    <w:p>
      <w:pPr>
        <w:numPr>
          <w:ilvl w:val="0"/>
          <w:numId w:val="1003"/>
        </w:numPr>
        <w:pStyle w:val="Compact"/>
      </w:pPr>
      <w:r>
        <w:rPr>
          <w:bCs/>
          <w:b/>
        </w:rPr>
        <w:t xml:space="preserve">Proposed Permit</w:t>
      </w:r>
      <w:r>
        <w:t xml:space="preserve"> </w:t>
      </w:r>
      <w:r>
        <w:t xml:space="preserve">- If this scenario is the preferred scenario, add remarks here for inclusion in final analysis.</w:t>
      </w:r>
    </w:p>
    <w:bookmarkEnd w:id="36"/>
    <w:bookmarkStart w:id="39" w:name="X3d80ca558147c35bd202edb86d4da93cab3a42a"/>
    <w:p>
      <w:pPr>
        <w:pStyle w:val="Titre2"/>
      </w:pPr>
      <w:r>
        <w:t xml:space="preserve">Facility Base Demand Before Conservation: Proposed Permit</w:t>
      </w:r>
    </w:p>
    <w:p>
      <w:pPr>
        <w:pStyle w:val="Normal"/>
      </w:pPr>
      <w:r>
        <w:drawing>
          <wp:inline>
            <wp:extent cx="5969000" cy="5969000"/>
            <wp:effectExtent b="0" l="0" r="0" t="0"/>
            <wp:docPr descr="" title="" id="3" name="Picture"/>
            <a:graphic>
              <a:graphicData uri="http://schemas.openxmlformats.org/drawingml/2006/picture">
                <pic:pic>
                  <pic:nvPicPr>
                    <pic:cNvPr descr="http://deq1.bse.vt.edu:81/data/proj3/out/fig.monthly_demand.340406.600.png" id="4" name="Picture"/>
                    <pic:cNvPicPr>
                      <a:picLocks noChangeArrowheads="1" noChangeAspect="1"/>
                    </pic:cNvPicPr>
                  </pic:nvPicPr>
                  <pic:blipFill>
                    <a:blip r:embed="rId30"/>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39"/>
    <w:bookmarkStart w:id="93"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40" w:name="Xf0763edeaba3531f9a3b47309baa01f3df416e6"/>
    <w:p>
      <w:pPr>
        <w:pStyle w:val="Titre3"/>
      </w:pPr>
      <w:r>
        <w:t xml:space="preserve">Glossary of Cumulative Impact Modeling Terms</w:t>
      </w:r>
    </w:p>
    <w:p>
      <w:pPr>
        <w:numPr>
          <w:ilvl w:val="0"/>
          <w:numId w:val="1004"/>
        </w:numPr>
        <w:pStyle w:val="Compact"/>
      </w:pPr>
      <w:r>
        <w:t xml:space="preserve">30 Day Low Flow (l30): Describes the lowest consecutive 30 day average daily streamflow over the simulation period. This metric is a representation of a short-term, or acute drought.</w:t>
      </w:r>
    </w:p>
    <w:p>
      <w:pPr>
        <w:numPr>
          <w:ilvl w:val="0"/>
          <w:numId w:val="1004"/>
        </w:numPr>
        <w:pStyle w:val="Compact"/>
      </w:pPr>
      <w:r>
        <w:t xml:space="preserve">90 Day Low Flow (l90): Represents the lowest consecutive 90 day average daily streamflow over the simulation period. This would represent a prolonged drought.</w:t>
      </w:r>
    </w:p>
    <w:p>
      <w:pPr>
        <w:numPr>
          <w:ilvl w:val="0"/>
          <w:numId w:val="1004"/>
        </w:numPr>
        <w:pStyle w:val="Compact"/>
      </w:pPr>
      <w:r>
        <w:t xml:space="preserve">Base Demand / Requested Demand: The demand simulated for a facility/intake prior to any reductions due to conservation, depleted storage, or adherence to Minimum Instream Flow operational rules (MIF). In this document,</w:t>
      </w:r>
      <w:r>
        <w:t xml:space="preserve"> </w:t>
      </w:r>
      <w:r>
        <w:rPr>
          <w:iCs/>
          <w:i/>
        </w:rPr>
        <w:t xml:space="preserve">Base Demand</w:t>
      </w:r>
      <w:r>
        <w:t xml:space="preserve"> </w:t>
      </w:r>
      <w:r>
        <w:t xml:space="preserve">is expressed as</w:t>
      </w:r>
      <w:r>
        <w:t xml:space="preserve"> </w:t>
      </w:r>
      <w:r>
        <w:rPr>
          <w:iCs/>
          <w:i/>
        </w:rPr>
        <w:t xml:space="preserve">MGY</w:t>
      </w:r>
      <w:r>
        <w:t xml:space="preserve">, and Requested Demand is given in</w:t>
      </w:r>
      <w:r>
        <w:t xml:space="preserve"> </w:t>
      </w:r>
      <w:r>
        <w:rPr>
          <w:iCs/>
          <w:i/>
        </w:rPr>
        <w:t xml:space="preserve">MGD</w:t>
      </w:r>
      <w:r>
        <w:t xml:space="preserve">.</w:t>
      </w:r>
    </w:p>
    <w:p>
      <w:pPr>
        <w:numPr>
          <w:ilvl w:val="0"/>
          <w:numId w:val="1004"/>
        </w:numPr>
        <w:pStyle w:val="Compact"/>
      </w:pPr>
      <w:r>
        <w:t xml:space="preserve">CFS: Cubic Feet Per Second, a common unit of measuring stream flow.</w:t>
      </w:r>
    </w:p>
    <w:p>
      <w:pPr>
        <w:numPr>
          <w:ilvl w:val="0"/>
          <w:numId w:val="1004"/>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4"/>
        </w:numPr>
        <w:pStyle w:val="Compact"/>
      </w:pPr>
      <w:r>
        <w:t xml:space="preserve">Cumulative Withdrawal: The amount of water withdrawn by all intakes in a given river segment sub-watershed, and all upstream sub-watersheds. See also:</w:t>
      </w:r>
      <w:r>
        <w:t xml:space="preserve"> </w:t>
      </w:r>
      <w:r>
        <w:rPr>
          <w:iCs/>
          <w:i/>
        </w:rPr>
        <w:t xml:space="preserve">Cumulative Withdrawal</w:t>
      </w:r>
      <w:r>
        <w:t xml:space="preserve">.</w:t>
      </w:r>
    </w:p>
    <w:p>
      <w:pPr>
        <w:numPr>
          <w:ilvl w:val="0"/>
          <w:numId w:val="1004"/>
        </w:numPr>
        <w:pStyle w:val="Compact"/>
      </w:pPr>
      <w:r>
        <w:t xml:space="preserve">Days of Storage Remaining: For reservoir models, the quotient of the volume of water in a reservoir divided by the daily rate of withdrawal, calculated at each time step of the entire simulation period.</w:t>
      </w:r>
    </w:p>
    <w:p>
      <w:pPr>
        <w:numPr>
          <w:ilvl w:val="0"/>
          <w:numId w:val="1004"/>
        </w:numPr>
        <w:pStyle w:val="Compact"/>
      </w:pPr>
      <w:r>
        <w:t xml:space="preserve">Maximum 30 day potential unmet demand (MGD): The largest difference between</w:t>
      </w:r>
      <w:r>
        <w:t xml:space="preserve"> </w:t>
      </w:r>
      <w:r>
        <w:rPr>
          <w:iCs/>
          <w:i/>
        </w:rPr>
        <w:t xml:space="preserve">Requested Demand</w:t>
      </w:r>
      <w:r>
        <w:t xml:space="preserve"> </w:t>
      </w:r>
      <w:r>
        <w:t xml:space="preserve">and</w:t>
      </w:r>
      <w:r>
        <w:t xml:space="preserve"> </w:t>
      </w:r>
      <w:r>
        <w:rPr>
          <w:iCs/>
          <w:i/>
        </w:rPr>
        <w:t xml:space="preserve">Withdrawal Met</w:t>
      </w:r>
      <w:r>
        <w:t xml:space="preserve"> </w:t>
      </w:r>
      <w:r>
        <w:t xml:space="preserve">that results during a continuous 30-day simulation period.</w:t>
      </w:r>
    </w:p>
    <w:p>
      <w:pPr>
        <w:numPr>
          <w:ilvl w:val="0"/>
          <w:numId w:val="1004"/>
        </w:numPr>
        <w:pStyle w:val="Compact"/>
      </w:pPr>
      <w:r>
        <w:t xml:space="preserve">MGD: Millions of Gallons per Day, a common unit of measuring withdrawal and discharge.</w:t>
      </w:r>
    </w:p>
    <w:p>
      <w:pPr>
        <w:numPr>
          <w:ilvl w:val="0"/>
          <w:numId w:val="1004"/>
        </w:numPr>
        <w:pStyle w:val="Compact"/>
      </w:pPr>
      <w:r>
        <w:t xml:space="preserve">MGY: Millions of Gallons per Year, a common unit for expressing annual facility demand.</w:t>
      </w:r>
    </w:p>
    <w:p>
      <w:pPr>
        <w:numPr>
          <w:ilvl w:val="0"/>
          <w:numId w:val="1004"/>
        </w:numPr>
        <w:pStyle w:val="Compact"/>
      </w:pPr>
      <w:r>
        <w:t xml:space="preserve">Minimum Days of Storage Remaining: The minimum simulated</w:t>
      </w:r>
      <w:r>
        <w:t xml:space="preserve"> </w:t>
      </w:r>
      <w:r>
        <w:rPr>
          <w:iCs/>
          <w:i/>
        </w:rPr>
        <w:t xml:space="preserve">Days of Storage Remaining</w:t>
      </w:r>
      <w:r>
        <w:t xml:space="preserve"> </w:t>
      </w:r>
      <w:r>
        <w:t xml:space="preserve">in a reservoir.</w:t>
      </w:r>
    </w:p>
    <w:p>
      <w:pPr>
        <w:numPr>
          <w:ilvl w:val="0"/>
          <w:numId w:val="1004"/>
        </w:numPr>
        <w:pStyle w:val="Compact"/>
      </w:pPr>
      <w:r>
        <w:t xml:space="preserve">Point Source: Water returned to the stream as treated wastewater.</w:t>
      </w:r>
    </w:p>
    <w:p>
      <w:pPr>
        <w:numPr>
          <w:ilvl w:val="0"/>
          <w:numId w:val="1004"/>
        </w:numPr>
        <w:pStyle w:val="Compact"/>
      </w:pPr>
      <w:r>
        <w:t xml:space="preserve">Withdrawal: The amount of water withdrawn by a single facility, or the total amount of water withdrawn within a single simulated river segment sub-watershed. See also:</w:t>
      </w:r>
      <w:r>
        <w:t xml:space="preserve"> </w:t>
      </w:r>
      <w:r>
        <w:rPr>
          <w:iCs/>
          <w:i/>
        </w:rPr>
        <w:t xml:space="preserve">Cumulative Withdrawal</w:t>
      </w:r>
      <w:r>
        <w:t xml:space="preserve">.</w:t>
      </w:r>
    </w:p>
    <w:p>
      <w:pPr>
        <w:numPr>
          <w:ilvl w:val="0"/>
          <w:numId w:val="1004"/>
        </w:numPr>
        <w:pStyle w:val="Compact"/>
      </w:pPr>
      <w:r>
        <w:t xml:space="preserve">Withdrawal Met: The amoiunt of requested demand that was met, on average, throughout the entire simulation period.</w:t>
      </w:r>
    </w:p>
    <w:p>
      <w:pPr>
        <w:numPr>
          <w:ilvl w:val="0"/>
          <w:numId w:val="1004"/>
        </w:numPr>
        <w:pStyle w:val="Compact"/>
      </w:pPr>
      <w:r>
        <w:t xml:space="preserve">Unmet Demand: The difference between</w:t>
      </w:r>
      <w:r>
        <w:t xml:space="preserve"> </w:t>
      </w:r>
      <w:r>
        <w:rPr>
          <w:iCs/>
          <w:i/>
        </w:rPr>
        <w:t xml:space="preserve">Base Demand</w:t>
      </w:r>
      <w:r>
        <w:t xml:space="preserve"> </w:t>
      </w:r>
      <w:r>
        <w:t xml:space="preserve">and</w:t>
      </w:r>
      <w:r>
        <w:t xml:space="preserve"> </w:t>
      </w:r>
      <w:r>
        <w:rPr>
          <w:iCs/>
          <w:i/>
        </w:rPr>
        <w:t xml:space="preserve">Withdrawal Met</w:t>
      </w:r>
      <w:r>
        <w:t xml:space="preserve">, on average, throughout the entire simulation period.</w:t>
      </w:r>
    </w:p>
    <w:p>
      <w:pPr>
        <w:sectPr>
          <w:type w:val="continuous"/>
          <w:footerReference r:id="rId9" w:type="default"/>
          <w:footerReference r:id="rId10" w:type="even"/>
          <w:cols/>
          <w:pgSz w:h="16848" w:w="11952" w:orient="portrait"/>
          <w:pgMar w:header="0" w:bottom="720" w:top="720" w:right="1440" w:left="720" w:footer="0" w:gutter="720"/>
        </w:sectPr>
      </w:pPr>
    </w:p>
    <w:bookmarkEnd w:id="40"/>
    <w:bookmarkStart w:id="41" w:name="summary-of-results"/>
    <w:p>
      <w:pPr>
        <w:pStyle w:val="Titre3"/>
      </w:pPr>
      <w:r>
        <w:t xml:space="preserve">Summary of Results:</w:t>
      </w:r>
    </w:p>
    <w:tbl xmlns:w14="http://schemas.microsoft.com/office/word/2010/wordml">
      <w:tblPr>
        <w:tblLayout w:type="fixed"/>
        <w:jc w:val="center"/>
        <w:tblLook w:firstRow="1" w:lastRow="0" w:firstColumn="0" w:lastColumn="0" w:noHBand="0" w:noVBand="1"/>
      </w:tblPr>
      <w:tblGrid>
        <w:gridCol w:w="3600"/>
        <w:gridCol w:w="2736"/>
        <w:gridCol w:w="2736"/>
        <w:gridCol w:w="2736"/>
        <w:gridCol w:w="2736"/>
      </w:tblGrid>
      <w:tr>
        <w:trPr>
          <w:cantSplit/>
          <w:trHeight w:val="613"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2020 Demand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Proposed Permit</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runid_6001</w:t>
            </w:r>
          </w:p>
        </w:tc>
      </w:tr>
      <w:tr>
        <w:trPr>
          <w:cantSplit/>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Rivanna River</w:t>
            </w:r>
          </w:p>
        </w:tc>
      </w:tr>
      <w:tr>
        <w:trPr>
          <w:cantSplit/>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663.87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661.91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686.34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666.21</w:t>
            </w:r>
          </w:p>
        </w:tc>
      </w:tr>
      <w:tr>
        <w:trPr>
          <w:cantSplit/>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r>
      <w:tr>
        <w:trPr>
          <w:cantSplit/>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34.08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34.04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27.2</w:t>
            </w:r>
          </w:p>
        </w:tc>
      </w:tr>
      <w:tr>
        <w:trPr>
          <w:cantSplit/>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74.49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74.37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72.53</w:t>
            </w:r>
          </w:p>
        </w:tc>
      </w:tr>
      <w:tr>
        <w:trPr>
          <w:cantSplit/>
          <w:trHeight w:val="615"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0.01</w:t>
            </w:r>
          </w:p>
        </w:tc>
      </w:tr>
      <w:tr>
        <w:trPr>
          <w:cantSplit/>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15.88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22.73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22.66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11.18</w:t>
            </w:r>
          </w:p>
        </w:tc>
      </w:tr>
      <w:tr>
        <w:trPr>
          <w:cantSplit/>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9.49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15.13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6.5</w:t>
            </w:r>
          </w:p>
        </w:tc>
      </w:tr>
      <w:tr>
        <w:trPr>
          <w:cantSplit/>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0.32</w:t>
            </w:r>
          </w:p>
        </w:tc>
      </w:tr>
      <w:tr>
        <w:trPr>
          <w:cantSplit/>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9.05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14.68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14.69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5.95</w:t>
            </w:r>
          </w:p>
        </w:tc>
      </w:tr>
      <w:tr>
        <w:trPr>
          <w:cantSplit/>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LAKE MONTICELLO WTP:Rivanna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LAKE MONTICELLO WTP:Rivanna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LAKE MONTICELLO WTP:Rivanna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LAKE MONTICELLO WTP:Rivanna River</w:t>
            </w:r>
          </w:p>
        </w:tc>
      </w:tr>
      <w:tr>
        <w:trPr>
          <w:cantSplit/>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229.32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399.73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399.73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r>
      <w:tr>
        <w:trPr>
          <w:cantSplit/>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229.32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399.73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399.63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r>
      <w:tr>
        <w:trPr>
          <w:cantSplit/>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r>
      <w:tr>
        <w:trPr>
          <w:cantSplit/>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r>
      <w:tr>
        <w:trPr>
          <w:cantSplit/>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r>
      <w:tr>
        <w:trPr>
          <w:cantSplit/>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r>
      <w:tr>
        <w:trPr>
          <w:cantSplit/>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r>
      <w:tr>
        <w:trPr>
          <w:cantSplit/>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r>
    </w:tbl>
    <w:p>
      <w:pPr>
        <w:sectPr>
          <w:pgSz w:h="11906" w:w="16838" w:orient="landscape"/>
          <w:footerReference r:id="rId9" w:type="default"/>
          <w:footerReference r:id="rId10" w:type="even"/>
          <w:type w:val="oddPage"/>
          <w:cols/>
          <w:pgMar w:header="0" w:bottom="720" w:top="720" w:right="1440" w:left="720" w:footer="0" w:gutter="720"/>
        </w:sectPr>
      </w:pPr>
    </w:p>
    <w:bookmarkEnd w:id="41"/>
    <w:bookmarkStart w:id="42"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runid_200</w:t>
      </w:r>
      <w:r>
        <w:t xml:space="preserve">”</w:t>
      </w:r>
      <w:r>
        <w:t xml:space="preserve"> </w:t>
      </w:r>
      <w:r>
        <w:t xml:space="preserve">[1]</w:t>
      </w:r>
      <w:r>
        <w:t xml:space="preserve"> </w:t>
      </w:r>
      <w:r>
        <w:t xml:space="preserve">“</w:t>
      </w:r>
      <w:r>
        <w:t xml:space="preserve">No active impoundment found for run id runid_400</w:t>
      </w:r>
      <w:r>
        <w:t xml:space="preserve">”</w:t>
      </w:r>
      <w:r>
        <w:t xml:space="preserve"> </w:t>
      </w:r>
      <w:r>
        <w:t xml:space="preserve">[1]</w:t>
      </w:r>
      <w:r>
        <w:t xml:space="preserve"> </w:t>
      </w:r>
      <w:r>
        <w:t xml:space="preserve">“</w:t>
      </w:r>
      <w:r>
        <w:t xml:space="preserve">No active impoundment found for run id runid_600</w:t>
      </w:r>
      <w:r>
        <w:t xml:space="preserve">”</w:t>
      </w:r>
      <w:r>
        <w:t xml:space="preserve"> </w:t>
      </w:r>
      <w:r>
        <w:t xml:space="preserve">[1]</w:t>
      </w:r>
      <w:r>
        <w:t xml:space="preserve"> </w:t>
      </w:r>
      <w:r>
        <w:t xml:space="preserve">“</w:t>
      </w:r>
      <w:r>
        <w:t xml:space="preserve">No active impoundment found for run id runid_6001</w:t>
      </w:r>
      <w:r>
        <w:t xml:space="preserve">”</w:t>
      </w:r>
    </w:p>
    <w:p>
      <w:r>
        <w:br w:type="page"/>
      </w:r>
    </w:p>
    <w:bookmarkEnd w:id="42"/>
    <w:bookmarkStart w:id="67"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46" w:name="heatmap-2020-demand"/>
    <w:p>
      <w:pPr>
        <w:pStyle w:val="Titre4"/>
      </w:pPr>
      <w:r>
        <w:t xml:space="preserve">Heatmap: 2020 Demand</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340406.200.png" id="6" name="Picture"/>
                    <pic:cNvPicPr>
                      <a:picLocks noChangeArrowheads="1" noChangeAspect="1"/>
                    </pic:cNvPicPr>
                  </pic:nvPicPr>
                  <pic:blipFill>
                    <a:blip r:embed="rId43"/>
                    <a:stretch>
                      <a:fillRect/>
                    </a:stretch>
                  </pic:blipFill>
                  <pic:spPr bwMode="auto">
                    <a:xfrm>
                      <a:off x="0" y="0"/>
                      <a:ext cx="5969000" cy="3769894"/>
                    </a:xfrm>
                    <a:prstGeom prst="rect">
                      <a:avLst/>
                    </a:prstGeom>
                    <a:noFill/>
                    <a:ln w="9525">
                      <a:noFill/>
                      <a:headEnd/>
                      <a:tailEnd/>
                    </a:ln>
                  </pic:spPr>
                </pic:pic>
              </a:graphicData>
            </a:graphic>
          </wp:inline>
        </w:drawing>
      </w:r>
    </w:p>
    <w:bookmarkEnd w:id="46"/>
    <w:bookmarkStart w:id="50" w:name="hydrograph-2020-demand"/>
    <w:p>
      <w:pPr>
        <w:pStyle w:val="Titre4"/>
      </w:pPr>
      <w:r>
        <w:t xml:space="preserve">Hydrograph: 2020 Demand</w:t>
      </w:r>
    </w:p>
    <w:p>
      <w:pPr>
        <w:pStyle w:val="Normal"/>
      </w:pPr>
      <w:r>
        <w:drawing>
          <wp:inline>
            <wp:extent cx="5969000" cy="5969000"/>
            <wp:effectExtent b="0" l="0" r="0" t="0"/>
            <wp:docPr descr="" title="" id="7" name="Picture"/>
            <a:graphic>
              <a:graphicData uri="http://schemas.openxmlformats.org/drawingml/2006/picture">
                <pic:pic>
                  <pic:nvPicPr>
                    <pic:cNvPr descr="http://deq1.bse.vt.edu:81/data/proj3/out/fig.30daymax_unmet.340406.200.png" id="8" name="Picture"/>
                    <pic:cNvPicPr>
                      <a:picLocks noChangeArrowheads="1" noChangeAspect="1"/>
                    </pic:cNvPicPr>
                  </pic:nvPicPr>
                  <pic:blipFill>
                    <a:blip r:embed="rId47"/>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2020 Demand</w:t>
      </w:r>
      <w:r>
        <w:t xml:space="preserve">”</w:t>
      </w:r>
    </w:p>
    <w:p>
      <w:r>
        <w:br w:type="page"/>
      </w:r>
    </w:p>
    <w:bookmarkEnd w:id="50"/>
    <w:bookmarkStart w:id="54" w:name="heatmap-current-permitted"/>
    <w:p>
      <w:pPr>
        <w:pStyle w:val="Titre4"/>
      </w:pPr>
      <w:r>
        <w:t xml:space="preserve">Heatmap: Current Permitted</w:t>
      </w:r>
    </w:p>
    <w:p>
      <w:pPr>
        <w:pStyle w:val="Normal"/>
      </w:pPr>
      <w:r>
        <w:drawing>
          <wp:inline>
            <wp:extent cx="5969000" cy="3769894"/>
            <wp:effectExtent b="0" l="0" r="0" t="0"/>
            <wp:docPr descr="" title="" id="9" name="Picture"/>
            <a:graphic>
              <a:graphicData uri="http://schemas.openxmlformats.org/drawingml/2006/picture">
                <pic:pic>
                  <pic:nvPicPr>
                    <pic:cNvPr descr="http://deq1.bse.vt.edu:81/data/proj3/out/fig.unmet_heatmap_amt.340406.400.png" id="10" name="Picture"/>
                    <pic:cNvPicPr>
                      <a:picLocks noChangeArrowheads="1" noChangeAspect="1"/>
                    </pic:cNvPicPr>
                  </pic:nvPicPr>
                  <pic:blipFill>
                    <a:blip r:embed="rId51"/>
                    <a:stretch>
                      <a:fillRect/>
                    </a:stretch>
                  </pic:blipFill>
                  <pic:spPr bwMode="auto">
                    <a:xfrm>
                      <a:off x="0" y="0"/>
                      <a:ext cx="5969000" cy="3769894"/>
                    </a:xfrm>
                    <a:prstGeom prst="rect">
                      <a:avLst/>
                    </a:prstGeom>
                    <a:noFill/>
                    <a:ln w="9525">
                      <a:noFill/>
                      <a:headEnd/>
                      <a:tailEnd/>
                    </a:ln>
                  </pic:spPr>
                </pic:pic>
              </a:graphicData>
            </a:graphic>
          </wp:inline>
        </w:drawing>
      </w:r>
    </w:p>
    <w:bookmarkEnd w:id="54"/>
    <w:bookmarkStart w:id="58" w:name="hydrograph-current-permitted"/>
    <w:p>
      <w:pPr>
        <w:pStyle w:val="Titre4"/>
      </w:pPr>
      <w:r>
        <w:t xml:space="preserve">Hydrograph: Current Permitted</w:t>
      </w:r>
    </w:p>
    <w:p>
      <w:pPr>
        <w:pStyle w:val="Normal"/>
      </w:pPr>
      <w:r>
        <w:drawing>
          <wp:inline>
            <wp:extent cx="5969000" cy="5969000"/>
            <wp:effectExtent b="0" l="0" r="0" t="0"/>
            <wp:docPr descr="" title="" id="11" name="Picture"/>
            <a:graphic>
              <a:graphicData uri="http://schemas.openxmlformats.org/drawingml/2006/picture">
                <pic:pic>
                  <pic:nvPicPr>
                    <pic:cNvPr descr="http://deq1.bse.vt.edu:81/data/proj3/out/fig.30daymax_unmet.340406.400.png" id="12" name="Picture"/>
                    <pic:cNvPicPr>
                      <a:picLocks noChangeArrowheads="1" noChangeAspect="1"/>
                    </pic:cNvPicPr>
                  </pic:nvPicPr>
                  <pic:blipFill>
                    <a:blip r:embed="rId55"/>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Current Permitted</w:t>
      </w:r>
      <w:r>
        <w:t xml:space="preserve">”</w:t>
      </w:r>
    </w:p>
    <w:p>
      <w:r>
        <w:br w:type="page"/>
      </w:r>
    </w:p>
    <w:bookmarkEnd w:id="58"/>
    <w:bookmarkStart w:id="62" w:name="heatmap-proposed-permit"/>
    <w:p>
      <w:pPr>
        <w:pStyle w:val="Titre4"/>
      </w:pPr>
      <w:r>
        <w:t xml:space="preserve">Heatmap: Proposed Permit</w:t>
      </w:r>
    </w:p>
    <w:p>
      <w:pPr>
        <w:pStyle w:val="Normal"/>
      </w:pPr>
      <w:r>
        <w:drawing>
          <wp:inline>
            <wp:extent cx="5969000" cy="3769894"/>
            <wp:effectExtent b="0" l="0" r="0" t="0"/>
            <wp:docPr descr="" title="" id="13" name="Picture"/>
            <a:graphic>
              <a:graphicData uri="http://schemas.openxmlformats.org/drawingml/2006/picture">
                <pic:pic>
                  <pic:nvPicPr>
                    <pic:cNvPr descr="http://deq1.bse.vt.edu:81/data/proj3/out/fig.unmet_heatmap_amt.340406.600.png" id="14" name="Picture"/>
                    <pic:cNvPicPr>
                      <a:picLocks noChangeArrowheads="1" noChangeAspect="1"/>
                    </pic:cNvPicPr>
                  </pic:nvPicPr>
                  <pic:blipFill>
                    <a:blip r:embed="rId59"/>
                    <a:stretch>
                      <a:fillRect/>
                    </a:stretch>
                  </pic:blipFill>
                  <pic:spPr bwMode="auto">
                    <a:xfrm>
                      <a:off x="0" y="0"/>
                      <a:ext cx="5969000" cy="3769894"/>
                    </a:xfrm>
                    <a:prstGeom prst="rect">
                      <a:avLst/>
                    </a:prstGeom>
                    <a:noFill/>
                    <a:ln w="9525">
                      <a:noFill/>
                      <a:headEnd/>
                      <a:tailEnd/>
                    </a:ln>
                  </pic:spPr>
                </pic:pic>
              </a:graphicData>
            </a:graphic>
          </wp:inline>
        </w:drawing>
      </w:r>
    </w:p>
    <w:bookmarkEnd w:id="62"/>
    <w:bookmarkStart w:id="66" w:name="hydrograph-proposed-permit"/>
    <w:p>
      <w:pPr>
        <w:pStyle w:val="Titre4"/>
      </w:pPr>
      <w:r>
        <w:t xml:space="preserve">Hydrograph: Proposed Permit</w:t>
      </w:r>
    </w:p>
    <w:p>
      <w:pPr>
        <w:pStyle w:val="Normal"/>
      </w:pPr>
      <w:r>
        <w:drawing>
          <wp:inline>
            <wp:extent cx="5969000" cy="5969000"/>
            <wp:effectExtent b="0" l="0" r="0" t="0"/>
            <wp:docPr descr="" title="" id="15" name="Picture"/>
            <a:graphic>
              <a:graphicData uri="http://schemas.openxmlformats.org/drawingml/2006/picture">
                <pic:pic>
                  <pic:nvPicPr>
                    <pic:cNvPr descr="http://deq1.bse.vt.edu:81/data/proj3/out/fig.30daymax_unmet.340406.600.png" id="16" name="Picture"/>
                    <pic:cNvPicPr>
                      <a:picLocks noChangeArrowheads="1" noChangeAspect="1"/>
                    </pic:cNvPicPr>
                  </pic:nvPicPr>
                  <pic:blipFill>
                    <a:blip r:embed="rId63"/>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Proposed Permit</w:t>
      </w:r>
      <w:r>
        <w:t xml:space="preserve">”</w:t>
      </w:r>
    </w:p>
    <w:p>
      <w:pPr>
        <w:pStyle w:val="Corpsdetexte"/>
      </w:pPr>
      <w:r>
        <w:t xml:space="preserve">“</w:t>
      </w:r>
      <w:r>
        <w:t xml:space="preserve">No local facility impoundment for runid_6001</w:t>
      </w:r>
      <w:r>
        <w:t xml:space="preserve">”</w:t>
      </w:r>
    </w:p>
    <w:p>
      <w:r>
        <w:br w:type="page"/>
      </w:r>
    </w:p>
    <w:p>
      <w:r>
        <w:br w:type="page"/>
      </w:r>
    </w:p>
    <w:bookmarkEnd w:id="66"/>
    <w:bookmarkEnd w:id="67"/>
    <w:bookmarkStart w:id="92" w:name="additional-model-flow-plots"/>
    <w:p>
      <w:pPr>
        <w:pStyle w:val="Titre3"/>
      </w:pPr>
      <w:r>
        <w:t xml:space="preserve">Additional Model Flow Plots:</w:t>
      </w:r>
    </w:p>
    <w:bookmarkStart w:id="71" w:name="demand"/>
    <w:p>
      <w:pPr>
        <w:pStyle w:val="Titre4"/>
      </w:pPr>
      <w:r>
        <w:t xml:space="preserve">2020 Demand :</w:t>
      </w:r>
    </w:p>
    <w:p>
      <w:pPr>
        <w:pStyle w:val="Normal"/>
      </w:pPr>
      <w:r>
        <w:drawing>
          <wp:inline>
            <wp:extent cx="5969000" cy="5968999"/>
            <wp:effectExtent b="0" l="0" r="0" t="0"/>
            <wp:docPr descr="" title="" id="17" name="Picture"/>
            <a:graphic>
              <a:graphicData uri="http://schemas.openxmlformats.org/drawingml/2006/picture">
                <pic:pic>
                  <pic:nvPicPr>
                    <pic:cNvPr descr="http://deq1.bse.vt.edu:81/data/proj3/out/fdc.337730.200.png" id="18" name="Picture"/>
                    <pic:cNvPicPr>
                      <a:picLocks noChangeArrowheads="1" noChangeAspect="1"/>
                    </pic:cNvPicPr>
                  </pic:nvPicPr>
                  <pic:blipFill>
                    <a:blip r:embed="rId68"/>
                    <a:stretch>
                      <a:fillRect/>
                    </a:stretch>
                  </pic:blipFill>
                  <pic:spPr bwMode="auto">
                    <a:xfrm>
                      <a:off x="0" y="0"/>
                      <a:ext cx="5969000" cy="5968999"/>
                    </a:xfrm>
                    <a:prstGeom prst="rect">
                      <a:avLst/>
                    </a:prstGeom>
                    <a:noFill/>
                    <a:ln w="9525">
                      <a:noFill/>
                      <a:headEnd/>
                      <a:tailEnd/>
                    </a:ln>
                  </pic:spPr>
                </pic:pic>
              </a:graphicData>
            </a:graphic>
          </wp:inline>
        </w:drawing>
      </w:r>
    </w:p>
    <w:bookmarkEnd w:id="71"/>
    <w:bookmarkStart w:id="75" w:name="demand-1"/>
    <w:p>
      <w:pPr>
        <w:pStyle w:val="Titre4"/>
      </w:pPr>
      <w:r>
        <w:t xml:space="preserve">2020 Demand :</w:t>
      </w:r>
    </w:p>
    <w:p>
      <w:pPr>
        <w:pStyle w:val="Normal"/>
      </w:pPr>
      <w:r>
        <w:drawing>
          <wp:inline>
            <wp:extent cx="5969000" cy="4642555"/>
            <wp:effectExtent b="0" l="0" r="0" t="0"/>
            <wp:docPr descr="" title="" id="19" name="Picture"/>
            <a:graphic>
              <a:graphicData uri="http://schemas.openxmlformats.org/drawingml/2006/picture">
                <pic:pic>
                  <pic:nvPicPr>
                    <pic:cNvPr descr="http://deq1.bse.vt.edu:81/data/proj3/out/hydrograph_dry.337730.200.png" id="20" name="Picture"/>
                    <pic:cNvPicPr>
                      <a:picLocks noChangeArrowheads="1" noChangeAspect="1"/>
                    </pic:cNvPicPr>
                  </pic:nvPicPr>
                  <pic:blipFill>
                    <a:blip r:embed="rId72"/>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75"/>
    <w:bookmarkStart w:id="79" w:name="current-permitted"/>
    <w:p>
      <w:pPr>
        <w:pStyle w:val="Titre4"/>
      </w:pPr>
      <w:r>
        <w:t xml:space="preserve">Current Permitted :</w:t>
      </w:r>
    </w:p>
    <w:p>
      <w:pPr>
        <w:pStyle w:val="Normal"/>
      </w:pPr>
      <w:r>
        <w:drawing>
          <wp:inline>
            <wp:extent cx="5969000" cy="5968999"/>
            <wp:effectExtent b="0" l="0" r="0" t="0"/>
            <wp:docPr descr="" title="" id="21" name="Picture"/>
            <a:graphic>
              <a:graphicData uri="http://schemas.openxmlformats.org/drawingml/2006/picture">
                <pic:pic>
                  <pic:nvPicPr>
                    <pic:cNvPr descr="http://deq1.bse.vt.edu:81/data/proj3/out/fdc.337730.400.png" id="22" name="Picture"/>
                    <pic:cNvPicPr>
                      <a:picLocks noChangeArrowheads="1" noChangeAspect="1"/>
                    </pic:cNvPicPr>
                  </pic:nvPicPr>
                  <pic:blipFill>
                    <a:blip r:embed="rId76"/>
                    <a:stretch>
                      <a:fillRect/>
                    </a:stretch>
                  </pic:blipFill>
                  <pic:spPr bwMode="auto">
                    <a:xfrm>
                      <a:off x="0" y="0"/>
                      <a:ext cx="5969000" cy="5968999"/>
                    </a:xfrm>
                    <a:prstGeom prst="rect">
                      <a:avLst/>
                    </a:prstGeom>
                    <a:noFill/>
                    <a:ln w="9525">
                      <a:noFill/>
                      <a:headEnd/>
                      <a:tailEnd/>
                    </a:ln>
                  </pic:spPr>
                </pic:pic>
              </a:graphicData>
            </a:graphic>
          </wp:inline>
        </w:drawing>
      </w:r>
    </w:p>
    <w:bookmarkEnd w:id="79"/>
    <w:bookmarkStart w:id="83" w:name="current-permitted-1"/>
    <w:p>
      <w:pPr>
        <w:pStyle w:val="Titre4"/>
      </w:pPr>
      <w:r>
        <w:t xml:space="preserve">Current Permitted :</w:t>
      </w:r>
    </w:p>
    <w:p>
      <w:pPr>
        <w:pStyle w:val="Normal"/>
      </w:pPr>
      <w:r>
        <w:drawing>
          <wp:inline>
            <wp:extent cx="5969000" cy="4642555"/>
            <wp:effectExtent b="0" l="0" r="0" t="0"/>
            <wp:docPr descr="" title="" id="23" name="Picture"/>
            <a:graphic>
              <a:graphicData uri="http://schemas.openxmlformats.org/drawingml/2006/picture">
                <pic:pic>
                  <pic:nvPicPr>
                    <pic:cNvPr descr="http://deq1.bse.vt.edu:81/data/proj3/out/hydrograph_dry.337730.400.png" id="24" name="Picture"/>
                    <pic:cNvPicPr>
                      <a:picLocks noChangeArrowheads="1" noChangeAspect="1"/>
                    </pic:cNvPicPr>
                  </pic:nvPicPr>
                  <pic:blipFill>
                    <a:blip r:embed="rId80"/>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83"/>
    <w:bookmarkStart w:id="87" w:name="proposed-permit"/>
    <w:p>
      <w:pPr>
        <w:pStyle w:val="Titre4"/>
      </w:pPr>
      <w:r>
        <w:t xml:space="preserve">Proposed Permit :</w:t>
      </w:r>
    </w:p>
    <w:p>
      <w:pPr>
        <w:pStyle w:val="Normal"/>
      </w:pPr>
      <w:r>
        <w:drawing>
          <wp:inline>
            <wp:extent cx="5969000" cy="5968999"/>
            <wp:effectExtent b="0" l="0" r="0" t="0"/>
            <wp:docPr descr="" title="" id="25" name="Picture"/>
            <a:graphic>
              <a:graphicData uri="http://schemas.openxmlformats.org/drawingml/2006/picture">
                <pic:pic>
                  <pic:nvPicPr>
                    <pic:cNvPr descr="http://deq1.bse.vt.edu:81/data/proj3/out/fdc.337730.600.png" id="26" name="Picture"/>
                    <pic:cNvPicPr>
                      <a:picLocks noChangeArrowheads="1" noChangeAspect="1"/>
                    </pic:cNvPicPr>
                  </pic:nvPicPr>
                  <pic:blipFill>
                    <a:blip r:embed="rId84"/>
                    <a:stretch>
                      <a:fillRect/>
                    </a:stretch>
                  </pic:blipFill>
                  <pic:spPr bwMode="auto">
                    <a:xfrm>
                      <a:off x="0" y="0"/>
                      <a:ext cx="5969000" cy="5968999"/>
                    </a:xfrm>
                    <a:prstGeom prst="rect">
                      <a:avLst/>
                    </a:prstGeom>
                    <a:noFill/>
                    <a:ln w="9525">
                      <a:noFill/>
                      <a:headEnd/>
                      <a:tailEnd/>
                    </a:ln>
                  </pic:spPr>
                </pic:pic>
              </a:graphicData>
            </a:graphic>
          </wp:inline>
        </w:drawing>
      </w:r>
    </w:p>
    <w:bookmarkEnd w:id="87"/>
    <w:bookmarkStart w:id="91" w:name="proposed-permit-1"/>
    <w:p>
      <w:pPr>
        <w:pStyle w:val="Titre4"/>
      </w:pPr>
      <w:r>
        <w:t xml:space="preserve">Proposed Permit :</w:t>
      </w:r>
    </w:p>
    <w:p>
      <w:pPr>
        <w:pStyle w:val="Normal"/>
      </w:pPr>
      <w:r>
        <w:drawing>
          <wp:inline>
            <wp:extent cx="5969000" cy="4642555"/>
            <wp:effectExtent b="0" l="0" r="0" t="0"/>
            <wp:docPr descr="" title="" id="27" name="Picture"/>
            <a:graphic>
              <a:graphicData uri="http://schemas.openxmlformats.org/drawingml/2006/picture">
                <pic:pic>
                  <pic:nvPicPr>
                    <pic:cNvPr descr="http://deq1.bse.vt.edu:81/data/proj3/out/hydrograph_dry.337730.600.png" id="28" name="Picture"/>
                    <pic:cNvPicPr>
                      <a:picLocks noChangeArrowheads="1" noChangeAspect="1"/>
                    </pic:cNvPicPr>
                  </pic:nvPicPr>
                  <pic:blipFill>
                    <a:blip r:embed="rId88"/>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p>
      <w:r>
        <w:br w:type="page"/>
      </w:r>
    </w:p>
    <w:p>
      <w:r>
        <w:br w:type="page"/>
      </w:r>
    </w:p>
    <w:bookmarkEnd w:id="91"/>
    <w:bookmarkEnd w:id="92"/>
    <w:bookmarkEnd w:id="93"/>
    <w:bookmarkEnd w:id="94"/>
    <w:bookmarkStart w:id="104" w:name="X1caaf1d17d291896f9cf274a41dbe3eb875ccf1"/>
    <w:p>
      <w:pPr>
        <w:pStyle w:val="Titre1"/>
      </w:pPr>
      <w:r>
        <w:t xml:space="preserve">Appendix A - Ecological Impacts Assessment:</w:t>
      </w:r>
    </w:p>
    <w:bookmarkStart w:id="98"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29" name="Picture"/>
            <a:graphic>
              <a:graphicData uri="http://schemas.openxmlformats.org/drawingml/2006/picture">
                <pic:pic>
                  <pic:nvPicPr>
                    <pic:cNvPr descr="http://deq1.bse.vt.edu:81/data/proj3/out/fig.elfgen.6835768.png" id="30" name="Picture"/>
                    <pic:cNvPicPr>
                      <a:picLocks noChangeArrowheads="1" noChangeAspect="1"/>
                    </pic:cNvPicPr>
                  </pic:nvPicPr>
                  <pic:blipFill>
                    <a:blip r:embed="rId95"/>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98"/>
    <w:bookmarkStart w:id="102"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99"/>
      </w:r>
      <w:r>
        <w:t xml:space="preserve">. Note: elfgen methodology only applicable for watersheds &lt; 800 cfs mean annual flow.</w:t>
      </w:r>
    </w:p>
    <w:tbl xmlns:w14="http://schemas.microsoft.com/office/word/2010/wordml">
      <w:tblPr>
        <w:tblLayout w:type="fixed"/>
        <w:jc w:val="center"/>
        <w:tblLook w:firstRow="1" w:lastRow="0" w:firstColumn="0" w:lastColumn="0" w:noHBand="0" w:noVBand="1"/>
      </w:tblPr>
      <w:tblGrid>
        <w:gridCol w:w="2880"/>
        <w:gridCol w:w="2160"/>
        <w:gridCol w:w="2160"/>
        <w:gridCol w:w="2160"/>
        <w:gridCol w:w="2160"/>
      </w:tblGrid>
      <w:tr>
        <w:trPr>
          <w:cantSplit/>
          <w:trHeight w:val="613"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2020 Demand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Proposed Permit</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runid_6001</w:t>
            </w:r>
          </w:p>
        </w:tc>
      </w:tr>
      <w:tr>
        <w:trPr>
          <w:cantSplit/>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Consumptive Use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
            </w:r>
          </w:p>
        </w:tc>
      </w:tr>
      <w:tr>
        <w:trPr>
          <w:cantSplit/>
          <w:trHeight w:val="615"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0.01</w:t>
            </w:r>
          </w:p>
        </w:tc>
      </w:tr>
      <w:tr>
        <w:trPr>
          <w:cantSplit/>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15.88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22.73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22.66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11.18</w:t>
            </w:r>
          </w:p>
        </w:tc>
      </w:tr>
      <w:tr>
        <w:trPr>
          <w:cantSplit/>
          <w:trHeight w:val="617"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r>
      <w:tr>
        <w:trPr>
          <w:cantSplit/>
          <w:trHeight w:val="617"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NA</w:t>
            </w:r>
          </w:p>
        </w:tc>
      </w:tr>
    </w:tbl>
    <w:bookmarkEnd w:id="102"/>
    <w:bookmarkStart w:id="103" w:name="habitat-if-applicable"/>
    <w:p>
      <w:pPr>
        <w:pStyle w:val="Titre2"/>
      </w:pPr>
      <w:r>
        <w:t xml:space="preserve">Habitat (If Applicable):</w:t>
      </w:r>
    </w:p>
    <w:p>
      <w:r>
        <w:br w:type="page"/>
      </w:r>
    </w:p>
    <w:p>
      <w:pPr>
        <w:sectPr>
          <w:type w:val="continuous"/>
          <w:footerReference r:id="rId9" w:type="default"/>
          <w:footerReference r:id="rId10" w:type="even"/>
          <w:cols/>
          <w:pgSz w:h="16848" w:w="11952" w:orient="portrait"/>
          <w:pgMar w:header="0" w:bottom="720" w:top="720" w:right="1440" w:left="720" w:footer="0" w:gutter="720"/>
        </w:sectPr>
      </w:pPr>
    </w:p>
    <w:bookmarkEnd w:id="103"/>
    <w:bookmarkEnd w:id="104"/>
    <w:bookmarkStart w:id="105" w:name="appendix-b---nearby-users-table"/>
    <w:p>
      <w:pPr>
        <w:pStyle w:val="Titre1"/>
      </w:pPr>
      <w:r>
        <w:t xml:space="preserve">Appendix B - Nearby Users Table:</w:t>
      </w:r>
    </w:p>
    <w:tbl xmlns:w14="http://schemas.microsoft.com/office/word/2010/wordml">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cantSplit/>
          <w:trHeight w:val="61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 Proposed Permit: base_demand_mgy </w:t>
            </w:r>
          </w:p>
        </w:tc>
      </w:tr>
      <w:tr>
        <w:trPr>
          <w:cantSplit/>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FORK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2,657.46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2,657.46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3,812.23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6,566.34</w:t>
            </w:r>
          </w:p>
        </w:tc>
      </w:tr>
      <w:tr>
        <w:trPr>
          <w:cantSplit/>
          <w:trHeight w:val="612"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Beaver Creek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BEAVER CREEK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242.86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CROZET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242.86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282.48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192.38</w:t>
            </w:r>
          </w:p>
        </w:tc>
      </w:tr>
      <w:tr>
        <w:trPr>
          <w:cantSplit/>
          <w:trHeight w:val="574" w:hRule="auto"/>
        </w:trPr>
        body 3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203.44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LAKE MONTICELLO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203.44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413.06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399.73</w:t>
            </w:r>
          </w:p>
        </w:tc>
      </w:tr>
      <w:tr>
        <w:trPr>
          <w:cantSplit/>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Ivy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49.61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FARMINGTON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49.61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574"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Mechunk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Fluvanna Correctional Center for Women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7"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Morey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37.85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Birdwood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37.85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37.81</w:t>
            </w:r>
          </w:p>
        </w:tc>
      </w:tr>
      <w:tr>
        <w:trPr>
          <w:cantSplit/>
          <w:trHeight w:val="575"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Paradise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KESWICK HALL &amp;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34.59</w:t>
            </w:r>
          </w:p>
        </w:tc>
      </w:tr>
      <w:tr>
        <w:trPr>
          <w:cantSplit/>
          <w:trHeight w:val="57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GLENMORE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26.63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r>
      <w:tr>
        <w:trPr>
          <w:cantSplit/>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 Irrigation Pond (pump station location)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OLD TRAIL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574"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10.70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MEADOWCREEK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10.70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9.49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10.69</w:t>
            </w:r>
          </w:p>
        </w:tc>
      </w:tr>
      <w:tr>
        <w:trPr>
          <w:cantSplit/>
          <w:trHeight w:val="574"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GOLF COURSE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LAKE MONTICELLO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19.00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10.46</w:t>
            </w:r>
          </w:p>
        </w:tc>
      </w:tr>
      <w:tr>
        <w:trPr>
          <w:cantSplit/>
          <w:trHeight w:val="602"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6.13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KESWICK ESTATES UTILITIES, LLC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17.53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13.84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02"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6.02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KESWICK ESTATES UTILITIES, LLC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17.53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13.84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02"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KESWICK ESTATES UTILITIES, LLC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17.53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13.84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574"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STAGECOACH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body20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body21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#3A  DRINKING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4" w:hRule="auto"/>
        </w:trPr>
        body22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PALMYRA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Palmyra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body23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#2D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body24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body25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body26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#35D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body27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body28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body29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#4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body30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#1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body31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#31D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body32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#20E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body33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ALB West Bound-10036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I-64 C'Ville West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body34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Well-10035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I-64 C'Ville East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body35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MILLER SCHOOL DAM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r>
      <w:tr>
        <w:trPr>
          <w:cantSplit/>
          <w:trHeight w:val="612" w:hRule="auto"/>
        </w:trPr>
        body36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SECOND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r>
      <w:tr>
        <w:trPr>
          <w:cantSplit/>
          <w:trHeight w:val="612" w:hRule="auto"/>
        </w:trPr>
        body37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MAIN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r>
      <w:tr>
        <w:trPr>
          <w:cantSplit/>
          <w:trHeight w:val="612" w:hRule="auto"/>
        </w:trPr>
        body38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#2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body39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#3  DRINKING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body40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#1D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body41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#5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body42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#26D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body43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body44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574" w:hRule="auto"/>
        </w:trPr>
        body45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WHITTINGTON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FOREST LODGE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574" w:hRule="auto"/>
        </w:trPr>
        body46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FOREST LODGE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FOREST LODGE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body47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IVY CREEK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IVY CREEK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7" w:hRule="auto"/>
        </w:trPr>
        body48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#5 Pond (Transfer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OLD TRAIL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r>
        <w:trPr>
          <w:cantSplit/>
          <w:trHeight w:val="612" w:hRule="auto"/>
        </w:trPr>
        body49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SKYLINE SWANNANOA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
            </w:r>
          </w:p>
        </w:tc>
      </w:tr>
    </w:tbl>
    <w:p>
      <w:pPr>
        <w:sectPr>
          <w:pgSz w:h="11906" w:w="16838" w:orient="landscape"/>
          <w:footerReference r:id="rId9" w:type="default"/>
          <w:footerReference r:id="rId10" w:type="even"/>
          <w:type w:val="oddPage"/>
          <w:cols/>
          <w:pgMar w:header="0" w:bottom="720" w:top="720" w:right="1440" w:left="720" w:footer="0" w:gutter="720"/>
        </w:sectPr>
      </w:pPr>
    </w:p>
    <w:bookmarkEnd w:id="105"/>
    <w:sectPr>
      <w:pgMar w:header="0" w:bottom="720" w:top="720" w:right="1440" w:left="720" w:footer="0" w:gutter="720"/>
      <w:pgSz w:h="16848" w:w="11952" w:orient="portrait"/>
      <w:type w:val="continuous"/>
      <w:cols/>
      <w:footerReference r:id="rId9" w:type="default"/>
      <w:footerReference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 </w:t>
      </w:r>
      <w:hyperlink r:id="rId21">
        <w:r>
          <w:rPr>
            <w:rStyle w:val="Lienhypertexte"/>
          </w:rPr>
          <w:t xml:space="preserve">Chesapeake Bay Program Phase 6 Model</w:t>
        </w:r>
      </w:hyperlink>
      <w:r>
        <w:t xml:space="preserve">.</w:t>
      </w:r>
    </w:p>
  </w:footnote>
  <w:footnote w:id="27">
    <w:p>
      <w:pPr>
        <w:pStyle w:val="Notedebasdepage"/>
      </w:pPr>
      <w:r>
        <w:rPr>
          <w:rStyle w:val="Appelnotedebasdep"/>
        </w:rPr>
        <w:footnoteRef/>
      </w:r>
      <w:r>
        <w:t xml:space="preserve"> </w:t>
      </w:r>
      <w:r>
        <w:t xml:space="preserve"> </w:t>
      </w:r>
      <w:hyperlink r:id="rId28">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99">
    <w:p>
      <w:pPr>
        <w:pStyle w:val="Notedebasdepage"/>
      </w:pPr>
      <w:r>
        <w:rPr>
          <w:rStyle w:val="Appelnotedebasdep"/>
        </w:rPr>
        <w:footnoteRef/>
      </w:r>
      <w:r>
        <w:t xml:space="preserve"> </w:t>
      </w:r>
      <w:r>
        <w:t xml:space="preserve">Kleiner et al:</w:t>
      </w:r>
      <w:r>
        <w:t xml:space="preserve"> </w:t>
      </w:r>
      <w:hyperlink r:id="rId100">
        <w:r>
          <w:rPr>
            <w:rStyle w:val="Lienhypertexte"/>
          </w:rPr>
          <w:t xml:space="preserve">https://onlinelibrary.wiley.com/doi/full/10.1111/1752-1688.12876</w:t>
        </w:r>
      </w:hyperlink>
      <w:r>
        <w:t xml:space="preserve"> </w:t>
      </w:r>
      <w:r>
        <w:t xml:space="preserve">&amp; Rapp et al:</w:t>
      </w:r>
      <w:r>
        <w:t xml:space="preserve"> </w:t>
      </w:r>
      <w:hyperlink r:id="rId101">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68" Type="http://schemas.openxmlformats.org/officeDocument/2006/relationships/image" Target="media/rId68.png"/>
<Relationship Id="rId76" Type="http://schemas.openxmlformats.org/officeDocument/2006/relationships/image" Target="media/rId76.png"/>
<Relationship Id="rId84" Type="http://schemas.openxmlformats.org/officeDocument/2006/relationships/image" Target="media/rId84.png"/>
<Relationship Id="rId47" Type="http://schemas.openxmlformats.org/officeDocument/2006/relationships/image" Target="media/rId47.png"/>
<Relationship Id="rId55" Type="http://schemas.openxmlformats.org/officeDocument/2006/relationships/image" Target="media/rId55.png"/>
<Relationship Id="rId63" Type="http://schemas.openxmlformats.org/officeDocument/2006/relationships/image" Target="media/rId63.png"/>
<Relationship Id="rId95" Type="http://schemas.openxmlformats.org/officeDocument/2006/relationships/image" Target="media/rId95.png"/>
<Relationship Id="rId30" Type="http://schemas.openxmlformats.org/officeDocument/2006/relationships/image" Target="media/rId30.png"/>
<Relationship Id="rId43" Type="http://schemas.openxmlformats.org/officeDocument/2006/relationships/image" Target="media/rId43.png"/>
<Relationship Id="rId51" Type="http://schemas.openxmlformats.org/officeDocument/2006/relationships/image" Target="media/rId51.png"/>
<Relationship Id="rId59" Type="http://schemas.openxmlformats.org/officeDocument/2006/relationships/image" Target="media/rId59.png"/>
<Relationship Id="rId72" Type="http://schemas.openxmlformats.org/officeDocument/2006/relationships/image" Target="media/rId72.png"/>
<Relationship Id="rId80" Type="http://schemas.openxmlformats.org/officeDocument/2006/relationships/image" Target="media/rId80.png"/>
<Relationship Id="rId88" Type="http://schemas.openxmlformats.org/officeDocument/2006/relationships/image" Target="media/rId88.png"/>
<Relationship Id="rId100" Type="http://schemas.openxmlformats.org/officeDocument/2006/relationships/hyperlink" Target="https://onlinelibrary.wiley.com/doi/full/10.1111/1752-1688.12876" TargetMode="External"/>
<Relationship Id="rId101"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8" Type="http://schemas.openxmlformats.org/officeDocument/2006/relationships/hyperlink" Target="https://www.deq.virginia.gov/home/showpublisheddocument/5115/637490843054630000" TargetMode="External"/>
</Relationships>

</file>

<file path=word/_rels/footnotes.xml.rels><?xml version="1.0" encoding="UTF-8" standalone="yes"?>

<Relationships  xmlns="http://schemas.openxmlformats.org/package/2006/relationships">
<Relationship Id="rId100" Type="http://schemas.openxmlformats.org/officeDocument/2006/relationships/hyperlink" Target="https://onlinelibrary.wiley.com/doi/full/10.1111/1752-1688.12876" TargetMode="External"/>
<Relationship Id="rId101"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8"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2022-08-05T22:06:00Z</dcterms:created>
  <dcterms:modified xsi:type="dcterms:W3CDTF">2022-08-05T18:06:01Z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08/05/2022</vt:lpwstr>
  </property>
  <property fmtid="{D5CDD505-2E9C-101B-9397-08002B2CF9AE}" pid="3" name="output">
    <vt:lpwstr/>
  </property>
  <property fmtid="{D5CDD505-2E9C-101B-9397-08002B2CF9AE}" pid="4" name="params">
    <vt:lpwstr/>
  </property>
</Properties>
</file>