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Highlights</w:t>
      </w:r>
    </w:p>
    <w:p>
      <w:pPr>
        <w:pStyle w:val="ListBullet"/>
      </w:pPr>
      <w:r>
        <w:rPr>
          <w:rFonts w:ascii="Arial" w:hAnsi="Arial"/>
          <w:sz w:val="22"/>
        </w:rPr>
        <w:t>Decoupled 6-agent system for real-time EV charging discovery and zone siting.</w:t>
      </w:r>
    </w:p>
    <w:p>
      <w:pPr>
        <w:pStyle w:val="ListBullet"/>
      </w:pPr>
      <w:r>
        <w:rPr>
          <w:rFonts w:ascii="Arial" w:hAnsi="Arial"/>
          <w:sz w:val="22"/>
        </w:rPr>
        <w:t>Stochastic M/M/c Erlang C closed-form model with proven p50 &lt;= p90 tail invariant.</w:t>
      </w:r>
    </w:p>
    <w:p>
      <w:pPr>
        <w:pStyle w:val="ListBullet"/>
      </w:pPr>
      <w:r>
        <w:rPr>
          <w:rFonts w:ascii="Arial" w:hAnsi="Arial"/>
          <w:sz w:val="22"/>
        </w:rPr>
        <w:t>45.6% lower tail wait error versus lumped M/M/1 against 25k discrete simulation.</w:t>
      </w:r>
    </w:p>
    <w:p>
      <w:pPr>
        <w:pStyle w:val="ListBullet"/>
      </w:pPr>
      <w:r>
        <w:rPr>
          <w:rFonts w:ascii="Arial" w:hAnsi="Arial"/>
          <w:sz w:val="22"/>
        </w:rPr>
        <w:t>3-tier provenance framework tags spatial features to prevent hallucinated advice.</w:t>
      </w:r>
    </w:p>
    <w:p>
      <w:pPr>
        <w:pStyle w:val="ListBullet"/>
      </w:pPr>
      <w:r>
        <w:rPr>
          <w:rFonts w:ascii="Arial" w:hAnsi="Arial"/>
          <w:sz w:val="22"/>
        </w:rPr>
        <w:t>Zero-hardcoded generalization across 10 global cities with sub-second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