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1A82" w:rsidRDefault="00000000">
      <w:pPr>
        <w:pStyle w:val="Heading1"/>
      </w:pPr>
      <w:r>
        <w:t>APL Logistics – Delivery Performance &amp; SLA Analysis</w:t>
      </w:r>
    </w:p>
    <w:p w:rsidR="009C1A82" w:rsidRDefault="00000000">
      <w:r>
        <w:t>Prepared by: Harsha S L</w:t>
      </w:r>
    </w:p>
    <w:p w:rsidR="009C1A82" w:rsidRDefault="00000000">
      <w:r>
        <w:t>Role: Data Analyst Intern</w:t>
      </w:r>
    </w:p>
    <w:p w:rsidR="009C1A82" w:rsidRDefault="00000000">
      <w:r>
        <w:t>Date: March 2026</w:t>
      </w:r>
    </w:p>
    <w:p w:rsidR="009C1A82" w:rsidRDefault="00000000">
      <w:r>
        <w:br/>
      </w:r>
    </w:p>
    <w:p w:rsidR="009C1A82" w:rsidRDefault="00000000">
      <w:pPr>
        <w:pStyle w:val="Heading2"/>
      </w:pPr>
      <w:r>
        <w:t>1. Introduction</w:t>
      </w:r>
    </w:p>
    <w:p w:rsidR="009C1A82" w:rsidRDefault="00000000">
      <w:r>
        <w:t>This research paper presents a comprehensive delivery performance assessment based on 180,519 shipment records. The objective of this study is to evaluate SLA compliance, diagnose systemic inefficiencies, and assess the financial impact of delivery delays within APL Logistics' global supply chain operations.</w:t>
      </w:r>
    </w:p>
    <w:p w:rsidR="009C1A82" w:rsidRDefault="00000000">
      <w:r>
        <w:t>The analysis aims to determine whether delay risks originate from operational instability or structural scheduling misalignment, and to provide strategic recommendations for performance optimization.</w:t>
      </w:r>
    </w:p>
    <w:p w:rsidR="009C1A82" w:rsidRDefault="00000000">
      <w:pPr>
        <w:pStyle w:val="Heading2"/>
      </w:pPr>
      <w:r>
        <w:t>2. Dataset Overview</w:t>
      </w:r>
    </w:p>
    <w:p w:rsidR="009C1A82" w:rsidRDefault="00000000">
      <w:r>
        <w:t>The dataset contains 40 operational and financial variables, including shipping mode, order region, scheduled shipment days, actual shipment days, sales, profit per order, discount rates, and risk indicators. Data completeness exceeds 99%, ensuring analytical reliability.</w:t>
      </w:r>
    </w:p>
    <w:p w:rsidR="009C1A82" w:rsidRDefault="00000000">
      <w:r>
        <w:t>The dataset represents global shipment activity and provides sufficient scale to draw statistically meaningful insights.</w:t>
      </w:r>
    </w:p>
    <w:p w:rsidR="009C1A82" w:rsidRDefault="00000000">
      <w:pPr>
        <w:pStyle w:val="Heading2"/>
      </w:pPr>
      <w:r>
        <w:t>3. Methodology</w:t>
      </w:r>
    </w:p>
    <w:p w:rsidR="009C1A82" w:rsidRDefault="00000000">
      <w:r>
        <w:t>Delivery Gap was engineered using the formula: Delivery Gap = Actual Shipping Days − Scheduled Shipping Days.</w:t>
      </w:r>
    </w:p>
    <w:p w:rsidR="009C1A82" w:rsidRDefault="00000000">
      <w:r>
        <w:t>Shipments were classified into three categories: Delayed (gap &gt; 0), On-Time (gap = 0), and Early (gap &lt; 0).</w:t>
      </w:r>
    </w:p>
    <w:p w:rsidR="009C1A82" w:rsidRDefault="00000000">
      <w:r>
        <w:t>Key performance indicators constructed include: overall delay rate, delay severity distribution, shipping mode performance diagnostics, regional delay comparison, and financial impact assessment.</w:t>
      </w:r>
    </w:p>
    <w:p w:rsidR="009C1A82" w:rsidRDefault="00000000">
      <w:pPr>
        <w:pStyle w:val="Heading2"/>
      </w:pPr>
      <w:r>
        <w:t>4. Delivery Performance Analysis</w:t>
      </w:r>
    </w:p>
    <w:p w:rsidR="009C1A82" w:rsidRDefault="00000000">
      <w:r>
        <w:t>The overall delay rate across shipments is approximately 57%. The majority of delays are limited to a one-day deviation, with very few extreme cases exceeding three to four days.</w:t>
      </w:r>
    </w:p>
    <w:p w:rsidR="009C1A82" w:rsidRDefault="00000000">
      <w:r>
        <w:t>This indicates predictable performance behavior rather than operational volatility.</w:t>
      </w:r>
    </w:p>
    <w:p w:rsidR="009C1A82" w:rsidRDefault="00000000">
      <w:pPr>
        <w:pStyle w:val="Heading2"/>
      </w:pPr>
      <w:r>
        <w:lastRenderedPageBreak/>
        <w:t>5. Shipping Mode Diagnostics</w:t>
      </w:r>
    </w:p>
    <w:p w:rsidR="009C1A82" w:rsidRDefault="00000000">
      <w:r>
        <w:t>Premium shipping modes, specifically First Class and Second Class, exhibit significantly higher delay rates compared to Standard Class shipments.</w:t>
      </w:r>
    </w:p>
    <w:p w:rsidR="009C1A82" w:rsidRDefault="00000000">
      <w:r>
        <w:t>First Class shipments are scheduled for 1 day while operational performance averages 2 days. This results in systematic delay classification driven by aggressive SLA commitments.</w:t>
      </w:r>
    </w:p>
    <w:p w:rsidR="009C1A82" w:rsidRDefault="00000000">
      <w:r>
        <w:t>Second Class shipments demonstrate similar scheduling misalignment, whereas Standard Class shows near-perfect alignment between scheduled and actual delivery times.</w:t>
      </w:r>
    </w:p>
    <w:p w:rsidR="009C1A82" w:rsidRDefault="00000000">
      <w:pPr>
        <w:pStyle w:val="Heading2"/>
      </w:pPr>
      <w:r>
        <w:t>6. Regional Analysis</w:t>
      </w:r>
    </w:p>
    <w:p w:rsidR="009C1A82" w:rsidRDefault="00000000">
      <w:r>
        <w:t>Delay rates are relatively uniform across geographic regions, generally ranging between 57% and 60%. This suggests that delays are structural rather than region-specific bottlenecks.</w:t>
      </w:r>
    </w:p>
    <w:p w:rsidR="009C1A82" w:rsidRDefault="00000000">
      <w:pPr>
        <w:pStyle w:val="Heading2"/>
      </w:pPr>
      <w:r>
        <w:t>7. Financial Impact Assessment</w:t>
      </w:r>
    </w:p>
    <w:p w:rsidR="009C1A82" w:rsidRDefault="00000000">
      <w:r>
        <w:t>Delayed shipments generate approximately 0.95 lower profit per order compared to on-time deliveries. Although per-order financial impact is moderate, cumulative impact across 103,000+ delayed shipments is operationally meaningful.</w:t>
      </w:r>
    </w:p>
    <w:p w:rsidR="009C1A82" w:rsidRDefault="00000000">
      <w:r>
        <w:t>Discount rates and average sales values remain consistent across delivery categories, indicating that profit variance is not driven by promotional activity.</w:t>
      </w:r>
    </w:p>
    <w:p w:rsidR="009C1A82" w:rsidRDefault="00000000">
      <w:pPr>
        <w:pStyle w:val="Heading2"/>
      </w:pPr>
      <w:r>
        <w:t>8. Root Cause Analysis</w:t>
      </w:r>
    </w:p>
    <w:p w:rsidR="009C1A82" w:rsidRDefault="00000000">
      <w:r>
        <w:t>The primary driver of delay risk is identified as SLA misalignment rather than operational inefficiency. Operational delivery timelines are consistent and stable; however, scheduled commitments exceed realistic performance capability in premium shipping modes.</w:t>
      </w:r>
    </w:p>
    <w:p w:rsidR="009C1A82" w:rsidRDefault="00000000">
      <w:pPr>
        <w:pStyle w:val="Heading2"/>
      </w:pPr>
      <w:r>
        <w:t>9. Strategic Recommendations</w:t>
      </w:r>
    </w:p>
    <w:p w:rsidR="009C1A82" w:rsidRDefault="00000000">
      <w:r>
        <w:t>• Recalibrate SLA commitments for premium shipping modes.</w:t>
      </w:r>
    </w:p>
    <w:p w:rsidR="009C1A82" w:rsidRDefault="00000000">
      <w:r>
        <w:t>• Prioritize operational optimization within Standard Class due to volume concentration.</w:t>
      </w:r>
    </w:p>
    <w:p w:rsidR="009C1A82" w:rsidRDefault="00000000">
      <w:r>
        <w:t>• Implement regular SLA performance audits to prevent structural misalignment.</w:t>
      </w:r>
    </w:p>
    <w:p w:rsidR="009C1A82" w:rsidRDefault="00000000">
      <w:r>
        <w:t>• Enhance transparency in delivery expectations to strengthen stakeholder trust.</w:t>
      </w:r>
    </w:p>
    <w:p w:rsidR="009C1A82" w:rsidRDefault="00000000">
      <w:pPr>
        <w:pStyle w:val="Heading2"/>
      </w:pPr>
      <w:r>
        <w:t>10. Conclusion</w:t>
      </w:r>
    </w:p>
    <w:p w:rsidR="009C1A82" w:rsidRDefault="00000000">
      <w:r>
        <w:t>This research identifies systemic SLA calibration opportunities rather than operational breakdown. Addressing scheduling misalignment will improve compliance metrics, reduce risk exposure, and enhance long-term operational credibility.</w:t>
      </w:r>
    </w:p>
    <w:p w:rsidR="009C1A82" w:rsidRDefault="00000000">
      <w:r>
        <w:br/>
      </w:r>
    </w:p>
    <w:sectPr w:rsidR="009C1A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9698801">
    <w:abstractNumId w:val="8"/>
  </w:num>
  <w:num w:numId="2" w16cid:durableId="904217049">
    <w:abstractNumId w:val="6"/>
  </w:num>
  <w:num w:numId="3" w16cid:durableId="148325187">
    <w:abstractNumId w:val="5"/>
  </w:num>
  <w:num w:numId="4" w16cid:durableId="145821642">
    <w:abstractNumId w:val="4"/>
  </w:num>
  <w:num w:numId="5" w16cid:durableId="1541015676">
    <w:abstractNumId w:val="7"/>
  </w:num>
  <w:num w:numId="6" w16cid:durableId="293095842">
    <w:abstractNumId w:val="3"/>
  </w:num>
  <w:num w:numId="7" w16cid:durableId="1986035696">
    <w:abstractNumId w:val="2"/>
  </w:num>
  <w:num w:numId="8" w16cid:durableId="313415546">
    <w:abstractNumId w:val="1"/>
  </w:num>
  <w:num w:numId="9" w16cid:durableId="1910193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2415"/>
    <w:rsid w:val="009C1A82"/>
    <w:rsid w:val="00AA1D8D"/>
    <w:rsid w:val="00B47730"/>
    <w:rsid w:val="00B54A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D770E"/>
  <w14:defaultImageDpi w14:val="300"/>
  <w15:docId w15:val="{A34140EC-21B4-40C6-BBFF-23EEFCCCB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S L</cp:lastModifiedBy>
  <cp:revision>2</cp:revision>
  <dcterms:created xsi:type="dcterms:W3CDTF">2013-12-23T23:15:00Z</dcterms:created>
  <dcterms:modified xsi:type="dcterms:W3CDTF">2026-02-23T04:46:00Z</dcterms:modified>
  <cp:category/>
</cp:coreProperties>
</file>