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0B5F9" w14:textId="77777777" w:rsidR="00C86BD1" w:rsidRDefault="00C86BD1" w:rsidP="00C86BD1">
      <w:pPr>
        <w:rPr>
          <w:b/>
          <w:bCs/>
        </w:rPr>
      </w:pPr>
    </w:p>
    <w:p w14:paraId="36B98ACD" w14:textId="77777777" w:rsidR="00C86BD1" w:rsidRDefault="00C86BD1" w:rsidP="00C86BD1">
      <w:pPr>
        <w:rPr>
          <w:b/>
          <w:bCs/>
        </w:rPr>
      </w:pPr>
    </w:p>
    <w:p w14:paraId="59509C6F" w14:textId="77777777" w:rsidR="00C86BD1" w:rsidRDefault="00C86BD1" w:rsidP="00C86BD1">
      <w:pPr>
        <w:rPr>
          <w:b/>
          <w:bCs/>
        </w:rPr>
      </w:pPr>
    </w:p>
    <w:p w14:paraId="5ACE0915" w14:textId="2A1F56B6" w:rsidR="00C86BD1" w:rsidRDefault="00C86BD1" w:rsidP="00C86BD1">
      <w:pPr>
        <w:rPr>
          <w:b/>
          <w:bCs/>
        </w:rPr>
      </w:pPr>
    </w:p>
    <w:p w14:paraId="7B67B144" w14:textId="77777777" w:rsidR="00C86BD1" w:rsidRDefault="00C86BD1" w:rsidP="00C86BD1">
      <w:pPr>
        <w:rPr>
          <w:b/>
          <w:bCs/>
          <w:sz w:val="72"/>
          <w:szCs w:val="72"/>
        </w:rPr>
      </w:pPr>
    </w:p>
    <w:p w14:paraId="1EBAD8D7" w14:textId="77777777" w:rsidR="00C86BD1" w:rsidRDefault="00C86BD1" w:rsidP="00C86BD1">
      <w:pPr>
        <w:rPr>
          <w:b/>
          <w:bCs/>
          <w:sz w:val="72"/>
          <w:szCs w:val="72"/>
        </w:rPr>
      </w:pPr>
    </w:p>
    <w:p w14:paraId="0A8E759C" w14:textId="77777777" w:rsidR="00E223DF" w:rsidRDefault="00E223DF" w:rsidP="00C86BD1">
      <w:pPr>
        <w:rPr>
          <w:b/>
          <w:bCs/>
          <w:sz w:val="72"/>
          <w:szCs w:val="72"/>
        </w:rPr>
      </w:pPr>
      <w:r>
        <w:rPr>
          <w:b/>
          <w:bCs/>
          <w:sz w:val="72"/>
          <w:szCs w:val="72"/>
        </w:rPr>
        <w:t xml:space="preserve">Report on </w:t>
      </w:r>
    </w:p>
    <w:p w14:paraId="31934866" w14:textId="37FD46B6" w:rsidR="00C86BD1" w:rsidRPr="00C86BD1" w:rsidRDefault="00C86BD1" w:rsidP="00C86BD1">
      <w:pPr>
        <w:rPr>
          <w:b/>
          <w:bCs/>
          <w:sz w:val="72"/>
          <w:szCs w:val="72"/>
        </w:rPr>
      </w:pPr>
      <w:r w:rsidRPr="00C86BD1">
        <w:rPr>
          <w:b/>
          <w:bCs/>
          <w:sz w:val="72"/>
          <w:szCs w:val="72"/>
        </w:rPr>
        <w:t>BlackRock: Pioneering Global Asset Management</w:t>
      </w:r>
    </w:p>
    <w:p w14:paraId="7231FEBC" w14:textId="77777777" w:rsidR="00C86BD1" w:rsidRDefault="00C86BD1" w:rsidP="00C86BD1">
      <w:pPr>
        <w:rPr>
          <w:b/>
          <w:bCs/>
        </w:rPr>
      </w:pPr>
    </w:p>
    <w:p w14:paraId="2566F816" w14:textId="77777777" w:rsidR="00C86BD1" w:rsidRDefault="00C86BD1" w:rsidP="00C86BD1">
      <w:pPr>
        <w:rPr>
          <w:b/>
          <w:bCs/>
        </w:rPr>
      </w:pPr>
    </w:p>
    <w:p w14:paraId="3B6E571F" w14:textId="77777777" w:rsidR="00C86BD1" w:rsidRDefault="00C86BD1" w:rsidP="00C86BD1">
      <w:pPr>
        <w:rPr>
          <w:b/>
          <w:bCs/>
        </w:rPr>
      </w:pPr>
    </w:p>
    <w:p w14:paraId="120C2A28" w14:textId="77777777" w:rsidR="00C86BD1" w:rsidRDefault="00C86BD1" w:rsidP="00C86BD1">
      <w:pPr>
        <w:rPr>
          <w:b/>
          <w:bCs/>
        </w:rPr>
      </w:pPr>
    </w:p>
    <w:p w14:paraId="32F28C7D" w14:textId="77777777" w:rsidR="00C86BD1" w:rsidRDefault="00C86BD1" w:rsidP="00C86BD1">
      <w:pPr>
        <w:rPr>
          <w:b/>
          <w:bCs/>
        </w:rPr>
      </w:pPr>
    </w:p>
    <w:p w14:paraId="27D61FD3" w14:textId="77777777" w:rsidR="00C86BD1" w:rsidRDefault="00C86BD1" w:rsidP="00C86BD1">
      <w:pPr>
        <w:rPr>
          <w:b/>
          <w:bCs/>
        </w:rPr>
      </w:pPr>
    </w:p>
    <w:p w14:paraId="0FE7F028" w14:textId="77777777" w:rsidR="00C86BD1" w:rsidRDefault="00C86BD1" w:rsidP="00C86BD1">
      <w:pPr>
        <w:rPr>
          <w:b/>
          <w:bCs/>
        </w:rPr>
      </w:pPr>
    </w:p>
    <w:p w14:paraId="02B71F92" w14:textId="77777777" w:rsidR="00C86BD1" w:rsidRDefault="00C86BD1" w:rsidP="00C86BD1">
      <w:pPr>
        <w:rPr>
          <w:b/>
          <w:bCs/>
        </w:rPr>
      </w:pPr>
    </w:p>
    <w:p w14:paraId="288B4F31" w14:textId="36EA977D" w:rsidR="00C86BD1" w:rsidRDefault="00E223DF" w:rsidP="00C86BD1">
      <w:pPr>
        <w:rPr>
          <w:b/>
          <w:bCs/>
        </w:rPr>
      </w:pPr>
      <w:r>
        <w:rPr>
          <w:b/>
          <w:bCs/>
        </w:rPr>
        <w:t xml:space="preserve">By </w:t>
      </w:r>
    </w:p>
    <w:p w14:paraId="1B485C3B" w14:textId="6750A9DA" w:rsidR="00E223DF" w:rsidRDefault="00E223DF" w:rsidP="00C86BD1">
      <w:pPr>
        <w:rPr>
          <w:b/>
          <w:bCs/>
        </w:rPr>
      </w:pPr>
      <w:r>
        <w:rPr>
          <w:b/>
          <w:bCs/>
        </w:rPr>
        <w:t>Gade Harshith</w:t>
      </w:r>
    </w:p>
    <w:p w14:paraId="25D05EC5" w14:textId="67E9B0BA" w:rsidR="00E223DF" w:rsidRDefault="00E223DF" w:rsidP="00C86BD1">
      <w:pPr>
        <w:rPr>
          <w:b/>
          <w:bCs/>
        </w:rPr>
      </w:pPr>
      <w:r>
        <w:rPr>
          <w:b/>
          <w:bCs/>
        </w:rPr>
        <w:t xml:space="preserve">Sai Nikhil </w:t>
      </w:r>
      <w:proofErr w:type="spellStart"/>
      <w:r>
        <w:rPr>
          <w:b/>
          <w:bCs/>
        </w:rPr>
        <w:t>Dunuka</w:t>
      </w:r>
      <w:proofErr w:type="spellEnd"/>
    </w:p>
    <w:p w14:paraId="64BB63C3" w14:textId="77777777" w:rsidR="00187194" w:rsidRDefault="00E223DF" w:rsidP="00C86BD1">
      <w:pPr>
        <w:rPr>
          <w:b/>
          <w:bCs/>
        </w:rPr>
      </w:pPr>
      <w:proofErr w:type="spellStart"/>
      <w:r>
        <w:rPr>
          <w:b/>
          <w:bCs/>
        </w:rPr>
        <w:t>Durgaprasad</w:t>
      </w:r>
      <w:proofErr w:type="spellEnd"/>
      <w:r>
        <w:rPr>
          <w:b/>
          <w:bCs/>
        </w:rPr>
        <w:t xml:space="preserve"> </w:t>
      </w:r>
      <w:proofErr w:type="spellStart"/>
      <w:r>
        <w:rPr>
          <w:b/>
          <w:bCs/>
        </w:rPr>
        <w:t>Gudisinti</w:t>
      </w:r>
      <w:proofErr w:type="spellEnd"/>
    </w:p>
    <w:p w14:paraId="7EC681D8" w14:textId="69184FD4" w:rsidR="00C86BD1" w:rsidRPr="00C86BD1" w:rsidRDefault="00C86BD1" w:rsidP="00C86BD1">
      <w:pPr>
        <w:rPr>
          <w:b/>
          <w:bCs/>
        </w:rPr>
      </w:pPr>
      <w:r w:rsidRPr="00C86BD1">
        <w:rPr>
          <w:b/>
          <w:bCs/>
          <w:sz w:val="32"/>
          <w:szCs w:val="32"/>
        </w:rPr>
        <w:lastRenderedPageBreak/>
        <w:t>Executive Summary</w:t>
      </w:r>
    </w:p>
    <w:p w14:paraId="144BC5CE" w14:textId="77777777" w:rsidR="006609BB" w:rsidRPr="006609BB" w:rsidRDefault="006609BB" w:rsidP="006609BB">
      <w:r w:rsidRPr="006609BB">
        <w:t>BlackRock, the world’s largest asset manager with $11.5 trillion in assets under management (AUM), has revolutionized the financial services industry through innovation, financial strength, and strategic foresight. With its proprietary Aladdin platform, BlackRock integrates technology into investment management and risk assessment, enhancing operational efficiency and client outcomes.</w:t>
      </w:r>
    </w:p>
    <w:p w14:paraId="39F03658" w14:textId="77777777" w:rsidR="006609BB" w:rsidRPr="006609BB" w:rsidRDefault="006609BB" w:rsidP="006609BB">
      <w:r w:rsidRPr="006609BB">
        <w:t>The firm demonstrates consistent revenue growth, driven by its ETF products, operational efficiency, and economies of scale, while maintaining a robust balance sheet and generating significant cash flows. BlackRock’s commitment to shareholder value is evident through dividends and share buybacks.</w:t>
      </w:r>
    </w:p>
    <w:p w14:paraId="4F61A4E3" w14:textId="77777777" w:rsidR="006609BB" w:rsidRPr="006609BB" w:rsidRDefault="006609BB" w:rsidP="006609BB">
      <w:r w:rsidRPr="006609BB">
        <w:t>Amidst a competitive landscape, BlackRock holds a ~31% share of the ETF market, outpacing Vanguard and State Street with its diverse offerings and advanced tools. The company also leads in sustainable investment solutions, leveraging growing demand for ESG-focused products.</w:t>
      </w:r>
    </w:p>
    <w:p w14:paraId="6FFF66EA" w14:textId="00E80650" w:rsidR="006609BB" w:rsidRPr="006609BB" w:rsidRDefault="006609BB" w:rsidP="006609BB">
      <w:r w:rsidRPr="006609BB">
        <w:t>With moderate market sensitivity (Beta ~1.</w:t>
      </w:r>
      <w:r>
        <w:t>32</w:t>
      </w:r>
      <w:r w:rsidRPr="006609BB">
        <w:t>) and consistent returns (+7% in six months, +10% annually), BlackRock balances risk and reward effectively. Its strategic roadmap focuses on global expansion, innovation in investment strategies, and integrating ESG considerations.</w:t>
      </w:r>
    </w:p>
    <w:p w14:paraId="341BFFAB" w14:textId="77777777" w:rsidR="006609BB" w:rsidRPr="006609BB" w:rsidRDefault="006609BB" w:rsidP="006609BB">
      <w:r w:rsidRPr="006609BB">
        <w:t>Looking ahead, BlackRock’s emphasis on technological advancements, sustainable investments, and geographic diversification positions it to maintain its market leadership while addressing evolving client needs and regulatory challenges.</w:t>
      </w:r>
    </w:p>
    <w:p w14:paraId="5B045064" w14:textId="77777777" w:rsidR="00C86BD1" w:rsidRPr="00C86BD1" w:rsidRDefault="00C86BD1" w:rsidP="00C86BD1"/>
    <w:p w14:paraId="598D5478" w14:textId="074C2359" w:rsidR="00C86BD1" w:rsidRPr="00C86BD1" w:rsidRDefault="00C86BD1" w:rsidP="00C86BD1">
      <w:pPr>
        <w:rPr>
          <w:b/>
          <w:bCs/>
          <w:sz w:val="32"/>
          <w:szCs w:val="32"/>
        </w:rPr>
      </w:pPr>
      <w:r w:rsidRPr="00C86BD1">
        <w:rPr>
          <w:b/>
          <w:bCs/>
          <w:sz w:val="32"/>
          <w:szCs w:val="32"/>
        </w:rPr>
        <w:t>Introduction</w:t>
      </w:r>
    </w:p>
    <w:p w14:paraId="3270CF8D" w14:textId="77777777" w:rsidR="006609BB" w:rsidRPr="006609BB" w:rsidRDefault="006609BB" w:rsidP="006609BB">
      <w:r w:rsidRPr="006609BB">
        <w:t>BlackRock, founded in 1988, has established itself as the global leader in asset management, managing a staggering $11.5 trillion in assets. Headquartered in New York City, BlackRock operates at the intersection of finance and technology, offering a wide array of financial products and services, including mutual funds, exchange-traded funds (ETFs), and portfolio management solutions.</w:t>
      </w:r>
    </w:p>
    <w:p w14:paraId="2CD71A82" w14:textId="77777777" w:rsidR="006609BB" w:rsidRPr="006609BB" w:rsidRDefault="006609BB" w:rsidP="006609BB">
      <w:r w:rsidRPr="006609BB">
        <w:t>The firm’s innovative approach, epitomized by its proprietary Aladdin platform, has transformed investment management and risk assessment, enabling clients to navigate complex financial landscapes with precision. BlackRock’s comprehensive offerings cater to a diverse client base, from individual investors to large institutions, making it a cornerstone of the global financial system.</w:t>
      </w:r>
    </w:p>
    <w:p w14:paraId="5320AF3D" w14:textId="77777777" w:rsidR="006609BB" w:rsidRPr="006609BB" w:rsidRDefault="006609BB" w:rsidP="006609BB">
      <w:r w:rsidRPr="006609BB">
        <w:t>This report delves into BlackRock's market dominance, financial strength, technological innovations, and strategic roadmap. By analyzing its financial performance, competitive positioning, and future outlook, the report aims to provide insights into how BlackRock maintains its leadership in a highly dynamic and competitive industry.</w:t>
      </w:r>
    </w:p>
    <w:p w14:paraId="6D079E8A" w14:textId="77777777" w:rsidR="00C86BD1" w:rsidRDefault="00C86BD1" w:rsidP="00C86BD1">
      <w:pPr>
        <w:rPr>
          <w:b/>
          <w:bCs/>
        </w:rPr>
      </w:pPr>
    </w:p>
    <w:p w14:paraId="0ED09856" w14:textId="77777777" w:rsidR="00E223DF" w:rsidRDefault="00E223DF" w:rsidP="00C86BD1">
      <w:pPr>
        <w:rPr>
          <w:b/>
          <w:bCs/>
          <w:sz w:val="32"/>
          <w:szCs w:val="32"/>
        </w:rPr>
      </w:pPr>
    </w:p>
    <w:p w14:paraId="49E25893" w14:textId="77777777" w:rsidR="00E223DF" w:rsidRDefault="00E223DF" w:rsidP="00C86BD1">
      <w:pPr>
        <w:rPr>
          <w:b/>
          <w:bCs/>
          <w:sz w:val="32"/>
          <w:szCs w:val="32"/>
        </w:rPr>
      </w:pPr>
    </w:p>
    <w:p w14:paraId="6C04981B" w14:textId="77777777" w:rsidR="00E223DF" w:rsidRDefault="00E223DF" w:rsidP="00C86BD1">
      <w:pPr>
        <w:rPr>
          <w:b/>
          <w:bCs/>
          <w:sz w:val="32"/>
          <w:szCs w:val="32"/>
        </w:rPr>
      </w:pPr>
    </w:p>
    <w:p w14:paraId="295611FC" w14:textId="0B6CE7C8" w:rsidR="00C86BD1" w:rsidRPr="00C86BD1" w:rsidRDefault="00C86BD1" w:rsidP="00C86BD1">
      <w:pPr>
        <w:rPr>
          <w:b/>
          <w:bCs/>
          <w:sz w:val="32"/>
          <w:szCs w:val="32"/>
        </w:rPr>
      </w:pPr>
      <w:r w:rsidRPr="00C86BD1">
        <w:rPr>
          <w:b/>
          <w:bCs/>
          <w:sz w:val="32"/>
          <w:szCs w:val="32"/>
        </w:rPr>
        <w:t>Industry Overview</w:t>
      </w:r>
    </w:p>
    <w:p w14:paraId="041EB051" w14:textId="77777777" w:rsidR="006609BB" w:rsidRPr="006609BB" w:rsidRDefault="006609BB" w:rsidP="006609BB">
      <w:r w:rsidRPr="006609BB">
        <w:t>BlackRock operates in the financial services and asset management sector, a highly competitive and dynamic industry that plays a pivotal role in global economic stability. The asset management industry is marked by its ability to manage investments for individuals, corporations, and governments, offering products that range from mutual funds and ETFs to pension funds and private equity.</w:t>
      </w:r>
    </w:p>
    <w:p w14:paraId="285EB7B1" w14:textId="77777777" w:rsidR="006609BB" w:rsidRPr="006609BB" w:rsidRDefault="006609BB" w:rsidP="006609BB">
      <w:pPr>
        <w:rPr>
          <w:b/>
          <w:bCs/>
        </w:rPr>
      </w:pPr>
      <w:r w:rsidRPr="006609BB">
        <w:rPr>
          <w:b/>
          <w:bCs/>
        </w:rPr>
        <w:t>BlackRock’s Market Position</w:t>
      </w:r>
    </w:p>
    <w:p w14:paraId="54B9D7D8" w14:textId="77777777" w:rsidR="006609BB" w:rsidRPr="006609BB" w:rsidRDefault="006609BB" w:rsidP="006609BB">
      <w:r w:rsidRPr="006609BB">
        <w:t>As the world’s largest asset manager, BlackRock commands a significant market share, managing $11.5 trillion in assets. Within the ETF market, it holds a ~31% share, primarily through its iShares product line, which caters to both retail and institutional investors. This dominance surpasses key competitors such as:</w:t>
      </w:r>
    </w:p>
    <w:p w14:paraId="789A4B70" w14:textId="77777777" w:rsidR="006609BB" w:rsidRPr="006609BB" w:rsidRDefault="006609BB" w:rsidP="006609BB">
      <w:pPr>
        <w:numPr>
          <w:ilvl w:val="0"/>
          <w:numId w:val="6"/>
        </w:numPr>
      </w:pPr>
      <w:r w:rsidRPr="006609BB">
        <w:rPr>
          <w:b/>
          <w:bCs/>
        </w:rPr>
        <w:t>Vanguard:</w:t>
      </w:r>
      <w:r w:rsidRPr="006609BB">
        <w:t xml:space="preserve"> ~29% market share, known for low-cost index funds and strong client engagement.</w:t>
      </w:r>
    </w:p>
    <w:p w14:paraId="524CFCF3" w14:textId="77777777" w:rsidR="006609BB" w:rsidRPr="006609BB" w:rsidRDefault="006609BB" w:rsidP="006609BB">
      <w:pPr>
        <w:numPr>
          <w:ilvl w:val="0"/>
          <w:numId w:val="6"/>
        </w:numPr>
      </w:pPr>
      <w:r w:rsidRPr="006609BB">
        <w:rPr>
          <w:b/>
          <w:bCs/>
        </w:rPr>
        <w:t>State Street:</w:t>
      </w:r>
      <w:r w:rsidRPr="006609BB">
        <w:t xml:space="preserve"> ~13.5% market share, focused on institutional asset management and custodial services.</w:t>
      </w:r>
    </w:p>
    <w:p w14:paraId="6E90DA74" w14:textId="77777777" w:rsidR="006609BB" w:rsidRPr="006609BB" w:rsidRDefault="006609BB" w:rsidP="006609BB">
      <w:pPr>
        <w:rPr>
          <w:b/>
          <w:bCs/>
        </w:rPr>
      </w:pPr>
      <w:r w:rsidRPr="006609BB">
        <w:rPr>
          <w:b/>
          <w:bCs/>
        </w:rPr>
        <w:t>Market Dynamics</w:t>
      </w:r>
    </w:p>
    <w:p w14:paraId="46198EB9" w14:textId="77777777" w:rsidR="006609BB" w:rsidRPr="006609BB" w:rsidRDefault="006609BB" w:rsidP="006609BB">
      <w:pPr>
        <w:numPr>
          <w:ilvl w:val="0"/>
          <w:numId w:val="7"/>
        </w:numPr>
      </w:pPr>
      <w:r w:rsidRPr="006609BB">
        <w:rPr>
          <w:b/>
          <w:bCs/>
        </w:rPr>
        <w:t>Diversified Offerings:</w:t>
      </w:r>
      <w:r w:rsidRPr="006609BB">
        <w:t xml:space="preserve"> BlackRock excels in providing a broad spectrum of investment products, including actively managed portfolios and index-based strategies.</w:t>
      </w:r>
    </w:p>
    <w:p w14:paraId="5D852F57" w14:textId="77777777" w:rsidR="006609BB" w:rsidRPr="006609BB" w:rsidRDefault="006609BB" w:rsidP="006609BB">
      <w:pPr>
        <w:numPr>
          <w:ilvl w:val="0"/>
          <w:numId w:val="7"/>
        </w:numPr>
      </w:pPr>
      <w:r w:rsidRPr="006609BB">
        <w:rPr>
          <w:b/>
          <w:bCs/>
        </w:rPr>
        <w:t>Technological Integration:</w:t>
      </w:r>
      <w:r w:rsidRPr="006609BB">
        <w:t xml:space="preserve"> The industry is increasingly reliant on technology for analytics, decision-making, and operational efficiency. BlackRock leads with its Aladdin platform, which integrates risk management and investment processes.</w:t>
      </w:r>
    </w:p>
    <w:p w14:paraId="5975F82B" w14:textId="77777777" w:rsidR="006609BB" w:rsidRPr="006609BB" w:rsidRDefault="006609BB" w:rsidP="006609BB">
      <w:pPr>
        <w:numPr>
          <w:ilvl w:val="0"/>
          <w:numId w:val="7"/>
        </w:numPr>
      </w:pPr>
      <w:r w:rsidRPr="006609BB">
        <w:rPr>
          <w:b/>
          <w:bCs/>
        </w:rPr>
        <w:t>Global Reach:</w:t>
      </w:r>
      <w:r w:rsidRPr="006609BB">
        <w:t xml:space="preserve"> The asset management industry is expanding globally, with emerging markets presenting significant growth opportunities. BlackRock is strategically positioned to capture these opportunities through geographic diversification.</w:t>
      </w:r>
    </w:p>
    <w:p w14:paraId="1DBE621D" w14:textId="77777777" w:rsidR="006609BB" w:rsidRPr="006609BB" w:rsidRDefault="006609BB" w:rsidP="006609BB">
      <w:pPr>
        <w:rPr>
          <w:b/>
          <w:bCs/>
        </w:rPr>
      </w:pPr>
      <w:r w:rsidRPr="006609BB">
        <w:rPr>
          <w:b/>
          <w:bCs/>
        </w:rPr>
        <w:t>Industry Challenges</w:t>
      </w:r>
    </w:p>
    <w:p w14:paraId="2BC6B9DE" w14:textId="77777777" w:rsidR="006609BB" w:rsidRPr="006609BB" w:rsidRDefault="006609BB" w:rsidP="006609BB">
      <w:pPr>
        <w:numPr>
          <w:ilvl w:val="0"/>
          <w:numId w:val="8"/>
        </w:numPr>
      </w:pPr>
      <w:r w:rsidRPr="006609BB">
        <w:rPr>
          <w:b/>
          <w:bCs/>
        </w:rPr>
        <w:t>Regulatory Environment:</w:t>
      </w:r>
      <w:r w:rsidRPr="006609BB">
        <w:t xml:space="preserve"> The sector faces stringent regulations aimed at protecting investors and ensuring financial stability. BlackRock’s ability to adapt to these changes contributes to its leadership position.</w:t>
      </w:r>
    </w:p>
    <w:p w14:paraId="01D5507F" w14:textId="77777777" w:rsidR="006609BB" w:rsidRPr="006609BB" w:rsidRDefault="006609BB" w:rsidP="006609BB">
      <w:pPr>
        <w:numPr>
          <w:ilvl w:val="0"/>
          <w:numId w:val="8"/>
        </w:numPr>
      </w:pPr>
      <w:r w:rsidRPr="006609BB">
        <w:rPr>
          <w:b/>
          <w:bCs/>
        </w:rPr>
        <w:t>Macroeconomic Factors:</w:t>
      </w:r>
      <w:r w:rsidRPr="006609BB">
        <w:t xml:space="preserve"> Interest rate fluctuations, geopolitical tensions, and inflation impact investment strategies and market behavior.</w:t>
      </w:r>
    </w:p>
    <w:p w14:paraId="6F7DB941" w14:textId="77777777" w:rsidR="006609BB" w:rsidRPr="006609BB" w:rsidRDefault="006609BB" w:rsidP="006609BB">
      <w:r w:rsidRPr="006609BB">
        <w:t>BlackRock’s unparalleled market position, combined with its focus on innovation and adaptability, underscores its leadership in an evolving industry. This foundation enables the firm to navigate challenges and capitalize on opportunities, reinforcing its status as a global asset management leader.</w:t>
      </w:r>
    </w:p>
    <w:p w14:paraId="212386A3" w14:textId="77777777" w:rsidR="00C86BD1" w:rsidRDefault="00C86BD1" w:rsidP="00C86BD1">
      <w:pPr>
        <w:rPr>
          <w:b/>
          <w:bCs/>
        </w:rPr>
      </w:pPr>
    </w:p>
    <w:p w14:paraId="05785CB2" w14:textId="77777777" w:rsidR="00187194" w:rsidRDefault="00187194" w:rsidP="00C86BD1">
      <w:pPr>
        <w:rPr>
          <w:b/>
          <w:bCs/>
          <w:sz w:val="32"/>
          <w:szCs w:val="32"/>
        </w:rPr>
      </w:pPr>
    </w:p>
    <w:p w14:paraId="65B2E486" w14:textId="03EF1153" w:rsidR="00C86BD1" w:rsidRPr="00C86BD1" w:rsidRDefault="00C86BD1" w:rsidP="00C86BD1">
      <w:pPr>
        <w:rPr>
          <w:b/>
          <w:bCs/>
          <w:sz w:val="32"/>
          <w:szCs w:val="32"/>
        </w:rPr>
      </w:pPr>
      <w:r w:rsidRPr="00C86BD1">
        <w:rPr>
          <w:b/>
          <w:bCs/>
          <w:sz w:val="32"/>
          <w:szCs w:val="32"/>
        </w:rPr>
        <w:lastRenderedPageBreak/>
        <w:t>BlackRock's Financial Analysis</w:t>
      </w:r>
    </w:p>
    <w:p w14:paraId="37436A6D" w14:textId="77777777" w:rsidR="006609BB" w:rsidRPr="006609BB" w:rsidRDefault="006609BB" w:rsidP="006609BB">
      <w:r w:rsidRPr="006609BB">
        <w:t>BlackRock’s financial performance reflects its strong market position and operational efficiency. The company's consistent revenue growth, robust profitability, and prudent financial management solidify its reputation as a global leader in asset management.</w:t>
      </w:r>
    </w:p>
    <w:p w14:paraId="30569C02" w14:textId="77777777" w:rsidR="006609BB" w:rsidRPr="006609BB" w:rsidRDefault="006609BB" w:rsidP="006609BB">
      <w:pPr>
        <w:rPr>
          <w:b/>
          <w:bCs/>
        </w:rPr>
      </w:pPr>
      <w:r w:rsidRPr="006609BB">
        <w:rPr>
          <w:b/>
          <w:bCs/>
        </w:rPr>
        <w:t>Revenue Growth</w:t>
      </w:r>
    </w:p>
    <w:p w14:paraId="05ABD7D0" w14:textId="77777777" w:rsidR="006609BB" w:rsidRPr="006609BB" w:rsidRDefault="006609BB" w:rsidP="006609BB">
      <w:r w:rsidRPr="006609BB">
        <w:t>BlackRock has demonstrated steady revenue growth, driven by the increasing demand for its ETF offerings, particularly the iShares product line. As investors continue to favor low-cost, diversified investment solutions, BlackRock’s ability to capture this demand underscores its strategic positioning in the market.</w:t>
      </w:r>
    </w:p>
    <w:p w14:paraId="2C830D4C" w14:textId="77777777" w:rsidR="006609BB" w:rsidRPr="006609BB" w:rsidRDefault="006609BB" w:rsidP="006609BB">
      <w:pPr>
        <w:rPr>
          <w:b/>
          <w:bCs/>
        </w:rPr>
      </w:pPr>
      <w:r w:rsidRPr="006609BB">
        <w:rPr>
          <w:b/>
          <w:bCs/>
        </w:rPr>
        <w:t>Profitability</w:t>
      </w:r>
    </w:p>
    <w:p w14:paraId="3AA1E212" w14:textId="77777777" w:rsidR="006609BB" w:rsidRPr="006609BB" w:rsidRDefault="006609BB" w:rsidP="006609BB">
      <w:r w:rsidRPr="006609BB">
        <w:t>The firm’s profitability is a testament to its operational efficiency and economies of scale. BlackRock consistently achieves high profit margins, which are bolstered by its technology-driven approach and cost-effective portfolio management strategies.</w:t>
      </w:r>
    </w:p>
    <w:p w14:paraId="6F6A8EA0" w14:textId="77777777" w:rsidR="006609BB" w:rsidRPr="006609BB" w:rsidRDefault="006609BB" w:rsidP="006609BB">
      <w:pPr>
        <w:rPr>
          <w:b/>
          <w:bCs/>
        </w:rPr>
      </w:pPr>
      <w:r w:rsidRPr="006609BB">
        <w:rPr>
          <w:b/>
          <w:bCs/>
        </w:rPr>
        <w:t>Balance Sheet Strength</w:t>
      </w:r>
    </w:p>
    <w:p w14:paraId="65EE71E8" w14:textId="77777777" w:rsidR="006609BB" w:rsidRPr="006609BB" w:rsidRDefault="006609BB" w:rsidP="006609BB">
      <w:r w:rsidRPr="006609BB">
        <w:t>BlackRock’s financial stability is evident in its strong balance sheet:</w:t>
      </w:r>
    </w:p>
    <w:p w14:paraId="0794ACC6" w14:textId="77777777" w:rsidR="006609BB" w:rsidRPr="006609BB" w:rsidRDefault="006609BB" w:rsidP="006609BB">
      <w:pPr>
        <w:numPr>
          <w:ilvl w:val="0"/>
          <w:numId w:val="9"/>
        </w:numPr>
      </w:pPr>
      <w:r w:rsidRPr="006609BB">
        <w:t>Leverage: The firm maintains a low leverage ratio, enabling flexibility in managing market fluctuations and funding strategic initiatives.</w:t>
      </w:r>
    </w:p>
    <w:p w14:paraId="6DB4D316" w14:textId="77777777" w:rsidR="006609BB" w:rsidRPr="006609BB" w:rsidRDefault="006609BB" w:rsidP="006609BB">
      <w:pPr>
        <w:numPr>
          <w:ilvl w:val="0"/>
          <w:numId w:val="9"/>
        </w:numPr>
      </w:pPr>
      <w:r w:rsidRPr="006609BB">
        <w:t>Liquidity: A robust liquidity position ensures BlackRock is well-equipped to capitalize on growth opportunities and navigate economic uncertainties.</w:t>
      </w:r>
    </w:p>
    <w:p w14:paraId="4D12E4CF" w14:textId="77777777" w:rsidR="006609BB" w:rsidRPr="006609BB" w:rsidRDefault="006609BB" w:rsidP="006609BB">
      <w:pPr>
        <w:rPr>
          <w:b/>
          <w:bCs/>
        </w:rPr>
      </w:pPr>
      <w:r w:rsidRPr="006609BB">
        <w:rPr>
          <w:b/>
          <w:bCs/>
        </w:rPr>
        <w:t>Cash Flow Analysis</w:t>
      </w:r>
    </w:p>
    <w:p w14:paraId="68E0AFBD" w14:textId="77777777" w:rsidR="006609BB" w:rsidRPr="006609BB" w:rsidRDefault="006609BB" w:rsidP="006609BB">
      <w:r w:rsidRPr="006609BB">
        <w:t>The company generates substantial operating cash flows, which are strategically allocated to:</w:t>
      </w:r>
    </w:p>
    <w:p w14:paraId="0EC2DE00" w14:textId="77777777" w:rsidR="006609BB" w:rsidRPr="006609BB" w:rsidRDefault="006609BB" w:rsidP="006609BB">
      <w:pPr>
        <w:numPr>
          <w:ilvl w:val="0"/>
          <w:numId w:val="10"/>
        </w:numPr>
      </w:pPr>
      <w:r w:rsidRPr="006609BB">
        <w:t>Growth Initiatives: Investments in expanding digital platforms and enhancing technological capabilities.</w:t>
      </w:r>
    </w:p>
    <w:p w14:paraId="64CB4E89" w14:textId="77777777" w:rsidR="006609BB" w:rsidRPr="006609BB" w:rsidRDefault="006609BB" w:rsidP="006609BB">
      <w:pPr>
        <w:numPr>
          <w:ilvl w:val="0"/>
          <w:numId w:val="10"/>
        </w:numPr>
      </w:pPr>
      <w:r w:rsidRPr="006609BB">
        <w:t>Shareholder Returns: Consistent dividend payouts and strategic share buybacks demonstrate BlackRock’s commitment to delivering value to its investors.</w:t>
      </w:r>
    </w:p>
    <w:p w14:paraId="6690C1DF" w14:textId="77777777" w:rsidR="006609BB" w:rsidRPr="006609BB" w:rsidRDefault="006609BB" w:rsidP="006609BB">
      <w:pPr>
        <w:rPr>
          <w:b/>
          <w:bCs/>
        </w:rPr>
      </w:pPr>
      <w:r w:rsidRPr="006609BB">
        <w:rPr>
          <w:b/>
          <w:bCs/>
        </w:rPr>
        <w:t>Capital Structure</w:t>
      </w:r>
    </w:p>
    <w:p w14:paraId="5A6A7BA0" w14:textId="77777777" w:rsidR="006609BB" w:rsidRPr="006609BB" w:rsidRDefault="006609BB" w:rsidP="006609BB">
      <w:r w:rsidRPr="006609BB">
        <w:t>BlackRock maintains a balanced capital structure with a debt-to-equity ratio of approximately 0.6. This prudent approach ensures that the firm can fund its operations effectively while minimizing financial risks.</w:t>
      </w:r>
    </w:p>
    <w:p w14:paraId="42158D61" w14:textId="77777777" w:rsidR="006609BB" w:rsidRPr="006609BB" w:rsidRDefault="006609BB" w:rsidP="006609BB">
      <w:pPr>
        <w:rPr>
          <w:b/>
          <w:bCs/>
        </w:rPr>
      </w:pPr>
      <w:r w:rsidRPr="006609BB">
        <w:rPr>
          <w:b/>
          <w:bCs/>
        </w:rPr>
        <w:t>Shareholder Value</w:t>
      </w:r>
    </w:p>
    <w:p w14:paraId="4FDD9D6D" w14:textId="77777777" w:rsidR="006609BB" w:rsidRPr="006609BB" w:rsidRDefault="006609BB" w:rsidP="006609BB">
      <w:r w:rsidRPr="006609BB">
        <w:t>BlackRock’s consistent performance has created significant value for shareholders. Its ability to deliver strong dividends and engage in regular share buybacks highlights its focus on rewarding investor trust.</w:t>
      </w:r>
    </w:p>
    <w:p w14:paraId="03ED3A9D" w14:textId="77777777" w:rsidR="006609BB" w:rsidRPr="006609BB" w:rsidRDefault="006609BB" w:rsidP="006609BB">
      <w:r w:rsidRPr="006609BB">
        <w:lastRenderedPageBreak/>
        <w:t>By combining strong revenue growth, high profitability, and a disciplined approach to financial management, BlackRock exemplifies financial resilience and adaptability. These attributes position the firm for sustained success in the competitive asset management industry.</w:t>
      </w:r>
    </w:p>
    <w:p w14:paraId="61873850" w14:textId="77777777" w:rsidR="00E223DF" w:rsidRDefault="00E223DF" w:rsidP="00C86BD1">
      <w:pPr>
        <w:rPr>
          <w:b/>
          <w:bCs/>
          <w:sz w:val="32"/>
          <w:szCs w:val="32"/>
        </w:rPr>
      </w:pPr>
    </w:p>
    <w:p w14:paraId="7BCFB9B9" w14:textId="30CA7214" w:rsidR="00C86BD1" w:rsidRPr="00C86BD1" w:rsidRDefault="00C86BD1" w:rsidP="00C86BD1">
      <w:pPr>
        <w:rPr>
          <w:b/>
          <w:bCs/>
          <w:sz w:val="32"/>
          <w:szCs w:val="32"/>
        </w:rPr>
      </w:pPr>
      <w:r w:rsidRPr="00C86BD1">
        <w:rPr>
          <w:b/>
          <w:bCs/>
          <w:sz w:val="32"/>
          <w:szCs w:val="32"/>
        </w:rPr>
        <w:t>Technological Innovations</w:t>
      </w:r>
    </w:p>
    <w:p w14:paraId="76615EF0" w14:textId="7634C518" w:rsidR="000B209B" w:rsidRPr="000B209B" w:rsidRDefault="000B209B" w:rsidP="000B209B">
      <w:r w:rsidRPr="000B209B">
        <w:t>BlackRock's technological innovations have been pivotal in establishing its leadership in the asset management industry. The firm's commitment to integrating advanced technology into its operations enhances investment strategies, risk management, and client services.</w:t>
      </w:r>
    </w:p>
    <w:p w14:paraId="10842376" w14:textId="77777777" w:rsidR="000B209B" w:rsidRPr="000B209B" w:rsidRDefault="000B209B" w:rsidP="000B209B">
      <w:r w:rsidRPr="000B209B">
        <w:rPr>
          <w:b/>
          <w:bCs/>
        </w:rPr>
        <w:t>Aladdin Platform</w:t>
      </w:r>
    </w:p>
    <w:p w14:paraId="38512C86" w14:textId="77777777" w:rsidR="000B209B" w:rsidRPr="000B209B" w:rsidRDefault="000B209B" w:rsidP="000B209B">
      <w:r w:rsidRPr="000B209B">
        <w:t xml:space="preserve">At the core of BlackRock's technological framework is the Aladdin platform, a comprehensive investment management and risk assessment system. Aladdin integrates data analytics, portfolio management, and trading operations, providing clients with real-time insights and robust risk management capabilities. This platform supports both BlackRock's internal operations and external clients, underscoring its versatility and industry impact. </w:t>
      </w:r>
    </w:p>
    <w:p w14:paraId="54494EFA" w14:textId="77777777" w:rsidR="000B209B" w:rsidRPr="000B209B" w:rsidRDefault="000B209B" w:rsidP="000B209B">
      <w:r w:rsidRPr="000B209B">
        <w:rPr>
          <w:b/>
          <w:bCs/>
        </w:rPr>
        <w:t>Artificial Intelligence and Machine Learning</w:t>
      </w:r>
    </w:p>
    <w:p w14:paraId="1B67AE3B" w14:textId="77777777" w:rsidR="000B209B" w:rsidRPr="000B209B" w:rsidRDefault="000B209B" w:rsidP="000B209B">
      <w:r w:rsidRPr="000B209B">
        <w:t xml:space="preserve">BlackRock leverages artificial intelligence (AI) and machine learning to enhance investment decision-making and operational efficiency. The BlackRock AI Labs spearhead research and development in AI applications, focusing on solving complex financial challenges and improving client outcomes. These technologies enable the analysis of vast datasets, identification of investment opportunities, and optimization of portfolio performance. </w:t>
      </w:r>
    </w:p>
    <w:p w14:paraId="071FF387" w14:textId="77777777" w:rsidR="000B209B" w:rsidRPr="000B209B" w:rsidRDefault="000B209B" w:rsidP="000B209B">
      <w:r w:rsidRPr="000B209B">
        <w:rPr>
          <w:b/>
          <w:bCs/>
        </w:rPr>
        <w:t>Data Analytics</w:t>
      </w:r>
    </w:p>
    <w:p w14:paraId="6FCE2987" w14:textId="77777777" w:rsidR="000B209B" w:rsidRPr="000B209B" w:rsidRDefault="000B209B" w:rsidP="000B209B">
      <w:r w:rsidRPr="000B209B">
        <w:t>Advanced data analytics are integral to BlackRock's operations, facilitating informed investment decisions and strategic planning. By analyzing market trends, economic indicators, and client behaviors, BlackRock tailors its services to meet evolving client needs and market conditions.</w:t>
      </w:r>
    </w:p>
    <w:p w14:paraId="531C15AE" w14:textId="77777777" w:rsidR="000B209B" w:rsidRPr="000B209B" w:rsidRDefault="000B209B" w:rsidP="000B209B">
      <w:r w:rsidRPr="000B209B">
        <w:rPr>
          <w:b/>
          <w:bCs/>
        </w:rPr>
        <w:t>Digital Platforms</w:t>
      </w:r>
    </w:p>
    <w:p w14:paraId="777894F1" w14:textId="77777777" w:rsidR="000B209B" w:rsidRPr="000B209B" w:rsidRDefault="000B209B" w:rsidP="000B209B">
      <w:r w:rsidRPr="000B209B">
        <w:t>BlackRock invests in user-friendly digital platforms that provide clients with seamless access to investment solutions and portfolio management tools. These platforms enhance the client experience by offering intuitive interfaces, real-time information, and personalized services.</w:t>
      </w:r>
    </w:p>
    <w:p w14:paraId="67F6CE7F" w14:textId="77777777" w:rsidR="000B209B" w:rsidRPr="000B209B" w:rsidRDefault="000B209B" w:rsidP="000B209B">
      <w:r w:rsidRPr="000B209B">
        <w:rPr>
          <w:b/>
          <w:bCs/>
        </w:rPr>
        <w:t>Blockchain and Digital Assets</w:t>
      </w:r>
    </w:p>
    <w:p w14:paraId="025CBC2D" w14:textId="77777777" w:rsidR="000B209B" w:rsidRPr="000B209B" w:rsidRDefault="000B209B" w:rsidP="000B209B">
      <w:r w:rsidRPr="000B209B">
        <w:t xml:space="preserve">Recognizing the growing importance of digital assets, BlackRock has ventured into blockchain technology and cryptocurrencies. The firm launched its first tokenized fund on the Ethereum network, reflecting its strategic approach to integrating emerging technologies into its offerings. </w:t>
      </w:r>
    </w:p>
    <w:p w14:paraId="0436078B" w14:textId="77777777" w:rsidR="00187194" w:rsidRDefault="000B209B" w:rsidP="00C86BD1">
      <w:r w:rsidRPr="000B209B">
        <w:t>Through these technological innovations, BlackRock not only enhances its operational capabilities but also delivers superior services to clients, reinforcing its position as a leader in the asset management industry.</w:t>
      </w:r>
    </w:p>
    <w:p w14:paraId="288F329A" w14:textId="1C3A50AF" w:rsidR="00C86BD1" w:rsidRPr="00C86BD1" w:rsidRDefault="00C86BD1" w:rsidP="00C86BD1">
      <w:r w:rsidRPr="00C86BD1">
        <w:rPr>
          <w:b/>
          <w:bCs/>
          <w:sz w:val="32"/>
          <w:szCs w:val="32"/>
        </w:rPr>
        <w:lastRenderedPageBreak/>
        <w:t>Competitive Landscape</w:t>
      </w:r>
    </w:p>
    <w:p w14:paraId="1894F3E5" w14:textId="77777777" w:rsidR="00C86BD1" w:rsidRPr="00C86BD1" w:rsidRDefault="00C86BD1" w:rsidP="00C86BD1">
      <w:r w:rsidRPr="00C86BD1">
        <w:t>BlackRock’s competitive advantages stem from its diverse product offerings and innovative tools. A comparison with key competitors is as follows: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1308"/>
        <w:gridCol w:w="6877"/>
      </w:tblGrid>
      <w:tr w:rsidR="00C86BD1" w:rsidRPr="00C86BD1" w14:paraId="7D4B9F0B" w14:textId="77777777" w:rsidTr="00C86BD1">
        <w:trPr>
          <w:tblHeader/>
          <w:tblCellSpacing w:w="15" w:type="dxa"/>
        </w:trPr>
        <w:tc>
          <w:tcPr>
            <w:tcW w:w="0" w:type="auto"/>
            <w:vAlign w:val="center"/>
            <w:hideMark/>
          </w:tcPr>
          <w:p w14:paraId="255D69A4" w14:textId="77777777" w:rsidR="00C86BD1" w:rsidRPr="00C86BD1" w:rsidRDefault="00C86BD1" w:rsidP="00C86BD1">
            <w:pPr>
              <w:rPr>
                <w:b/>
                <w:bCs/>
              </w:rPr>
            </w:pPr>
            <w:r w:rsidRPr="00C86BD1">
              <w:rPr>
                <w:b/>
                <w:bCs/>
              </w:rPr>
              <w:t>Company</w:t>
            </w:r>
          </w:p>
        </w:tc>
        <w:tc>
          <w:tcPr>
            <w:tcW w:w="0" w:type="auto"/>
            <w:vAlign w:val="center"/>
            <w:hideMark/>
          </w:tcPr>
          <w:p w14:paraId="0BAA7D11" w14:textId="77777777" w:rsidR="00C86BD1" w:rsidRPr="00C86BD1" w:rsidRDefault="00C86BD1" w:rsidP="00C86BD1">
            <w:pPr>
              <w:rPr>
                <w:b/>
                <w:bCs/>
              </w:rPr>
            </w:pPr>
            <w:r w:rsidRPr="00C86BD1">
              <w:rPr>
                <w:b/>
                <w:bCs/>
              </w:rPr>
              <w:t>Market Share</w:t>
            </w:r>
          </w:p>
        </w:tc>
        <w:tc>
          <w:tcPr>
            <w:tcW w:w="0" w:type="auto"/>
            <w:vAlign w:val="center"/>
            <w:hideMark/>
          </w:tcPr>
          <w:p w14:paraId="268CA967" w14:textId="77777777" w:rsidR="00C86BD1" w:rsidRPr="00C86BD1" w:rsidRDefault="00C86BD1" w:rsidP="00C86BD1">
            <w:pPr>
              <w:rPr>
                <w:b/>
                <w:bCs/>
              </w:rPr>
            </w:pPr>
            <w:r w:rsidRPr="00C86BD1">
              <w:rPr>
                <w:b/>
                <w:bCs/>
              </w:rPr>
              <w:t>Key Strengths</w:t>
            </w:r>
          </w:p>
        </w:tc>
      </w:tr>
      <w:tr w:rsidR="00C86BD1" w:rsidRPr="00C86BD1" w14:paraId="2435C2B8" w14:textId="77777777" w:rsidTr="00C86BD1">
        <w:trPr>
          <w:tblCellSpacing w:w="15" w:type="dxa"/>
        </w:trPr>
        <w:tc>
          <w:tcPr>
            <w:tcW w:w="0" w:type="auto"/>
            <w:vAlign w:val="center"/>
            <w:hideMark/>
          </w:tcPr>
          <w:p w14:paraId="592165E6" w14:textId="77777777" w:rsidR="00C86BD1" w:rsidRPr="00C86BD1" w:rsidRDefault="00C86BD1" w:rsidP="00C86BD1">
            <w:r w:rsidRPr="00C86BD1">
              <w:rPr>
                <w:b/>
                <w:bCs/>
              </w:rPr>
              <w:t>BlackRock</w:t>
            </w:r>
          </w:p>
        </w:tc>
        <w:tc>
          <w:tcPr>
            <w:tcW w:w="0" w:type="auto"/>
            <w:vAlign w:val="center"/>
            <w:hideMark/>
          </w:tcPr>
          <w:p w14:paraId="714F20F6" w14:textId="77777777" w:rsidR="00C86BD1" w:rsidRPr="00C86BD1" w:rsidRDefault="00C86BD1" w:rsidP="00C86BD1">
            <w:r w:rsidRPr="00C86BD1">
              <w:t>~31% (ETF)</w:t>
            </w:r>
          </w:p>
        </w:tc>
        <w:tc>
          <w:tcPr>
            <w:tcW w:w="0" w:type="auto"/>
            <w:vAlign w:val="center"/>
            <w:hideMark/>
          </w:tcPr>
          <w:p w14:paraId="03B0799A" w14:textId="77777777" w:rsidR="00C86BD1" w:rsidRPr="00C86BD1" w:rsidRDefault="00C86BD1" w:rsidP="00C86BD1">
            <w:r w:rsidRPr="00C86BD1">
              <w:t>Diverse offerings, iShares ETFs, and advanced platforms like Aladdin.</w:t>
            </w:r>
          </w:p>
        </w:tc>
      </w:tr>
      <w:tr w:rsidR="00C86BD1" w:rsidRPr="00C86BD1" w14:paraId="5F4941DD" w14:textId="77777777" w:rsidTr="00C86BD1">
        <w:trPr>
          <w:tblCellSpacing w:w="15" w:type="dxa"/>
        </w:trPr>
        <w:tc>
          <w:tcPr>
            <w:tcW w:w="0" w:type="auto"/>
            <w:vAlign w:val="center"/>
            <w:hideMark/>
          </w:tcPr>
          <w:p w14:paraId="3D7BC20B" w14:textId="77777777" w:rsidR="00C86BD1" w:rsidRPr="00C86BD1" w:rsidRDefault="00C86BD1" w:rsidP="00C86BD1">
            <w:r w:rsidRPr="00C86BD1">
              <w:rPr>
                <w:b/>
                <w:bCs/>
              </w:rPr>
              <w:t>Vanguard</w:t>
            </w:r>
          </w:p>
        </w:tc>
        <w:tc>
          <w:tcPr>
            <w:tcW w:w="0" w:type="auto"/>
            <w:vAlign w:val="center"/>
            <w:hideMark/>
          </w:tcPr>
          <w:p w14:paraId="4FCFF87C" w14:textId="77777777" w:rsidR="00C86BD1" w:rsidRPr="00C86BD1" w:rsidRDefault="00C86BD1" w:rsidP="00C86BD1">
            <w:r w:rsidRPr="00C86BD1">
              <w:t>~29% (ETF)</w:t>
            </w:r>
          </w:p>
        </w:tc>
        <w:tc>
          <w:tcPr>
            <w:tcW w:w="0" w:type="auto"/>
            <w:vAlign w:val="center"/>
            <w:hideMark/>
          </w:tcPr>
          <w:p w14:paraId="787C9ABD" w14:textId="77777777" w:rsidR="00C86BD1" w:rsidRPr="00C86BD1" w:rsidRDefault="00C86BD1" w:rsidP="00C86BD1">
            <w:r w:rsidRPr="00C86BD1">
              <w:t>Low-cost funds, strong focus on investor education.</w:t>
            </w:r>
          </w:p>
        </w:tc>
      </w:tr>
      <w:tr w:rsidR="00C86BD1" w:rsidRPr="00C86BD1" w14:paraId="22251B92" w14:textId="77777777" w:rsidTr="00C86BD1">
        <w:trPr>
          <w:tblCellSpacing w:w="15" w:type="dxa"/>
        </w:trPr>
        <w:tc>
          <w:tcPr>
            <w:tcW w:w="0" w:type="auto"/>
            <w:vAlign w:val="center"/>
            <w:hideMark/>
          </w:tcPr>
          <w:p w14:paraId="1870A935" w14:textId="77777777" w:rsidR="00C86BD1" w:rsidRPr="00C86BD1" w:rsidRDefault="00C86BD1" w:rsidP="00C86BD1">
            <w:r w:rsidRPr="00C86BD1">
              <w:rPr>
                <w:b/>
                <w:bCs/>
              </w:rPr>
              <w:t>State Street</w:t>
            </w:r>
          </w:p>
        </w:tc>
        <w:tc>
          <w:tcPr>
            <w:tcW w:w="0" w:type="auto"/>
            <w:vAlign w:val="center"/>
            <w:hideMark/>
          </w:tcPr>
          <w:p w14:paraId="35181BA3" w14:textId="77777777" w:rsidR="00C86BD1" w:rsidRPr="00C86BD1" w:rsidRDefault="00C86BD1" w:rsidP="00C86BD1">
            <w:r w:rsidRPr="00C86BD1">
              <w:t>~13.5% (ETF)</w:t>
            </w:r>
          </w:p>
        </w:tc>
        <w:tc>
          <w:tcPr>
            <w:tcW w:w="0" w:type="auto"/>
            <w:vAlign w:val="center"/>
            <w:hideMark/>
          </w:tcPr>
          <w:p w14:paraId="78E91DB2" w14:textId="77777777" w:rsidR="00C86BD1" w:rsidRPr="00C86BD1" w:rsidRDefault="00C86BD1" w:rsidP="00C86BD1">
            <w:r w:rsidRPr="00C86BD1">
              <w:t>Institutional asset management expertise, SPDR ETFs, and custodial services.</w:t>
            </w:r>
          </w:p>
        </w:tc>
      </w:tr>
    </w:tbl>
    <w:p w14:paraId="4FFF2644" w14:textId="77777777" w:rsidR="00E223DF" w:rsidRDefault="00E223DF" w:rsidP="000B209B"/>
    <w:p w14:paraId="03CF42FE" w14:textId="4FBAE565" w:rsidR="000B209B" w:rsidRPr="000B209B" w:rsidRDefault="000B209B" w:rsidP="000B209B">
      <w:r w:rsidRPr="000B209B">
        <w:t>In the asset management industry, BlackRock, Vanguard, and State Street Global Advisors (SSGA) are often referred to as the "Big Three" due to their substantial market shares and influence.</w:t>
      </w:r>
    </w:p>
    <w:p w14:paraId="4149C192" w14:textId="77777777" w:rsidR="000B209B" w:rsidRPr="000B209B" w:rsidRDefault="000B209B" w:rsidP="000B209B">
      <w:pPr>
        <w:rPr>
          <w:b/>
          <w:bCs/>
        </w:rPr>
      </w:pPr>
      <w:r w:rsidRPr="000B209B">
        <w:rPr>
          <w:b/>
          <w:bCs/>
        </w:rPr>
        <w:t>Market Share Overview</w:t>
      </w:r>
    </w:p>
    <w:p w14:paraId="4593D9D4" w14:textId="77777777" w:rsidR="000B209B" w:rsidRPr="000B209B" w:rsidRDefault="000B209B" w:rsidP="000B209B">
      <w:r w:rsidRPr="000B209B">
        <w:t>As of 2024, the market shares in the U.S. ETF sector are as follows:</w:t>
      </w:r>
    </w:p>
    <w:p w14:paraId="5418610C" w14:textId="77777777" w:rsidR="000B209B" w:rsidRPr="000B209B" w:rsidRDefault="000B209B" w:rsidP="000B209B">
      <w:pPr>
        <w:numPr>
          <w:ilvl w:val="0"/>
          <w:numId w:val="11"/>
        </w:numPr>
      </w:pPr>
      <w:r w:rsidRPr="000B209B">
        <w:rPr>
          <w:b/>
          <w:bCs/>
        </w:rPr>
        <w:t>BlackRock (iShares):</w:t>
      </w:r>
      <w:r w:rsidRPr="000B209B">
        <w:t xml:space="preserve"> Approximately 31%</w:t>
      </w:r>
    </w:p>
    <w:p w14:paraId="464FEAB1" w14:textId="77777777" w:rsidR="000B209B" w:rsidRPr="000B209B" w:rsidRDefault="000B209B" w:rsidP="000B209B">
      <w:pPr>
        <w:numPr>
          <w:ilvl w:val="0"/>
          <w:numId w:val="11"/>
        </w:numPr>
      </w:pPr>
      <w:r w:rsidRPr="000B209B">
        <w:rPr>
          <w:b/>
          <w:bCs/>
        </w:rPr>
        <w:t>Vanguard:</w:t>
      </w:r>
      <w:r w:rsidRPr="000B209B">
        <w:t xml:space="preserve"> Approximately 29%</w:t>
      </w:r>
    </w:p>
    <w:p w14:paraId="02EB6045" w14:textId="77777777" w:rsidR="000B209B" w:rsidRPr="000B209B" w:rsidRDefault="000B209B" w:rsidP="000B209B">
      <w:pPr>
        <w:numPr>
          <w:ilvl w:val="0"/>
          <w:numId w:val="11"/>
        </w:numPr>
      </w:pPr>
      <w:r w:rsidRPr="000B209B">
        <w:rPr>
          <w:b/>
          <w:bCs/>
        </w:rPr>
        <w:t>State Street (SPDR):</w:t>
      </w:r>
      <w:r w:rsidRPr="000B209B">
        <w:t xml:space="preserve"> Approximately 13.5%</w:t>
      </w:r>
    </w:p>
    <w:p w14:paraId="1AD8F3FC" w14:textId="77777777" w:rsidR="000B209B" w:rsidRPr="000B209B" w:rsidRDefault="000B209B" w:rsidP="000B209B">
      <w:r w:rsidRPr="000B209B">
        <w:t>These three firms collectively control a significant portion of the ETF market, underscoring their dominance in the industry.</w:t>
      </w:r>
    </w:p>
    <w:p w14:paraId="1014D7E1" w14:textId="77777777" w:rsidR="000B209B" w:rsidRPr="000B209B" w:rsidRDefault="000B209B" w:rsidP="000B209B">
      <w:pPr>
        <w:rPr>
          <w:b/>
          <w:bCs/>
        </w:rPr>
      </w:pPr>
      <w:r w:rsidRPr="000B209B">
        <w:rPr>
          <w:b/>
          <w:bCs/>
        </w:rPr>
        <w:t>Key Strengths and Offerings</w:t>
      </w:r>
    </w:p>
    <w:p w14:paraId="0AAA883E" w14:textId="77777777" w:rsidR="000B209B" w:rsidRPr="000B209B" w:rsidRDefault="000B209B" w:rsidP="000B209B">
      <w:pPr>
        <w:numPr>
          <w:ilvl w:val="0"/>
          <w:numId w:val="12"/>
        </w:numPr>
      </w:pPr>
      <w:r w:rsidRPr="000B209B">
        <w:rPr>
          <w:b/>
          <w:bCs/>
        </w:rPr>
        <w:t>BlackRock (iShares):</w:t>
      </w:r>
      <w:r w:rsidRPr="000B209B">
        <w:t xml:space="preserve"> Offers a diverse range of ETFs and mutual funds, with a strong emphasis on technological integration through platforms like Aladdin, enhancing investment management and risk assessment capabilities.</w:t>
      </w:r>
    </w:p>
    <w:p w14:paraId="4B395A29" w14:textId="77777777" w:rsidR="000B209B" w:rsidRPr="000B209B" w:rsidRDefault="000B209B" w:rsidP="000B209B">
      <w:pPr>
        <w:numPr>
          <w:ilvl w:val="0"/>
          <w:numId w:val="12"/>
        </w:numPr>
      </w:pPr>
      <w:r w:rsidRPr="000B209B">
        <w:rPr>
          <w:b/>
          <w:bCs/>
        </w:rPr>
        <w:t>Vanguard:</w:t>
      </w:r>
      <w:r w:rsidRPr="000B209B">
        <w:t xml:space="preserve"> Known for its low-cost index funds and ETFs, Vanguard focuses on investor education and client services, appealing to cost-conscious investors seeking broad market exposure.</w:t>
      </w:r>
    </w:p>
    <w:p w14:paraId="7244B41A" w14:textId="77777777" w:rsidR="000B209B" w:rsidRPr="000B209B" w:rsidRDefault="000B209B" w:rsidP="000B209B">
      <w:pPr>
        <w:numPr>
          <w:ilvl w:val="0"/>
          <w:numId w:val="12"/>
        </w:numPr>
      </w:pPr>
      <w:r w:rsidRPr="000B209B">
        <w:rPr>
          <w:b/>
          <w:bCs/>
        </w:rPr>
        <w:t>State Street (SPDR):</w:t>
      </w:r>
      <w:r w:rsidRPr="000B209B">
        <w:t xml:space="preserve"> Specializes in institutional asset management and provides a variety of SPDR ETFs, including the SPDR S&amp;P 500 ETF (SPY), one of the largest ETFs by assets under management.</w:t>
      </w:r>
    </w:p>
    <w:p w14:paraId="50BE4826" w14:textId="77777777" w:rsidR="000B209B" w:rsidRPr="000B209B" w:rsidRDefault="000B209B" w:rsidP="000B209B">
      <w:pPr>
        <w:rPr>
          <w:b/>
          <w:bCs/>
        </w:rPr>
      </w:pPr>
      <w:r w:rsidRPr="000B209B">
        <w:rPr>
          <w:b/>
          <w:bCs/>
        </w:rPr>
        <w:t>Recent Developments</w:t>
      </w:r>
    </w:p>
    <w:p w14:paraId="2EE2B9A4" w14:textId="77777777" w:rsidR="000B209B" w:rsidRPr="000B209B" w:rsidRDefault="000B209B" w:rsidP="000B209B">
      <w:r w:rsidRPr="000B209B">
        <w:t>In recent years, Vanguard has been closing the gap with BlackRock in terms of ETF assets under management. By early 2024, Vanguard surpassed BlackRock in equity ETF market share, holding about 30.1% compared to BlackRock's 29.4%. However, BlackRock remains the largest U.S. ETF issuer overall.</w:t>
      </w:r>
    </w:p>
    <w:p w14:paraId="4AF88844" w14:textId="77777777" w:rsidR="000B209B" w:rsidRPr="000B209B" w:rsidRDefault="000B209B" w:rsidP="000B209B">
      <w:pPr>
        <w:rPr>
          <w:b/>
          <w:bCs/>
        </w:rPr>
      </w:pPr>
      <w:r w:rsidRPr="000B209B">
        <w:rPr>
          <w:b/>
          <w:bCs/>
        </w:rPr>
        <w:lastRenderedPageBreak/>
        <w:t>Competitive Dynamics</w:t>
      </w:r>
    </w:p>
    <w:p w14:paraId="3B9081AE" w14:textId="77777777" w:rsidR="000B209B" w:rsidRPr="000B209B" w:rsidRDefault="000B209B" w:rsidP="000B209B">
      <w:r w:rsidRPr="000B209B">
        <w:t>The competition among these firms is characterized by:</w:t>
      </w:r>
    </w:p>
    <w:p w14:paraId="31CBB60C" w14:textId="77777777" w:rsidR="000B209B" w:rsidRPr="000B209B" w:rsidRDefault="000B209B" w:rsidP="000B209B">
      <w:pPr>
        <w:numPr>
          <w:ilvl w:val="0"/>
          <w:numId w:val="13"/>
        </w:numPr>
      </w:pPr>
      <w:r w:rsidRPr="000B209B">
        <w:rPr>
          <w:b/>
          <w:bCs/>
        </w:rPr>
        <w:t>Product Innovation:</w:t>
      </w:r>
      <w:r w:rsidRPr="000B209B">
        <w:t xml:space="preserve"> Continuous development of new ETFs and investment strategies to meet evolving investor demands.</w:t>
      </w:r>
    </w:p>
    <w:p w14:paraId="6F13A8EC" w14:textId="77777777" w:rsidR="000B209B" w:rsidRPr="000B209B" w:rsidRDefault="000B209B" w:rsidP="000B209B">
      <w:pPr>
        <w:numPr>
          <w:ilvl w:val="0"/>
          <w:numId w:val="13"/>
        </w:numPr>
      </w:pPr>
      <w:r w:rsidRPr="000B209B">
        <w:rPr>
          <w:b/>
          <w:bCs/>
        </w:rPr>
        <w:t>Fee Structures:</w:t>
      </w:r>
      <w:r w:rsidRPr="000B209B">
        <w:t xml:space="preserve"> A trend towards lower fees to attract cost-sensitive investors, with Vanguard often leading in offering low-cost options.</w:t>
      </w:r>
    </w:p>
    <w:p w14:paraId="60445946" w14:textId="77777777" w:rsidR="000B209B" w:rsidRPr="000B209B" w:rsidRDefault="000B209B" w:rsidP="000B209B">
      <w:pPr>
        <w:numPr>
          <w:ilvl w:val="0"/>
          <w:numId w:val="13"/>
        </w:numPr>
      </w:pPr>
      <w:r w:rsidRPr="000B209B">
        <w:rPr>
          <w:b/>
          <w:bCs/>
        </w:rPr>
        <w:t>Technological Advancements:</w:t>
      </w:r>
      <w:r w:rsidRPr="000B209B">
        <w:t xml:space="preserve"> Investments in technology to improve operational efficiency and client experience, with BlackRock's Aladdin platform being a notable example.</w:t>
      </w:r>
    </w:p>
    <w:p w14:paraId="0891AD5E" w14:textId="28299182" w:rsidR="00C86BD1" w:rsidRDefault="000B209B" w:rsidP="00C86BD1">
      <w:r w:rsidRPr="000B209B">
        <w:t>Despite the intense competition, the "Big Three" maintain their dominance in the asset management industry, leveraging their extensive resources, diverse product offerings, and strong brand reputations to attract and retain investors.</w:t>
      </w:r>
    </w:p>
    <w:p w14:paraId="5C3FBDC6" w14:textId="77777777" w:rsidR="00187194" w:rsidRDefault="00187194" w:rsidP="000B209B">
      <w:pPr>
        <w:rPr>
          <w:b/>
          <w:bCs/>
          <w:sz w:val="32"/>
          <w:szCs w:val="32"/>
        </w:rPr>
      </w:pPr>
    </w:p>
    <w:p w14:paraId="4688403F" w14:textId="27CC1B4A" w:rsidR="000B209B" w:rsidRPr="000B209B" w:rsidRDefault="000B209B" w:rsidP="000B209B">
      <w:pPr>
        <w:rPr>
          <w:b/>
          <w:bCs/>
          <w:sz w:val="32"/>
          <w:szCs w:val="32"/>
        </w:rPr>
      </w:pPr>
      <w:r w:rsidRPr="000B209B">
        <w:rPr>
          <w:b/>
          <w:bCs/>
          <w:sz w:val="32"/>
          <w:szCs w:val="32"/>
        </w:rPr>
        <w:t>Risk and Return Analysis</w:t>
      </w:r>
    </w:p>
    <w:p w14:paraId="74157D03" w14:textId="77777777" w:rsidR="000B209B" w:rsidRPr="000B209B" w:rsidRDefault="000B209B" w:rsidP="000B209B">
      <w:r w:rsidRPr="000B209B">
        <w:t>BlackRock’s risk and return profile highlights its ability to deliver consistent performance in a dynamic market environment. The firm’s diversified portfolio and advanced risk management strategies enable it to balance market sensitivity with steady returns, making it a preferred choice for investors.</w:t>
      </w:r>
    </w:p>
    <w:p w14:paraId="7769CAE8" w14:textId="77777777" w:rsidR="000B209B" w:rsidRPr="000B209B" w:rsidRDefault="000B209B" w:rsidP="000B209B">
      <w:pPr>
        <w:rPr>
          <w:b/>
          <w:bCs/>
        </w:rPr>
      </w:pPr>
      <w:r w:rsidRPr="000B209B">
        <w:rPr>
          <w:b/>
          <w:bCs/>
        </w:rPr>
        <w:t>Market Sensitivity</w:t>
      </w:r>
    </w:p>
    <w:p w14:paraId="309A18FF" w14:textId="77777777" w:rsidR="000B209B" w:rsidRPr="000B209B" w:rsidRDefault="000B209B" w:rsidP="000B209B">
      <w:pPr>
        <w:numPr>
          <w:ilvl w:val="0"/>
          <w:numId w:val="14"/>
        </w:numPr>
      </w:pPr>
      <w:r w:rsidRPr="000B209B">
        <w:t>Beta: BlackRock’s five-year monthly beta stands at 1.31, indicating above-average sensitivity to market movements. This is expected for a firm with significant exposure to global markets and financial sectors. The slightly elevated beta reflects the potential for higher returns during market upswings, alongside manageable risks.</w:t>
      </w:r>
    </w:p>
    <w:p w14:paraId="22BDCC13" w14:textId="77777777" w:rsidR="000B209B" w:rsidRPr="000B209B" w:rsidRDefault="000B209B" w:rsidP="000B209B">
      <w:pPr>
        <w:rPr>
          <w:b/>
          <w:bCs/>
        </w:rPr>
      </w:pPr>
      <w:r w:rsidRPr="000B209B">
        <w:rPr>
          <w:b/>
          <w:bCs/>
        </w:rPr>
        <w:t>Return Metrics</w:t>
      </w:r>
    </w:p>
    <w:p w14:paraId="664ABBC8" w14:textId="77777777" w:rsidR="000B209B" w:rsidRPr="000B209B" w:rsidRDefault="000B209B" w:rsidP="000B209B">
      <w:pPr>
        <w:numPr>
          <w:ilvl w:val="0"/>
          <w:numId w:val="15"/>
        </w:numPr>
      </w:pPr>
      <w:r w:rsidRPr="000B209B">
        <w:t>Year-to-Date (YTD) Return: BlackRock’s stock has gained 46.47% in 2024, outperforming many industry benchmarks. This substantial growth underscores the firm's resilience and ability to capitalize on favorable market trends.</w:t>
      </w:r>
    </w:p>
    <w:p w14:paraId="5C12E16A" w14:textId="77777777" w:rsidR="000B209B" w:rsidRPr="000B209B" w:rsidRDefault="000B209B" w:rsidP="000B209B">
      <w:pPr>
        <w:numPr>
          <w:ilvl w:val="0"/>
          <w:numId w:val="15"/>
        </w:numPr>
      </w:pPr>
      <w:r w:rsidRPr="000B209B">
        <w:t>52-Week Range: The stock has ranged between $718.73 and $1,068.34, reflecting a recovery trajectory and investor confidence in BlackRock's strategic initiatives.</w:t>
      </w:r>
    </w:p>
    <w:p w14:paraId="5B5E7FB7" w14:textId="77777777" w:rsidR="000B209B" w:rsidRPr="000B209B" w:rsidRDefault="000B209B" w:rsidP="000B209B">
      <w:pPr>
        <w:rPr>
          <w:b/>
          <w:bCs/>
        </w:rPr>
      </w:pPr>
      <w:r w:rsidRPr="000B209B">
        <w:rPr>
          <w:b/>
          <w:bCs/>
        </w:rPr>
        <w:t>Volatility Management</w:t>
      </w:r>
    </w:p>
    <w:p w14:paraId="53567203" w14:textId="77777777" w:rsidR="000B209B" w:rsidRPr="000B209B" w:rsidRDefault="000B209B" w:rsidP="000B209B">
      <w:r w:rsidRPr="000B209B">
        <w:t>BlackRock mitigates volatility through its diverse asset base, which includes ETFs, mutual funds, and institutional investment vehicles. Its operations across multiple geographies and asset classes reduce dependence on any single market segment, ensuring stability during market fluctuations.</w:t>
      </w:r>
    </w:p>
    <w:p w14:paraId="494DE8F8" w14:textId="77777777" w:rsidR="00187194" w:rsidRDefault="00187194" w:rsidP="000B209B">
      <w:pPr>
        <w:rPr>
          <w:b/>
          <w:bCs/>
        </w:rPr>
      </w:pPr>
    </w:p>
    <w:p w14:paraId="15CD6424" w14:textId="77777777" w:rsidR="00187194" w:rsidRDefault="00187194" w:rsidP="000B209B">
      <w:pPr>
        <w:rPr>
          <w:b/>
          <w:bCs/>
        </w:rPr>
      </w:pPr>
    </w:p>
    <w:p w14:paraId="3660B176" w14:textId="4CEF5CF1" w:rsidR="000B209B" w:rsidRPr="000B209B" w:rsidRDefault="000B209B" w:rsidP="000B209B">
      <w:pPr>
        <w:rPr>
          <w:b/>
          <w:bCs/>
        </w:rPr>
      </w:pPr>
      <w:r w:rsidRPr="000B209B">
        <w:rPr>
          <w:b/>
          <w:bCs/>
        </w:rPr>
        <w:lastRenderedPageBreak/>
        <w:t>Dividend and Yield</w:t>
      </w:r>
    </w:p>
    <w:p w14:paraId="3684C393" w14:textId="77777777" w:rsidR="000B209B" w:rsidRPr="000B209B" w:rsidRDefault="000B209B" w:rsidP="000B209B">
      <w:pPr>
        <w:numPr>
          <w:ilvl w:val="0"/>
          <w:numId w:val="16"/>
        </w:numPr>
      </w:pPr>
      <w:r w:rsidRPr="000B209B">
        <w:t>Forward Dividend and Yield: BlackRock provides a forward dividend of $20.40 with a yield of 1.95%, reinforcing its commitment to delivering value to shareholders through consistent payouts.</w:t>
      </w:r>
    </w:p>
    <w:p w14:paraId="1E4FB1BA" w14:textId="77777777" w:rsidR="000B209B" w:rsidRPr="000B209B" w:rsidRDefault="000B209B" w:rsidP="000B209B">
      <w:pPr>
        <w:numPr>
          <w:ilvl w:val="0"/>
          <w:numId w:val="16"/>
        </w:numPr>
      </w:pPr>
      <w:r w:rsidRPr="000B209B">
        <w:t>Payout Stability: Regular dividends and share buybacks highlight the firm's focus on maintaining investor trust and long-term shareholder value.</w:t>
      </w:r>
    </w:p>
    <w:p w14:paraId="7261DF72" w14:textId="77777777" w:rsidR="000B209B" w:rsidRPr="000B209B" w:rsidRDefault="000B209B" w:rsidP="000B209B">
      <w:pPr>
        <w:rPr>
          <w:b/>
          <w:bCs/>
        </w:rPr>
      </w:pPr>
      <w:r w:rsidRPr="000B209B">
        <w:rPr>
          <w:b/>
          <w:bCs/>
        </w:rPr>
        <w:t>Earnings and Valuation</w:t>
      </w:r>
    </w:p>
    <w:p w14:paraId="2FC5FF11" w14:textId="77777777" w:rsidR="000B209B" w:rsidRPr="000B209B" w:rsidRDefault="000B209B" w:rsidP="000B209B">
      <w:pPr>
        <w:numPr>
          <w:ilvl w:val="0"/>
          <w:numId w:val="17"/>
        </w:numPr>
      </w:pPr>
      <w:r w:rsidRPr="000B209B">
        <w:t>P/E Ratio: BlackRock’s price-to-earnings (P/E) ratio of 25.98 reflects its strong valuation relative to earnings, demonstrating investor confidence in its growth potential.</w:t>
      </w:r>
    </w:p>
    <w:p w14:paraId="59D70352" w14:textId="77777777" w:rsidR="000B209B" w:rsidRPr="000B209B" w:rsidRDefault="000B209B" w:rsidP="000B209B">
      <w:pPr>
        <w:numPr>
          <w:ilvl w:val="0"/>
          <w:numId w:val="17"/>
        </w:numPr>
      </w:pPr>
      <w:r w:rsidRPr="000B209B">
        <w:t>EPS (TTM): The earnings per share (trailing twelve months) stands at $40.42, showcasing robust profitability and operational efficiency.</w:t>
      </w:r>
    </w:p>
    <w:p w14:paraId="28A739F5" w14:textId="77777777" w:rsidR="000B209B" w:rsidRPr="000B209B" w:rsidRDefault="000B209B" w:rsidP="000B209B">
      <w:pPr>
        <w:rPr>
          <w:b/>
          <w:bCs/>
        </w:rPr>
      </w:pPr>
      <w:r w:rsidRPr="000B209B">
        <w:rPr>
          <w:b/>
          <w:bCs/>
        </w:rPr>
        <w:t>Risk Mitigation Strategies</w:t>
      </w:r>
    </w:p>
    <w:p w14:paraId="32672553" w14:textId="77777777" w:rsidR="000B209B" w:rsidRPr="000B209B" w:rsidRDefault="000B209B" w:rsidP="000B209B">
      <w:pPr>
        <w:numPr>
          <w:ilvl w:val="0"/>
          <w:numId w:val="18"/>
        </w:numPr>
      </w:pPr>
      <w:r w:rsidRPr="000B209B">
        <w:t>Technological Integration: The Aladdin platform enhances real-time risk assessment and portfolio optimization.</w:t>
      </w:r>
    </w:p>
    <w:p w14:paraId="3A0FB945" w14:textId="77777777" w:rsidR="000B209B" w:rsidRPr="000B209B" w:rsidRDefault="000B209B" w:rsidP="000B209B">
      <w:pPr>
        <w:numPr>
          <w:ilvl w:val="0"/>
          <w:numId w:val="18"/>
        </w:numPr>
      </w:pPr>
      <w:r w:rsidRPr="000B209B">
        <w:t>Diversification: BlackRock’s offerings span equities, fixed income, alternative investments, and sustainable products, reducing concentration risks.</w:t>
      </w:r>
    </w:p>
    <w:p w14:paraId="084356EC" w14:textId="77777777" w:rsidR="000B209B" w:rsidRPr="000B209B" w:rsidRDefault="000B209B" w:rsidP="000B209B">
      <w:pPr>
        <w:numPr>
          <w:ilvl w:val="0"/>
          <w:numId w:val="18"/>
        </w:numPr>
      </w:pPr>
      <w:r w:rsidRPr="000B209B">
        <w:t>Active Management: Strategic adjustments in response to market conditions help shield portfolios from adverse market trends.</w:t>
      </w:r>
    </w:p>
    <w:p w14:paraId="1A6A60D2" w14:textId="77777777" w:rsidR="000B209B" w:rsidRPr="000B209B" w:rsidRDefault="000B209B" w:rsidP="000B209B">
      <w:pPr>
        <w:rPr>
          <w:b/>
          <w:bCs/>
        </w:rPr>
      </w:pPr>
      <w:r w:rsidRPr="000B209B">
        <w:rPr>
          <w:b/>
          <w:bCs/>
        </w:rPr>
        <w:t>Summary</w:t>
      </w:r>
    </w:p>
    <w:p w14:paraId="7E111DE5" w14:textId="77777777" w:rsidR="000B209B" w:rsidRPr="000B209B" w:rsidRDefault="000B209B" w:rsidP="000B209B">
      <w:r w:rsidRPr="000B209B">
        <w:t>BlackRock’s risk and return profile demonstrates a well-calibrated balance between market exposure and stability. Its ability to deliver strong returns, supported by advanced risk management and a diversified portfolio, ensures its position as a leading global asset manager.</w:t>
      </w:r>
    </w:p>
    <w:p w14:paraId="20ADADC4" w14:textId="77777777" w:rsidR="000B209B" w:rsidRPr="000B209B" w:rsidRDefault="000B209B" w:rsidP="000B209B">
      <w:pPr>
        <w:rPr>
          <w:b/>
          <w:bCs/>
        </w:rPr>
      </w:pPr>
      <w:r w:rsidRPr="000B209B">
        <w:rPr>
          <w:b/>
          <w:bCs/>
        </w:rPr>
        <w:t>Future Roadmap</w:t>
      </w:r>
    </w:p>
    <w:p w14:paraId="41EFF366" w14:textId="77777777" w:rsidR="000B209B" w:rsidRPr="000B209B" w:rsidRDefault="000B209B" w:rsidP="000B209B">
      <w:r w:rsidRPr="000B209B">
        <w:t>BlackRock's strategic vision is centered on maintaining its leadership position in the asset management industry while addressing evolving market demands and global challenges. The firm's roadmap emphasizes innovation, sustainability, and geographic expansion to ensure long-term growth and resilience.</w:t>
      </w:r>
    </w:p>
    <w:p w14:paraId="2D595690" w14:textId="77777777" w:rsidR="000B209B" w:rsidRPr="000B209B" w:rsidRDefault="000B209B" w:rsidP="000B209B">
      <w:pPr>
        <w:rPr>
          <w:b/>
          <w:bCs/>
        </w:rPr>
      </w:pPr>
      <w:r w:rsidRPr="000B209B">
        <w:rPr>
          <w:b/>
          <w:bCs/>
        </w:rPr>
        <w:t>1. Global Expansion</w:t>
      </w:r>
    </w:p>
    <w:p w14:paraId="575AA93A" w14:textId="77777777" w:rsidR="000B209B" w:rsidRPr="000B209B" w:rsidRDefault="000B209B" w:rsidP="000B209B">
      <w:pPr>
        <w:numPr>
          <w:ilvl w:val="0"/>
          <w:numId w:val="19"/>
        </w:numPr>
      </w:pPr>
      <w:r w:rsidRPr="000B209B">
        <w:t>Geographic Diversification: BlackRock aims to increase its presence in emerging markets, capturing growth opportunities in regions like Asia, Latin America, and Africa.</w:t>
      </w:r>
    </w:p>
    <w:p w14:paraId="4C1B0AE2" w14:textId="77777777" w:rsidR="000B209B" w:rsidRPr="000B209B" w:rsidRDefault="000B209B" w:rsidP="000B209B">
      <w:pPr>
        <w:numPr>
          <w:ilvl w:val="0"/>
          <w:numId w:val="19"/>
        </w:numPr>
      </w:pPr>
      <w:r w:rsidRPr="000B209B">
        <w:t>Localized Solutions: By tailoring investment products to meet the unique needs of regional markets, BlackRock seeks to strengthen its global footprint and enhance client engagement.</w:t>
      </w:r>
    </w:p>
    <w:p w14:paraId="447D60C2" w14:textId="77777777" w:rsidR="000B209B" w:rsidRPr="000B209B" w:rsidRDefault="000B209B" w:rsidP="000B209B">
      <w:pPr>
        <w:rPr>
          <w:b/>
          <w:bCs/>
        </w:rPr>
      </w:pPr>
      <w:r w:rsidRPr="000B209B">
        <w:rPr>
          <w:b/>
          <w:bCs/>
        </w:rPr>
        <w:t>2. Product Innovation</w:t>
      </w:r>
    </w:p>
    <w:p w14:paraId="18F5D875" w14:textId="77777777" w:rsidR="000B209B" w:rsidRPr="000B209B" w:rsidRDefault="000B209B" w:rsidP="000B209B">
      <w:pPr>
        <w:numPr>
          <w:ilvl w:val="0"/>
          <w:numId w:val="20"/>
        </w:numPr>
      </w:pPr>
      <w:r w:rsidRPr="000B209B">
        <w:lastRenderedPageBreak/>
        <w:t>ESG Investments: With growing demand for sustainable investment solutions, BlackRock is committed to expanding its portfolio of environmental, social, and governance (ESG) offerings. This aligns with its pledge to prioritize long-term sustainability and ethical investing.</w:t>
      </w:r>
    </w:p>
    <w:p w14:paraId="2A7DBC26" w14:textId="77777777" w:rsidR="000B209B" w:rsidRPr="000B209B" w:rsidRDefault="000B209B" w:rsidP="000B209B">
      <w:pPr>
        <w:numPr>
          <w:ilvl w:val="0"/>
          <w:numId w:val="20"/>
        </w:numPr>
      </w:pPr>
      <w:r w:rsidRPr="000B209B">
        <w:t>Customized Strategies: The development of new investment strategies, such as hybrid active-passive funds and thematic ETFs, allows BlackRock to cater to diverse client preferences.</w:t>
      </w:r>
    </w:p>
    <w:p w14:paraId="34A7C7C3" w14:textId="77777777" w:rsidR="000B209B" w:rsidRPr="000B209B" w:rsidRDefault="000B209B" w:rsidP="000B209B">
      <w:pPr>
        <w:rPr>
          <w:b/>
          <w:bCs/>
        </w:rPr>
      </w:pPr>
      <w:r w:rsidRPr="000B209B">
        <w:rPr>
          <w:b/>
          <w:bCs/>
        </w:rPr>
        <w:t>3. Sustainability Focus</w:t>
      </w:r>
    </w:p>
    <w:p w14:paraId="23A74208" w14:textId="77777777" w:rsidR="000B209B" w:rsidRPr="000B209B" w:rsidRDefault="000B209B" w:rsidP="000B209B">
      <w:pPr>
        <w:numPr>
          <w:ilvl w:val="0"/>
          <w:numId w:val="21"/>
        </w:numPr>
      </w:pPr>
      <w:r w:rsidRPr="000B209B">
        <w:t>Net-Zero Commitment: BlackRock continues to integrate climate-related considerations into its investment process, aligning with global net-zero carbon emissions goals.</w:t>
      </w:r>
    </w:p>
    <w:p w14:paraId="629CFD9A" w14:textId="77777777" w:rsidR="000B209B" w:rsidRPr="000B209B" w:rsidRDefault="000B209B" w:rsidP="000B209B">
      <w:pPr>
        <w:numPr>
          <w:ilvl w:val="0"/>
          <w:numId w:val="21"/>
        </w:numPr>
      </w:pPr>
      <w:r w:rsidRPr="000B209B">
        <w:t>Sustainable Partnerships: The firm seeks to collaborate with governments and organizations to address climate challenges through impactful investment solutions.</w:t>
      </w:r>
    </w:p>
    <w:p w14:paraId="3BB9EED6" w14:textId="77777777" w:rsidR="000B209B" w:rsidRPr="000B209B" w:rsidRDefault="000B209B" w:rsidP="000B209B">
      <w:pPr>
        <w:rPr>
          <w:b/>
          <w:bCs/>
        </w:rPr>
      </w:pPr>
      <w:r w:rsidRPr="000B209B">
        <w:rPr>
          <w:b/>
          <w:bCs/>
        </w:rPr>
        <w:t>4. Technological Advancement</w:t>
      </w:r>
    </w:p>
    <w:p w14:paraId="670C652D" w14:textId="77777777" w:rsidR="000B209B" w:rsidRPr="000B209B" w:rsidRDefault="000B209B" w:rsidP="000B209B">
      <w:pPr>
        <w:numPr>
          <w:ilvl w:val="0"/>
          <w:numId w:val="22"/>
        </w:numPr>
      </w:pPr>
      <w:r w:rsidRPr="000B209B">
        <w:t>AI and Automation: BlackRock plans to enhance its use of artificial intelligence and automation to optimize portfolio management, improve client experience, and streamline operations.</w:t>
      </w:r>
    </w:p>
    <w:p w14:paraId="61925C97" w14:textId="77777777" w:rsidR="000B209B" w:rsidRPr="000B209B" w:rsidRDefault="000B209B" w:rsidP="000B209B">
      <w:pPr>
        <w:numPr>
          <w:ilvl w:val="0"/>
          <w:numId w:val="22"/>
        </w:numPr>
      </w:pPr>
      <w:r w:rsidRPr="000B209B">
        <w:t>Aladdin Enhancements: Continuous updates to the Aladdin platform will provide clients with more advanced tools for risk management and investment decision-making.</w:t>
      </w:r>
    </w:p>
    <w:p w14:paraId="46F7069D" w14:textId="77777777" w:rsidR="000B209B" w:rsidRPr="000B209B" w:rsidRDefault="000B209B" w:rsidP="000B209B">
      <w:pPr>
        <w:rPr>
          <w:b/>
          <w:bCs/>
        </w:rPr>
      </w:pPr>
      <w:r w:rsidRPr="000B209B">
        <w:rPr>
          <w:b/>
          <w:bCs/>
        </w:rPr>
        <w:t>5. Talent Development</w:t>
      </w:r>
    </w:p>
    <w:p w14:paraId="0DC5953F" w14:textId="77777777" w:rsidR="000B209B" w:rsidRPr="000B209B" w:rsidRDefault="000B209B" w:rsidP="000B209B">
      <w:pPr>
        <w:numPr>
          <w:ilvl w:val="0"/>
          <w:numId w:val="23"/>
        </w:numPr>
      </w:pPr>
      <w:r w:rsidRPr="000B209B">
        <w:t>Employee Training: BlackRock is investing in workforce training programs to ensure its employees remain equipped with the skills needed to navigate the rapidly evolving financial landscape.</w:t>
      </w:r>
    </w:p>
    <w:p w14:paraId="6FFB4E0D" w14:textId="77777777" w:rsidR="000B209B" w:rsidRPr="000B209B" w:rsidRDefault="000B209B" w:rsidP="000B209B">
      <w:pPr>
        <w:numPr>
          <w:ilvl w:val="0"/>
          <w:numId w:val="23"/>
        </w:numPr>
      </w:pPr>
      <w:r w:rsidRPr="000B209B">
        <w:t>Diversity and Inclusion: The firm emphasizes fostering an inclusive workplace culture to attract and retain top talent, reflecting its commitment to innovation and collaboration.</w:t>
      </w:r>
    </w:p>
    <w:p w14:paraId="16EE4375" w14:textId="77777777" w:rsidR="000B209B" w:rsidRPr="000B209B" w:rsidRDefault="000B209B" w:rsidP="000B209B">
      <w:pPr>
        <w:rPr>
          <w:b/>
          <w:bCs/>
        </w:rPr>
      </w:pPr>
      <w:r w:rsidRPr="000B209B">
        <w:rPr>
          <w:b/>
          <w:bCs/>
        </w:rPr>
        <w:t>6. Regulatory Preparedness</w:t>
      </w:r>
    </w:p>
    <w:p w14:paraId="4D9EA75C" w14:textId="77777777" w:rsidR="000B209B" w:rsidRPr="000B209B" w:rsidRDefault="000B209B" w:rsidP="000B209B">
      <w:pPr>
        <w:numPr>
          <w:ilvl w:val="0"/>
          <w:numId w:val="24"/>
        </w:numPr>
      </w:pPr>
      <w:r w:rsidRPr="000B209B">
        <w:t>Proactive Compliance: BlackRock remains vigilant in addressing evolving regulatory requirements, ensuring compliance while adapting to new policies that impact global financial markets.</w:t>
      </w:r>
    </w:p>
    <w:p w14:paraId="5A8755AD" w14:textId="77777777" w:rsidR="000B209B" w:rsidRPr="000B209B" w:rsidRDefault="000B209B" w:rsidP="000B209B">
      <w:pPr>
        <w:numPr>
          <w:ilvl w:val="0"/>
          <w:numId w:val="24"/>
        </w:numPr>
      </w:pPr>
      <w:r w:rsidRPr="000B209B">
        <w:t>Policy Advocacy: The firm actively engages with policymakers to shape regulations that promote transparency, investor protection, and sustainable growth.</w:t>
      </w:r>
    </w:p>
    <w:p w14:paraId="14EEC536" w14:textId="77777777" w:rsidR="000B209B" w:rsidRPr="000B209B" w:rsidRDefault="000B209B" w:rsidP="000B209B">
      <w:pPr>
        <w:rPr>
          <w:b/>
          <w:bCs/>
        </w:rPr>
      </w:pPr>
      <w:r w:rsidRPr="000B209B">
        <w:rPr>
          <w:b/>
          <w:bCs/>
        </w:rPr>
        <w:t>7. Client-Centric Approach</w:t>
      </w:r>
    </w:p>
    <w:p w14:paraId="271069A8" w14:textId="77777777" w:rsidR="000B209B" w:rsidRPr="000B209B" w:rsidRDefault="000B209B" w:rsidP="000B209B">
      <w:pPr>
        <w:numPr>
          <w:ilvl w:val="0"/>
          <w:numId w:val="25"/>
        </w:numPr>
      </w:pPr>
      <w:r w:rsidRPr="000B209B">
        <w:t>Enhanced Digital Platforms: Investments in user-friendly, intuitive platforms ensure seamless client access to BlackRock's investment solutions and services.</w:t>
      </w:r>
    </w:p>
    <w:p w14:paraId="3BB21EFC" w14:textId="77777777" w:rsidR="000B209B" w:rsidRPr="000B209B" w:rsidRDefault="000B209B" w:rsidP="000B209B">
      <w:pPr>
        <w:numPr>
          <w:ilvl w:val="0"/>
          <w:numId w:val="25"/>
        </w:numPr>
      </w:pPr>
      <w:r w:rsidRPr="000B209B">
        <w:t>Personalized Offerings: The firm is focused on delivering tailored financial products that align with individual client goals and preferences.</w:t>
      </w:r>
    </w:p>
    <w:p w14:paraId="4E608C76" w14:textId="77777777" w:rsidR="00E223DF" w:rsidRDefault="00E223DF" w:rsidP="00E223DF">
      <w:pPr>
        <w:rPr>
          <w:b/>
          <w:bCs/>
          <w:sz w:val="32"/>
          <w:szCs w:val="32"/>
        </w:rPr>
      </w:pPr>
    </w:p>
    <w:p w14:paraId="61C3E634" w14:textId="16B58FF6" w:rsidR="00E223DF" w:rsidRPr="00E223DF" w:rsidRDefault="00E223DF" w:rsidP="00E223DF">
      <w:pPr>
        <w:rPr>
          <w:b/>
          <w:bCs/>
          <w:sz w:val="32"/>
          <w:szCs w:val="32"/>
        </w:rPr>
      </w:pPr>
      <w:r w:rsidRPr="00E223DF">
        <w:rPr>
          <w:b/>
          <w:bCs/>
          <w:sz w:val="32"/>
          <w:szCs w:val="32"/>
        </w:rPr>
        <w:lastRenderedPageBreak/>
        <w:t>Detailed Insights on Stock Price Forecasting</w:t>
      </w:r>
    </w:p>
    <w:p w14:paraId="04862918" w14:textId="0A99C8A8" w:rsidR="00E223DF" w:rsidRPr="00E223DF" w:rsidRDefault="00E223DF" w:rsidP="00E223DF">
      <w:r w:rsidRPr="00E223DF">
        <w:t>The prediction of BlackRock's stock price for December 10, 2024, utilized three distinct approaches: LSTM, GRU, and ARIMA. Below is a breakdown of each model, its methodology, and the implications of the results.</w:t>
      </w:r>
    </w:p>
    <w:p w14:paraId="29E332EB" w14:textId="77777777" w:rsidR="00E223DF" w:rsidRPr="00E223DF" w:rsidRDefault="00E223DF" w:rsidP="00E223DF">
      <w:pPr>
        <w:rPr>
          <w:b/>
          <w:bCs/>
        </w:rPr>
      </w:pPr>
      <w:r w:rsidRPr="00E223DF">
        <w:rPr>
          <w:b/>
          <w:bCs/>
        </w:rPr>
        <w:t>1. LSTM (Long Short-Term Memory) Model</w:t>
      </w:r>
    </w:p>
    <w:p w14:paraId="0C2539DD" w14:textId="77777777" w:rsidR="00E223DF" w:rsidRPr="00E223DF" w:rsidRDefault="00E223DF" w:rsidP="00E223DF">
      <w:pPr>
        <w:rPr>
          <w:b/>
          <w:bCs/>
        </w:rPr>
      </w:pPr>
      <w:r w:rsidRPr="00E223DF">
        <w:rPr>
          <w:b/>
          <w:bCs/>
        </w:rPr>
        <w:t>Methodology:</w:t>
      </w:r>
    </w:p>
    <w:p w14:paraId="0B299A9F" w14:textId="77777777" w:rsidR="00E223DF" w:rsidRPr="00E223DF" w:rsidRDefault="00E223DF" w:rsidP="00E223DF">
      <w:pPr>
        <w:numPr>
          <w:ilvl w:val="0"/>
          <w:numId w:val="26"/>
        </w:numPr>
      </w:pPr>
      <w:r w:rsidRPr="00E223DF">
        <w:rPr>
          <w:b/>
          <w:bCs/>
        </w:rPr>
        <w:t xml:space="preserve">Purpose: </w:t>
      </w:r>
      <w:r w:rsidRPr="00E223DF">
        <w:t>LSTM is designed to capture long-term dependencies in sequential data, making it suitable for stock price prediction.</w:t>
      </w:r>
    </w:p>
    <w:p w14:paraId="561D763D" w14:textId="77777777" w:rsidR="00E223DF" w:rsidRPr="00E223DF" w:rsidRDefault="00E223DF" w:rsidP="00E223DF">
      <w:pPr>
        <w:numPr>
          <w:ilvl w:val="0"/>
          <w:numId w:val="26"/>
        </w:numPr>
      </w:pPr>
      <w:r w:rsidRPr="00E223DF">
        <w:rPr>
          <w:b/>
          <w:bCs/>
        </w:rPr>
        <w:t xml:space="preserve">Architecture: </w:t>
      </w:r>
      <w:r w:rsidRPr="00E223DF">
        <w:t>The model consists of LSTM layers, which retain memory of previous data points, reducing the risk of vanishing gradients common in traditional RNNs.</w:t>
      </w:r>
    </w:p>
    <w:p w14:paraId="434DF001" w14:textId="77777777" w:rsidR="00E223DF" w:rsidRPr="00E223DF" w:rsidRDefault="00E223DF" w:rsidP="00E223DF">
      <w:pPr>
        <w:numPr>
          <w:ilvl w:val="0"/>
          <w:numId w:val="26"/>
        </w:numPr>
        <w:rPr>
          <w:b/>
          <w:bCs/>
        </w:rPr>
      </w:pPr>
      <w:r w:rsidRPr="00E223DF">
        <w:rPr>
          <w:b/>
          <w:bCs/>
        </w:rPr>
        <w:t xml:space="preserve">Training Data: </w:t>
      </w:r>
      <w:r w:rsidRPr="00E223DF">
        <w:t>Used recent closing price data from August 15, 2024, to November 15, 2024, for training, with a sequence length of 90 days.</w:t>
      </w:r>
    </w:p>
    <w:p w14:paraId="1FFD3B25" w14:textId="77777777" w:rsidR="00E223DF" w:rsidRPr="00E223DF" w:rsidRDefault="00E223DF" w:rsidP="00E223DF">
      <w:pPr>
        <w:numPr>
          <w:ilvl w:val="0"/>
          <w:numId w:val="26"/>
        </w:numPr>
        <w:rPr>
          <w:b/>
          <w:bCs/>
        </w:rPr>
      </w:pPr>
      <w:r w:rsidRPr="00E223DF">
        <w:rPr>
          <w:b/>
          <w:bCs/>
        </w:rPr>
        <w:t>Hyperparameters:</w:t>
      </w:r>
    </w:p>
    <w:p w14:paraId="50D2B9AE" w14:textId="77777777" w:rsidR="00E223DF" w:rsidRPr="00E223DF" w:rsidRDefault="00E223DF" w:rsidP="00E223DF">
      <w:pPr>
        <w:numPr>
          <w:ilvl w:val="1"/>
          <w:numId w:val="26"/>
        </w:numPr>
      </w:pPr>
      <w:r w:rsidRPr="00E223DF">
        <w:rPr>
          <w:b/>
          <w:bCs/>
        </w:rPr>
        <w:t xml:space="preserve">Learning rate: </w:t>
      </w:r>
      <w:r w:rsidRPr="00E223DF">
        <w:t>Reduced for finer adjustments.</w:t>
      </w:r>
    </w:p>
    <w:p w14:paraId="3F2A2DBD" w14:textId="77777777" w:rsidR="00E223DF" w:rsidRPr="00E223DF" w:rsidRDefault="00E223DF" w:rsidP="00E223DF">
      <w:pPr>
        <w:numPr>
          <w:ilvl w:val="1"/>
          <w:numId w:val="26"/>
        </w:numPr>
        <w:rPr>
          <w:b/>
          <w:bCs/>
        </w:rPr>
      </w:pPr>
      <w:r w:rsidRPr="00E223DF">
        <w:rPr>
          <w:b/>
          <w:bCs/>
        </w:rPr>
        <w:t xml:space="preserve">Dropout: </w:t>
      </w:r>
      <w:r w:rsidRPr="00E223DF">
        <w:t>Applied to prevent overfitting.</w:t>
      </w:r>
    </w:p>
    <w:p w14:paraId="50298A38" w14:textId="77777777" w:rsidR="00E223DF" w:rsidRPr="00E223DF" w:rsidRDefault="00E223DF" w:rsidP="00E223DF">
      <w:pPr>
        <w:numPr>
          <w:ilvl w:val="1"/>
          <w:numId w:val="26"/>
        </w:numPr>
      </w:pPr>
      <w:r w:rsidRPr="00E223DF">
        <w:rPr>
          <w:b/>
          <w:bCs/>
        </w:rPr>
        <w:t>Epochs</w:t>
      </w:r>
      <w:r w:rsidRPr="00E223DF">
        <w:t>: Increased for thorough pattern learning.</w:t>
      </w:r>
    </w:p>
    <w:p w14:paraId="64A86906" w14:textId="77777777" w:rsidR="00E223DF" w:rsidRPr="00E223DF" w:rsidRDefault="00E223DF" w:rsidP="00E223DF">
      <w:pPr>
        <w:rPr>
          <w:b/>
          <w:bCs/>
        </w:rPr>
      </w:pPr>
      <w:r w:rsidRPr="00E223DF">
        <w:rPr>
          <w:b/>
          <w:bCs/>
        </w:rPr>
        <w:t>Predicted Price: $1023.81</w:t>
      </w:r>
    </w:p>
    <w:p w14:paraId="2BD1ED7D" w14:textId="77777777" w:rsidR="00E223DF" w:rsidRPr="00E223DF" w:rsidRDefault="00E223DF" w:rsidP="00E223DF">
      <w:pPr>
        <w:rPr>
          <w:b/>
          <w:bCs/>
        </w:rPr>
      </w:pPr>
      <w:r w:rsidRPr="00E223DF">
        <w:rPr>
          <w:b/>
          <w:bCs/>
        </w:rPr>
        <w:t>Performance Metrics:</w:t>
      </w:r>
    </w:p>
    <w:p w14:paraId="2F9093E0" w14:textId="77777777" w:rsidR="00E223DF" w:rsidRPr="00E223DF" w:rsidRDefault="00E223DF" w:rsidP="00E223DF">
      <w:pPr>
        <w:numPr>
          <w:ilvl w:val="0"/>
          <w:numId w:val="27"/>
        </w:numPr>
        <w:rPr>
          <w:b/>
          <w:bCs/>
        </w:rPr>
      </w:pPr>
      <w:r w:rsidRPr="00E223DF">
        <w:rPr>
          <w:b/>
          <w:bCs/>
        </w:rPr>
        <w:t>RMSE: 28.79</w:t>
      </w:r>
    </w:p>
    <w:p w14:paraId="5885CC72" w14:textId="77777777" w:rsidR="00E223DF" w:rsidRPr="00E223DF" w:rsidRDefault="00E223DF" w:rsidP="00E223DF">
      <w:pPr>
        <w:numPr>
          <w:ilvl w:val="0"/>
          <w:numId w:val="27"/>
        </w:numPr>
        <w:rPr>
          <w:b/>
          <w:bCs/>
        </w:rPr>
      </w:pPr>
      <w:r w:rsidRPr="00E223DF">
        <w:rPr>
          <w:b/>
          <w:bCs/>
        </w:rPr>
        <w:t>MAE: 27.45</w:t>
      </w:r>
    </w:p>
    <w:p w14:paraId="2001039D" w14:textId="77777777" w:rsidR="00E223DF" w:rsidRPr="00E223DF" w:rsidRDefault="00E223DF" w:rsidP="00E223DF">
      <w:pPr>
        <w:rPr>
          <w:b/>
          <w:bCs/>
        </w:rPr>
      </w:pPr>
      <w:r w:rsidRPr="00E223DF">
        <w:rPr>
          <w:b/>
          <w:bCs/>
        </w:rPr>
        <w:t>Insights:</w:t>
      </w:r>
    </w:p>
    <w:p w14:paraId="76662F0F" w14:textId="2D59B687" w:rsidR="00E223DF" w:rsidRPr="00E223DF" w:rsidRDefault="00E223DF" w:rsidP="00E223DF">
      <w:r w:rsidRPr="00E223DF">
        <w:t>The LSTM model effectively captures short-term price trends, providing a prediction close to the actual stock price range. Its ability to manage sequential dependencies makes it a reliable tool for short-term forecasting.</w:t>
      </w:r>
    </w:p>
    <w:p w14:paraId="49284730" w14:textId="77777777" w:rsidR="00E223DF" w:rsidRPr="00E223DF" w:rsidRDefault="00E223DF" w:rsidP="00E223DF">
      <w:pPr>
        <w:rPr>
          <w:b/>
          <w:bCs/>
        </w:rPr>
      </w:pPr>
      <w:r w:rsidRPr="00E223DF">
        <w:rPr>
          <w:b/>
          <w:bCs/>
        </w:rPr>
        <w:t>2. GRU (Gated Recurrent Unit) Model</w:t>
      </w:r>
    </w:p>
    <w:p w14:paraId="293FD647" w14:textId="77777777" w:rsidR="00E223DF" w:rsidRPr="00E223DF" w:rsidRDefault="00E223DF" w:rsidP="00E223DF">
      <w:pPr>
        <w:rPr>
          <w:b/>
          <w:bCs/>
        </w:rPr>
      </w:pPr>
      <w:r w:rsidRPr="00E223DF">
        <w:rPr>
          <w:b/>
          <w:bCs/>
        </w:rPr>
        <w:t>Methodology:</w:t>
      </w:r>
    </w:p>
    <w:p w14:paraId="110C3378" w14:textId="77777777" w:rsidR="00E223DF" w:rsidRPr="00E223DF" w:rsidRDefault="00E223DF" w:rsidP="00E223DF">
      <w:pPr>
        <w:numPr>
          <w:ilvl w:val="0"/>
          <w:numId w:val="28"/>
        </w:numPr>
        <w:rPr>
          <w:b/>
          <w:bCs/>
        </w:rPr>
      </w:pPr>
      <w:r w:rsidRPr="00E223DF">
        <w:rPr>
          <w:b/>
          <w:bCs/>
        </w:rPr>
        <w:t xml:space="preserve">Purpose: </w:t>
      </w:r>
      <w:r w:rsidRPr="00E223DF">
        <w:t>GRU, like LSTM, is built for sequential data but is computationally simpler, requiring fewer resources while retaining efficiency.</w:t>
      </w:r>
    </w:p>
    <w:p w14:paraId="1C1F359F" w14:textId="77777777" w:rsidR="00E223DF" w:rsidRPr="00E223DF" w:rsidRDefault="00E223DF" w:rsidP="00E223DF">
      <w:pPr>
        <w:numPr>
          <w:ilvl w:val="0"/>
          <w:numId w:val="28"/>
        </w:numPr>
        <w:rPr>
          <w:b/>
          <w:bCs/>
        </w:rPr>
      </w:pPr>
      <w:r w:rsidRPr="00E223DF">
        <w:rPr>
          <w:b/>
          <w:bCs/>
        </w:rPr>
        <w:t xml:space="preserve">Architecture: </w:t>
      </w:r>
      <w:r w:rsidRPr="00E223DF">
        <w:t>Focuses on maintaining relevant information while discarding irrelevant historical data using gating mechanisms.</w:t>
      </w:r>
    </w:p>
    <w:p w14:paraId="7458E2FC" w14:textId="77777777" w:rsidR="00E223DF" w:rsidRPr="00E223DF" w:rsidRDefault="00E223DF" w:rsidP="00E223DF">
      <w:pPr>
        <w:numPr>
          <w:ilvl w:val="0"/>
          <w:numId w:val="28"/>
        </w:numPr>
        <w:rPr>
          <w:b/>
          <w:bCs/>
        </w:rPr>
      </w:pPr>
      <w:r w:rsidRPr="00E223DF">
        <w:rPr>
          <w:b/>
          <w:bCs/>
        </w:rPr>
        <w:t xml:space="preserve">Training Data: </w:t>
      </w:r>
      <w:r w:rsidRPr="00E223DF">
        <w:t>Same as LSTM, emphasizing recent market trends for adaptability.</w:t>
      </w:r>
    </w:p>
    <w:p w14:paraId="1108CFAA" w14:textId="77777777" w:rsidR="00E223DF" w:rsidRPr="00E223DF" w:rsidRDefault="00E223DF" w:rsidP="00E223DF">
      <w:pPr>
        <w:numPr>
          <w:ilvl w:val="0"/>
          <w:numId w:val="28"/>
        </w:numPr>
      </w:pPr>
      <w:r w:rsidRPr="00E223DF">
        <w:rPr>
          <w:b/>
          <w:bCs/>
        </w:rPr>
        <w:lastRenderedPageBreak/>
        <w:t>Hyperparameters</w:t>
      </w:r>
      <w:r w:rsidRPr="00E223DF">
        <w:t>: Adjusted for faster convergence and reduced training time compared to LSTM.</w:t>
      </w:r>
    </w:p>
    <w:p w14:paraId="1A1378D0" w14:textId="77777777" w:rsidR="00E223DF" w:rsidRPr="00E223DF" w:rsidRDefault="00E223DF" w:rsidP="00E223DF">
      <w:pPr>
        <w:rPr>
          <w:b/>
          <w:bCs/>
        </w:rPr>
      </w:pPr>
      <w:r w:rsidRPr="00E223DF">
        <w:rPr>
          <w:b/>
          <w:bCs/>
        </w:rPr>
        <w:t>Predicted Price: $1015.47</w:t>
      </w:r>
    </w:p>
    <w:p w14:paraId="780E850C" w14:textId="77777777" w:rsidR="00E223DF" w:rsidRPr="00E223DF" w:rsidRDefault="00E223DF" w:rsidP="00E223DF">
      <w:pPr>
        <w:rPr>
          <w:b/>
          <w:bCs/>
        </w:rPr>
      </w:pPr>
      <w:r w:rsidRPr="00E223DF">
        <w:rPr>
          <w:b/>
          <w:bCs/>
        </w:rPr>
        <w:t>Performance Metrics:</w:t>
      </w:r>
    </w:p>
    <w:p w14:paraId="6013141E" w14:textId="77777777" w:rsidR="00E223DF" w:rsidRPr="00E223DF" w:rsidRDefault="00E223DF" w:rsidP="00E223DF">
      <w:pPr>
        <w:numPr>
          <w:ilvl w:val="0"/>
          <w:numId w:val="29"/>
        </w:numPr>
        <w:rPr>
          <w:b/>
          <w:bCs/>
        </w:rPr>
      </w:pPr>
      <w:r w:rsidRPr="00E223DF">
        <w:rPr>
          <w:b/>
          <w:bCs/>
        </w:rPr>
        <w:t>RMSE: 37.98</w:t>
      </w:r>
    </w:p>
    <w:p w14:paraId="56F7BF5A" w14:textId="77777777" w:rsidR="00E223DF" w:rsidRPr="00E223DF" w:rsidRDefault="00E223DF" w:rsidP="00E223DF">
      <w:pPr>
        <w:numPr>
          <w:ilvl w:val="0"/>
          <w:numId w:val="29"/>
        </w:numPr>
        <w:rPr>
          <w:b/>
          <w:bCs/>
        </w:rPr>
      </w:pPr>
      <w:r w:rsidRPr="00E223DF">
        <w:rPr>
          <w:b/>
          <w:bCs/>
        </w:rPr>
        <w:t>MAE: 36.39</w:t>
      </w:r>
    </w:p>
    <w:p w14:paraId="7974D495" w14:textId="77777777" w:rsidR="00E223DF" w:rsidRPr="00E223DF" w:rsidRDefault="00E223DF" w:rsidP="00E223DF">
      <w:pPr>
        <w:rPr>
          <w:b/>
          <w:bCs/>
        </w:rPr>
      </w:pPr>
      <w:r w:rsidRPr="00E223DF">
        <w:rPr>
          <w:b/>
          <w:bCs/>
        </w:rPr>
        <w:t>Insights:</w:t>
      </w:r>
    </w:p>
    <w:p w14:paraId="7AF6B10B" w14:textId="7BC2EA44" w:rsidR="00E223DF" w:rsidRPr="00E223DF" w:rsidRDefault="00E223DF" w:rsidP="00E223DF">
      <w:pPr>
        <w:rPr>
          <w:b/>
          <w:bCs/>
        </w:rPr>
      </w:pPr>
      <w:r w:rsidRPr="00E223DF">
        <w:t>GRU provides predictions with slightly higher error margins than LSTM, likely due to its simpler architecture. However, its lower computational cost makes it an efficient alternative for quick forecasting tasks</w:t>
      </w:r>
      <w:r w:rsidRPr="00E223DF">
        <w:rPr>
          <w:b/>
          <w:bCs/>
        </w:rPr>
        <w:t>.</w:t>
      </w:r>
    </w:p>
    <w:p w14:paraId="64F2DC58" w14:textId="77777777" w:rsidR="00E223DF" w:rsidRPr="00E223DF" w:rsidRDefault="00E223DF" w:rsidP="00E223DF">
      <w:pPr>
        <w:rPr>
          <w:b/>
          <w:bCs/>
        </w:rPr>
      </w:pPr>
      <w:r w:rsidRPr="00E223DF">
        <w:rPr>
          <w:b/>
          <w:bCs/>
        </w:rPr>
        <w:t>3. ARIMA (Auto-Regressive Integrated Moving Average) Model</w:t>
      </w:r>
    </w:p>
    <w:p w14:paraId="53FC04CB" w14:textId="77777777" w:rsidR="00E223DF" w:rsidRPr="00E223DF" w:rsidRDefault="00E223DF" w:rsidP="00E223DF">
      <w:pPr>
        <w:rPr>
          <w:b/>
          <w:bCs/>
        </w:rPr>
      </w:pPr>
      <w:r w:rsidRPr="00E223DF">
        <w:rPr>
          <w:b/>
          <w:bCs/>
        </w:rPr>
        <w:t>Methodology:</w:t>
      </w:r>
    </w:p>
    <w:p w14:paraId="0650BE02" w14:textId="77777777" w:rsidR="00E223DF" w:rsidRPr="00E223DF" w:rsidRDefault="00E223DF" w:rsidP="00E223DF">
      <w:pPr>
        <w:numPr>
          <w:ilvl w:val="0"/>
          <w:numId w:val="30"/>
        </w:numPr>
        <w:rPr>
          <w:b/>
          <w:bCs/>
        </w:rPr>
      </w:pPr>
      <w:r w:rsidRPr="00E223DF">
        <w:rPr>
          <w:b/>
          <w:bCs/>
        </w:rPr>
        <w:t xml:space="preserve">Purpose: </w:t>
      </w:r>
      <w:r w:rsidRPr="00E223DF">
        <w:t>ARIMA is a statistical model that captures time-series data patterns using autoregressive and moving average components.</w:t>
      </w:r>
    </w:p>
    <w:p w14:paraId="62961988" w14:textId="77777777" w:rsidR="00E223DF" w:rsidRPr="00E223DF" w:rsidRDefault="00E223DF" w:rsidP="00E223DF">
      <w:pPr>
        <w:numPr>
          <w:ilvl w:val="0"/>
          <w:numId w:val="30"/>
        </w:numPr>
        <w:rPr>
          <w:b/>
          <w:bCs/>
        </w:rPr>
      </w:pPr>
      <w:r w:rsidRPr="00E223DF">
        <w:rPr>
          <w:b/>
          <w:bCs/>
        </w:rPr>
        <w:t xml:space="preserve">Steps: </w:t>
      </w:r>
      <w:r w:rsidRPr="00E223DF">
        <w:t>The model identifies the optimal (p, d, q) parameters through stationarity tests and autocorrelation plots.</w:t>
      </w:r>
    </w:p>
    <w:p w14:paraId="335E6933" w14:textId="77777777" w:rsidR="00E223DF" w:rsidRPr="00E223DF" w:rsidRDefault="00E223DF" w:rsidP="00E223DF">
      <w:pPr>
        <w:numPr>
          <w:ilvl w:val="1"/>
          <w:numId w:val="30"/>
        </w:numPr>
      </w:pPr>
      <w:r w:rsidRPr="00E223DF">
        <w:rPr>
          <w:b/>
          <w:bCs/>
        </w:rPr>
        <w:t xml:space="preserve">p: </w:t>
      </w:r>
      <w:r w:rsidRPr="00E223DF">
        <w:t>Lag order (how many previous observations are used in the model).</w:t>
      </w:r>
    </w:p>
    <w:p w14:paraId="47F6877E" w14:textId="77777777" w:rsidR="00E223DF" w:rsidRPr="00E223DF" w:rsidRDefault="00E223DF" w:rsidP="00E223DF">
      <w:pPr>
        <w:numPr>
          <w:ilvl w:val="1"/>
          <w:numId w:val="30"/>
        </w:numPr>
      </w:pPr>
      <w:r w:rsidRPr="00E223DF">
        <w:rPr>
          <w:b/>
          <w:bCs/>
        </w:rPr>
        <w:t>d</w:t>
      </w:r>
      <w:r w:rsidRPr="00E223DF">
        <w:t>: Differencing degree (how many times the data needs to be differenced to make it stationary).</w:t>
      </w:r>
    </w:p>
    <w:p w14:paraId="57B8CEEE" w14:textId="77777777" w:rsidR="00E223DF" w:rsidRPr="00E223DF" w:rsidRDefault="00E223DF" w:rsidP="00E223DF">
      <w:pPr>
        <w:numPr>
          <w:ilvl w:val="1"/>
          <w:numId w:val="30"/>
        </w:numPr>
        <w:rPr>
          <w:b/>
          <w:bCs/>
        </w:rPr>
      </w:pPr>
      <w:r w:rsidRPr="00E223DF">
        <w:rPr>
          <w:b/>
          <w:bCs/>
        </w:rPr>
        <w:t xml:space="preserve">q: </w:t>
      </w:r>
      <w:r w:rsidRPr="00E223DF">
        <w:t>Size of the moving average window.</w:t>
      </w:r>
    </w:p>
    <w:p w14:paraId="67E7585A" w14:textId="77777777" w:rsidR="00E223DF" w:rsidRPr="00E223DF" w:rsidRDefault="00E223DF" w:rsidP="00E223DF">
      <w:pPr>
        <w:numPr>
          <w:ilvl w:val="0"/>
          <w:numId w:val="30"/>
        </w:numPr>
      </w:pPr>
      <w:r w:rsidRPr="00E223DF">
        <w:rPr>
          <w:b/>
          <w:bCs/>
        </w:rPr>
        <w:t xml:space="preserve">Training Data: </w:t>
      </w:r>
      <w:r w:rsidRPr="00E223DF">
        <w:t>Utilized historical data to fit a model focusing on recent trends.</w:t>
      </w:r>
    </w:p>
    <w:p w14:paraId="31355102" w14:textId="77777777" w:rsidR="00E223DF" w:rsidRPr="00E223DF" w:rsidRDefault="00E223DF" w:rsidP="00E223DF">
      <w:pPr>
        <w:rPr>
          <w:b/>
          <w:bCs/>
        </w:rPr>
      </w:pPr>
      <w:r w:rsidRPr="00E223DF">
        <w:rPr>
          <w:b/>
          <w:bCs/>
        </w:rPr>
        <w:t>Predicted Price: $1055.73</w:t>
      </w:r>
    </w:p>
    <w:p w14:paraId="65718B2C" w14:textId="77777777" w:rsidR="00E223DF" w:rsidRPr="00E223DF" w:rsidRDefault="00E223DF" w:rsidP="00E223DF">
      <w:pPr>
        <w:rPr>
          <w:b/>
          <w:bCs/>
        </w:rPr>
      </w:pPr>
      <w:r w:rsidRPr="00E223DF">
        <w:rPr>
          <w:b/>
          <w:bCs/>
        </w:rPr>
        <w:t>Insights:</w:t>
      </w:r>
    </w:p>
    <w:p w14:paraId="4FF501D5" w14:textId="77777777" w:rsidR="00E223DF" w:rsidRPr="00E223DF" w:rsidRDefault="00E223DF" w:rsidP="00E223DF">
      <w:r w:rsidRPr="00E223DF">
        <w:t>ARIMA focuses on historical patterns and statistical relationships. It tends to overshoot when applied to highly volatile or complex datasets, but it provides valuable long-term trend insights.</w:t>
      </w:r>
    </w:p>
    <w:p w14:paraId="055422F9" w14:textId="48B3941F" w:rsidR="00E223DF" w:rsidRPr="00E223DF" w:rsidRDefault="00E223DF" w:rsidP="00E223DF">
      <w:pPr>
        <w:rPr>
          <w:b/>
          <w:bCs/>
        </w:rPr>
      </w:pPr>
    </w:p>
    <w:p w14:paraId="07CE4EBA" w14:textId="77777777" w:rsidR="00E223DF" w:rsidRPr="00E223DF" w:rsidRDefault="00E223DF" w:rsidP="00E223DF">
      <w:pPr>
        <w:rPr>
          <w:b/>
          <w:bCs/>
        </w:rPr>
      </w:pPr>
      <w:r w:rsidRPr="00E223DF">
        <w:rPr>
          <w:b/>
          <w:bCs/>
        </w:rPr>
        <w:t>Trend Analysis and Final Implications</w:t>
      </w:r>
    </w:p>
    <w:p w14:paraId="10AEE5C1" w14:textId="77777777" w:rsidR="00E223DF" w:rsidRPr="00E223DF" w:rsidRDefault="00E223DF" w:rsidP="00E223DF">
      <w:pPr>
        <w:numPr>
          <w:ilvl w:val="0"/>
          <w:numId w:val="31"/>
        </w:numPr>
      </w:pPr>
      <w:r w:rsidRPr="00E223DF">
        <w:rPr>
          <w:b/>
          <w:bCs/>
        </w:rPr>
        <w:t xml:space="preserve">Downward Momentum: </w:t>
      </w:r>
      <w:r w:rsidRPr="00E223DF">
        <w:t>All three models indicate a slight downward trajectory in the stock price, reflecting potential market corrections or external influences.</w:t>
      </w:r>
    </w:p>
    <w:p w14:paraId="20B0C8B9" w14:textId="77777777" w:rsidR="00E223DF" w:rsidRPr="00E223DF" w:rsidRDefault="00E223DF" w:rsidP="00E223DF">
      <w:pPr>
        <w:numPr>
          <w:ilvl w:val="0"/>
          <w:numId w:val="31"/>
        </w:numPr>
      </w:pPr>
      <w:r w:rsidRPr="00E223DF">
        <w:rPr>
          <w:b/>
          <w:bCs/>
        </w:rPr>
        <w:t xml:space="preserve">LSTM Advantage: </w:t>
      </w:r>
      <w:r w:rsidRPr="00E223DF">
        <w:t>While all models are effective, the LSTM model provides the most accurate short-term forecast, aligning well with observed market behaviors.</w:t>
      </w:r>
    </w:p>
    <w:p w14:paraId="635BE630" w14:textId="223C619A" w:rsidR="00C86BD1" w:rsidRDefault="00E223DF" w:rsidP="00C86BD1">
      <w:pPr>
        <w:numPr>
          <w:ilvl w:val="0"/>
          <w:numId w:val="31"/>
        </w:numPr>
      </w:pPr>
      <w:r w:rsidRPr="00E223DF">
        <w:rPr>
          <w:b/>
          <w:bCs/>
        </w:rPr>
        <w:lastRenderedPageBreak/>
        <w:t xml:space="preserve">Risk Factors: </w:t>
      </w:r>
      <w:r w:rsidRPr="00E223DF">
        <w:t>The forecast assumes stable market conditions. Factors like interest rate hikes, geopolitical events, or sudden macroeconomic changes could impact actual outcomes.</w:t>
      </w:r>
    </w:p>
    <w:p w14:paraId="0E6D5AD8" w14:textId="77777777" w:rsidR="00E223DF" w:rsidRDefault="00E223DF" w:rsidP="00C86BD1"/>
    <w:p w14:paraId="13E10B55" w14:textId="77777777" w:rsidR="00E223DF" w:rsidRPr="00E223DF" w:rsidRDefault="00E223DF" w:rsidP="00E223DF">
      <w:pPr>
        <w:rPr>
          <w:b/>
          <w:bCs/>
          <w:sz w:val="32"/>
          <w:szCs w:val="32"/>
        </w:rPr>
      </w:pPr>
      <w:r w:rsidRPr="00E223DF">
        <w:rPr>
          <w:b/>
          <w:bCs/>
          <w:sz w:val="32"/>
          <w:szCs w:val="32"/>
        </w:rPr>
        <w:t>Conclusion</w:t>
      </w:r>
    </w:p>
    <w:p w14:paraId="3B7C7427" w14:textId="77777777" w:rsidR="00E223DF" w:rsidRPr="00E223DF" w:rsidRDefault="00E223DF" w:rsidP="00E223DF">
      <w:r w:rsidRPr="00E223DF">
        <w:t>BlackRock’s unparalleled leadership in the global asset management industry is driven by its innovative approach, robust financial performance, and strategic foresight. As the world’s largest asset manager, it continues to adapt to evolving market demands and navigate challenges through diversification, sustainability focus, and cutting-edge technological advancements like the Aladdin platform.</w:t>
      </w:r>
    </w:p>
    <w:p w14:paraId="3080BF74" w14:textId="77777777" w:rsidR="00E223DF" w:rsidRPr="00E223DF" w:rsidRDefault="00E223DF" w:rsidP="00E223DF">
      <w:r w:rsidRPr="00E223DF">
        <w:t>The firm’s risk and return analysis reveals a well-balanced strategy, combining strong returns with effective risk mitigation through diversified offerings and advanced analytics. Predictions of BlackRock’s stock price, based on LSTM, GRU, and ARIMA models, provide a comprehensive understanding of its performance trends. The slight downward momentum observed aligns with potential market corrections, although BlackRock’s stable fundamentals ensure resilience and long-term growth.</w:t>
      </w:r>
    </w:p>
    <w:p w14:paraId="563DA353" w14:textId="77777777" w:rsidR="00E223DF" w:rsidRPr="00E223DF" w:rsidRDefault="00E223DF" w:rsidP="00E223DF">
      <w:r w:rsidRPr="00E223DF">
        <w:t>Looking ahead, BlackRock’s future roadmap focuses on global expansion, ESG integration, product innovation, and talent development, ensuring it remains at the forefront of the asset management industry. By embracing technology and maintaining a client-centric approach, BlackRock is well-positioned to sustain its market leadership and create long-term value for shareholders and clients alike.</w:t>
      </w:r>
    </w:p>
    <w:p w14:paraId="4497D058" w14:textId="038783B6" w:rsidR="00C86BD1" w:rsidRDefault="00E223DF">
      <w:r w:rsidRPr="00E223DF">
        <w:t>This analysis reaffirms BlackRock's status as a reliable and innovative market leader, capable of meeting future challenges while driving consistent growth and stability.</w:t>
      </w:r>
    </w:p>
    <w:p w14:paraId="753D6E94" w14:textId="77777777" w:rsidR="00187194" w:rsidRDefault="00187194"/>
    <w:p w14:paraId="27751143" w14:textId="77777777" w:rsidR="00187194" w:rsidRDefault="00187194"/>
    <w:p w14:paraId="6EB40EE4" w14:textId="636E404B" w:rsidR="00187194" w:rsidRPr="00757937" w:rsidRDefault="00187194">
      <w:pPr>
        <w:rPr>
          <w:b/>
          <w:bCs/>
        </w:rPr>
      </w:pPr>
      <w:r w:rsidRPr="00757937">
        <w:rPr>
          <w:b/>
          <w:bCs/>
        </w:rPr>
        <w:t xml:space="preserve">Code Link: </w:t>
      </w:r>
      <w:r w:rsidRPr="00757937">
        <w:rPr>
          <w:b/>
          <w:bCs/>
        </w:rPr>
        <w:t>https://drive.google.com/file/d/1bR9eUZ1riBoGVoBV77xV2QXr4x6oIlBO/view?usp=sharing</w:t>
      </w:r>
    </w:p>
    <w:sectPr w:rsidR="00187194" w:rsidRPr="00757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FDB"/>
    <w:multiLevelType w:val="multilevel"/>
    <w:tmpl w:val="BDCC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234B6"/>
    <w:multiLevelType w:val="multilevel"/>
    <w:tmpl w:val="C6B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C4356"/>
    <w:multiLevelType w:val="multilevel"/>
    <w:tmpl w:val="ED02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07E2B"/>
    <w:multiLevelType w:val="multilevel"/>
    <w:tmpl w:val="22C40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2C6705"/>
    <w:multiLevelType w:val="multilevel"/>
    <w:tmpl w:val="CA04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65201"/>
    <w:multiLevelType w:val="multilevel"/>
    <w:tmpl w:val="673E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DC3AF1"/>
    <w:multiLevelType w:val="multilevel"/>
    <w:tmpl w:val="C9CA023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7" w15:restartNumberingAfterBreak="0">
    <w:nsid w:val="0F961B20"/>
    <w:multiLevelType w:val="multilevel"/>
    <w:tmpl w:val="A8C2A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D46946"/>
    <w:multiLevelType w:val="multilevel"/>
    <w:tmpl w:val="F43A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21C2A"/>
    <w:multiLevelType w:val="multilevel"/>
    <w:tmpl w:val="771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905B15"/>
    <w:multiLevelType w:val="multilevel"/>
    <w:tmpl w:val="05BC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4001"/>
    <w:multiLevelType w:val="multilevel"/>
    <w:tmpl w:val="3F8C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4A5C8F"/>
    <w:multiLevelType w:val="multilevel"/>
    <w:tmpl w:val="3D9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B6CFE"/>
    <w:multiLevelType w:val="multilevel"/>
    <w:tmpl w:val="2A8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C2ED5"/>
    <w:multiLevelType w:val="multilevel"/>
    <w:tmpl w:val="BB02C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EF1C81"/>
    <w:multiLevelType w:val="multilevel"/>
    <w:tmpl w:val="7A0C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01BBF"/>
    <w:multiLevelType w:val="multilevel"/>
    <w:tmpl w:val="48F2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A2A3D"/>
    <w:multiLevelType w:val="multilevel"/>
    <w:tmpl w:val="464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67184"/>
    <w:multiLevelType w:val="multilevel"/>
    <w:tmpl w:val="291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A66ED4"/>
    <w:multiLevelType w:val="multilevel"/>
    <w:tmpl w:val="1332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6B77E8"/>
    <w:multiLevelType w:val="multilevel"/>
    <w:tmpl w:val="A8D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A6A9E"/>
    <w:multiLevelType w:val="multilevel"/>
    <w:tmpl w:val="1B363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137824"/>
    <w:multiLevelType w:val="multilevel"/>
    <w:tmpl w:val="B464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56C28"/>
    <w:multiLevelType w:val="multilevel"/>
    <w:tmpl w:val="EEE8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F5DC1"/>
    <w:multiLevelType w:val="multilevel"/>
    <w:tmpl w:val="09A4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F51A3A"/>
    <w:multiLevelType w:val="multilevel"/>
    <w:tmpl w:val="9E2E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BC375C"/>
    <w:multiLevelType w:val="multilevel"/>
    <w:tmpl w:val="0DA4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A04261"/>
    <w:multiLevelType w:val="multilevel"/>
    <w:tmpl w:val="774C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9796C"/>
    <w:multiLevelType w:val="multilevel"/>
    <w:tmpl w:val="1078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31011"/>
    <w:multiLevelType w:val="multilevel"/>
    <w:tmpl w:val="33E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36061"/>
    <w:multiLevelType w:val="multilevel"/>
    <w:tmpl w:val="6122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09179">
    <w:abstractNumId w:val="14"/>
  </w:num>
  <w:num w:numId="2" w16cid:durableId="1193113926">
    <w:abstractNumId w:val="24"/>
  </w:num>
  <w:num w:numId="3" w16cid:durableId="1848860983">
    <w:abstractNumId w:val="17"/>
  </w:num>
  <w:num w:numId="4" w16cid:durableId="134178640">
    <w:abstractNumId w:val="2"/>
  </w:num>
  <w:num w:numId="5" w16cid:durableId="181479040">
    <w:abstractNumId w:val="0"/>
  </w:num>
  <w:num w:numId="6" w16cid:durableId="698775160">
    <w:abstractNumId w:val="27"/>
  </w:num>
  <w:num w:numId="7" w16cid:durableId="2128039452">
    <w:abstractNumId w:val="10"/>
  </w:num>
  <w:num w:numId="8" w16cid:durableId="702244945">
    <w:abstractNumId w:val="23"/>
  </w:num>
  <w:num w:numId="9" w16cid:durableId="149710087">
    <w:abstractNumId w:val="30"/>
  </w:num>
  <w:num w:numId="10" w16cid:durableId="1056125279">
    <w:abstractNumId w:val="8"/>
  </w:num>
  <w:num w:numId="11" w16cid:durableId="271674855">
    <w:abstractNumId w:val="20"/>
  </w:num>
  <w:num w:numId="12" w16cid:durableId="780756759">
    <w:abstractNumId w:val="5"/>
  </w:num>
  <w:num w:numId="13" w16cid:durableId="318265514">
    <w:abstractNumId w:val="22"/>
  </w:num>
  <w:num w:numId="14" w16cid:durableId="158156620">
    <w:abstractNumId w:val="6"/>
  </w:num>
  <w:num w:numId="15" w16cid:durableId="139883425">
    <w:abstractNumId w:val="28"/>
  </w:num>
  <w:num w:numId="16" w16cid:durableId="1517578591">
    <w:abstractNumId w:val="15"/>
  </w:num>
  <w:num w:numId="17" w16cid:durableId="991299832">
    <w:abstractNumId w:val="11"/>
  </w:num>
  <w:num w:numId="18" w16cid:durableId="7873212">
    <w:abstractNumId w:val="25"/>
  </w:num>
  <w:num w:numId="19" w16cid:durableId="1480924292">
    <w:abstractNumId w:val="21"/>
  </w:num>
  <w:num w:numId="20" w16cid:durableId="87390824">
    <w:abstractNumId w:val="18"/>
  </w:num>
  <w:num w:numId="21" w16cid:durableId="1537229919">
    <w:abstractNumId w:val="13"/>
  </w:num>
  <w:num w:numId="22" w16cid:durableId="469320999">
    <w:abstractNumId w:val="19"/>
  </w:num>
  <w:num w:numId="23" w16cid:durableId="361445402">
    <w:abstractNumId w:val="12"/>
  </w:num>
  <w:num w:numId="24" w16cid:durableId="1724134513">
    <w:abstractNumId w:val="1"/>
  </w:num>
  <w:num w:numId="25" w16cid:durableId="2028480664">
    <w:abstractNumId w:val="9"/>
  </w:num>
  <w:num w:numId="26" w16cid:durableId="620496115">
    <w:abstractNumId w:val="3"/>
  </w:num>
  <w:num w:numId="27" w16cid:durableId="1741898715">
    <w:abstractNumId w:val="4"/>
  </w:num>
  <w:num w:numId="28" w16cid:durableId="181821457">
    <w:abstractNumId w:val="29"/>
  </w:num>
  <w:num w:numId="29" w16cid:durableId="556169607">
    <w:abstractNumId w:val="16"/>
  </w:num>
  <w:num w:numId="30" w16cid:durableId="149373658">
    <w:abstractNumId w:val="7"/>
  </w:num>
  <w:num w:numId="31" w16cid:durableId="20389670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D1"/>
    <w:rsid w:val="000B209B"/>
    <w:rsid w:val="00187194"/>
    <w:rsid w:val="006609BB"/>
    <w:rsid w:val="00757937"/>
    <w:rsid w:val="00C86BD1"/>
    <w:rsid w:val="00E223DF"/>
    <w:rsid w:val="00E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A6E2"/>
  <w15:chartTrackingRefBased/>
  <w15:docId w15:val="{36F3A8CD-5485-4230-B7F1-716F6506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209B"/>
    <w:rPr>
      <w:color w:val="0563C1" w:themeColor="hyperlink"/>
      <w:u w:val="single"/>
    </w:rPr>
  </w:style>
  <w:style w:type="character" w:styleId="UnresolvedMention">
    <w:name w:val="Unresolved Mention"/>
    <w:basedOn w:val="DefaultParagraphFont"/>
    <w:uiPriority w:val="99"/>
    <w:semiHidden/>
    <w:unhideWhenUsed/>
    <w:rsid w:val="000B2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5531">
      <w:bodyDiv w:val="1"/>
      <w:marLeft w:val="0"/>
      <w:marRight w:val="0"/>
      <w:marTop w:val="0"/>
      <w:marBottom w:val="0"/>
      <w:divBdr>
        <w:top w:val="none" w:sz="0" w:space="0" w:color="auto"/>
        <w:left w:val="none" w:sz="0" w:space="0" w:color="auto"/>
        <w:bottom w:val="none" w:sz="0" w:space="0" w:color="auto"/>
        <w:right w:val="none" w:sz="0" w:space="0" w:color="auto"/>
      </w:divBdr>
    </w:div>
    <w:div w:id="170610135">
      <w:bodyDiv w:val="1"/>
      <w:marLeft w:val="0"/>
      <w:marRight w:val="0"/>
      <w:marTop w:val="0"/>
      <w:marBottom w:val="0"/>
      <w:divBdr>
        <w:top w:val="none" w:sz="0" w:space="0" w:color="auto"/>
        <w:left w:val="none" w:sz="0" w:space="0" w:color="auto"/>
        <w:bottom w:val="none" w:sz="0" w:space="0" w:color="auto"/>
        <w:right w:val="none" w:sz="0" w:space="0" w:color="auto"/>
      </w:divBdr>
    </w:div>
    <w:div w:id="294146122">
      <w:bodyDiv w:val="1"/>
      <w:marLeft w:val="0"/>
      <w:marRight w:val="0"/>
      <w:marTop w:val="0"/>
      <w:marBottom w:val="0"/>
      <w:divBdr>
        <w:top w:val="none" w:sz="0" w:space="0" w:color="auto"/>
        <w:left w:val="none" w:sz="0" w:space="0" w:color="auto"/>
        <w:bottom w:val="none" w:sz="0" w:space="0" w:color="auto"/>
        <w:right w:val="none" w:sz="0" w:space="0" w:color="auto"/>
      </w:divBdr>
    </w:div>
    <w:div w:id="344597153">
      <w:bodyDiv w:val="1"/>
      <w:marLeft w:val="0"/>
      <w:marRight w:val="0"/>
      <w:marTop w:val="0"/>
      <w:marBottom w:val="0"/>
      <w:divBdr>
        <w:top w:val="none" w:sz="0" w:space="0" w:color="auto"/>
        <w:left w:val="none" w:sz="0" w:space="0" w:color="auto"/>
        <w:bottom w:val="none" w:sz="0" w:space="0" w:color="auto"/>
        <w:right w:val="none" w:sz="0" w:space="0" w:color="auto"/>
      </w:divBdr>
    </w:div>
    <w:div w:id="352654253">
      <w:bodyDiv w:val="1"/>
      <w:marLeft w:val="0"/>
      <w:marRight w:val="0"/>
      <w:marTop w:val="0"/>
      <w:marBottom w:val="0"/>
      <w:divBdr>
        <w:top w:val="none" w:sz="0" w:space="0" w:color="auto"/>
        <w:left w:val="none" w:sz="0" w:space="0" w:color="auto"/>
        <w:bottom w:val="none" w:sz="0" w:space="0" w:color="auto"/>
        <w:right w:val="none" w:sz="0" w:space="0" w:color="auto"/>
      </w:divBdr>
    </w:div>
    <w:div w:id="357898123">
      <w:bodyDiv w:val="1"/>
      <w:marLeft w:val="0"/>
      <w:marRight w:val="0"/>
      <w:marTop w:val="0"/>
      <w:marBottom w:val="0"/>
      <w:divBdr>
        <w:top w:val="none" w:sz="0" w:space="0" w:color="auto"/>
        <w:left w:val="none" w:sz="0" w:space="0" w:color="auto"/>
        <w:bottom w:val="none" w:sz="0" w:space="0" w:color="auto"/>
        <w:right w:val="none" w:sz="0" w:space="0" w:color="auto"/>
      </w:divBdr>
    </w:div>
    <w:div w:id="372460224">
      <w:bodyDiv w:val="1"/>
      <w:marLeft w:val="0"/>
      <w:marRight w:val="0"/>
      <w:marTop w:val="0"/>
      <w:marBottom w:val="0"/>
      <w:divBdr>
        <w:top w:val="none" w:sz="0" w:space="0" w:color="auto"/>
        <w:left w:val="none" w:sz="0" w:space="0" w:color="auto"/>
        <w:bottom w:val="none" w:sz="0" w:space="0" w:color="auto"/>
        <w:right w:val="none" w:sz="0" w:space="0" w:color="auto"/>
      </w:divBdr>
    </w:div>
    <w:div w:id="385490005">
      <w:bodyDiv w:val="1"/>
      <w:marLeft w:val="0"/>
      <w:marRight w:val="0"/>
      <w:marTop w:val="0"/>
      <w:marBottom w:val="0"/>
      <w:divBdr>
        <w:top w:val="none" w:sz="0" w:space="0" w:color="auto"/>
        <w:left w:val="none" w:sz="0" w:space="0" w:color="auto"/>
        <w:bottom w:val="none" w:sz="0" w:space="0" w:color="auto"/>
        <w:right w:val="none" w:sz="0" w:space="0" w:color="auto"/>
      </w:divBdr>
    </w:div>
    <w:div w:id="514734965">
      <w:bodyDiv w:val="1"/>
      <w:marLeft w:val="0"/>
      <w:marRight w:val="0"/>
      <w:marTop w:val="0"/>
      <w:marBottom w:val="0"/>
      <w:divBdr>
        <w:top w:val="none" w:sz="0" w:space="0" w:color="auto"/>
        <w:left w:val="none" w:sz="0" w:space="0" w:color="auto"/>
        <w:bottom w:val="none" w:sz="0" w:space="0" w:color="auto"/>
        <w:right w:val="none" w:sz="0" w:space="0" w:color="auto"/>
      </w:divBdr>
    </w:div>
    <w:div w:id="638652257">
      <w:bodyDiv w:val="1"/>
      <w:marLeft w:val="0"/>
      <w:marRight w:val="0"/>
      <w:marTop w:val="0"/>
      <w:marBottom w:val="0"/>
      <w:divBdr>
        <w:top w:val="none" w:sz="0" w:space="0" w:color="auto"/>
        <w:left w:val="none" w:sz="0" w:space="0" w:color="auto"/>
        <w:bottom w:val="none" w:sz="0" w:space="0" w:color="auto"/>
        <w:right w:val="none" w:sz="0" w:space="0" w:color="auto"/>
      </w:divBdr>
    </w:div>
    <w:div w:id="751705668">
      <w:bodyDiv w:val="1"/>
      <w:marLeft w:val="0"/>
      <w:marRight w:val="0"/>
      <w:marTop w:val="0"/>
      <w:marBottom w:val="0"/>
      <w:divBdr>
        <w:top w:val="none" w:sz="0" w:space="0" w:color="auto"/>
        <w:left w:val="none" w:sz="0" w:space="0" w:color="auto"/>
        <w:bottom w:val="none" w:sz="0" w:space="0" w:color="auto"/>
        <w:right w:val="none" w:sz="0" w:space="0" w:color="auto"/>
      </w:divBdr>
    </w:div>
    <w:div w:id="802961747">
      <w:bodyDiv w:val="1"/>
      <w:marLeft w:val="0"/>
      <w:marRight w:val="0"/>
      <w:marTop w:val="0"/>
      <w:marBottom w:val="0"/>
      <w:divBdr>
        <w:top w:val="none" w:sz="0" w:space="0" w:color="auto"/>
        <w:left w:val="none" w:sz="0" w:space="0" w:color="auto"/>
        <w:bottom w:val="none" w:sz="0" w:space="0" w:color="auto"/>
        <w:right w:val="none" w:sz="0" w:space="0" w:color="auto"/>
      </w:divBdr>
    </w:div>
    <w:div w:id="838426512">
      <w:bodyDiv w:val="1"/>
      <w:marLeft w:val="0"/>
      <w:marRight w:val="0"/>
      <w:marTop w:val="0"/>
      <w:marBottom w:val="0"/>
      <w:divBdr>
        <w:top w:val="none" w:sz="0" w:space="0" w:color="auto"/>
        <w:left w:val="none" w:sz="0" w:space="0" w:color="auto"/>
        <w:bottom w:val="none" w:sz="0" w:space="0" w:color="auto"/>
        <w:right w:val="none" w:sz="0" w:space="0" w:color="auto"/>
      </w:divBdr>
    </w:div>
    <w:div w:id="843281310">
      <w:bodyDiv w:val="1"/>
      <w:marLeft w:val="0"/>
      <w:marRight w:val="0"/>
      <w:marTop w:val="0"/>
      <w:marBottom w:val="0"/>
      <w:divBdr>
        <w:top w:val="none" w:sz="0" w:space="0" w:color="auto"/>
        <w:left w:val="none" w:sz="0" w:space="0" w:color="auto"/>
        <w:bottom w:val="none" w:sz="0" w:space="0" w:color="auto"/>
        <w:right w:val="none" w:sz="0" w:space="0" w:color="auto"/>
      </w:divBdr>
    </w:div>
    <w:div w:id="925531399">
      <w:bodyDiv w:val="1"/>
      <w:marLeft w:val="0"/>
      <w:marRight w:val="0"/>
      <w:marTop w:val="0"/>
      <w:marBottom w:val="0"/>
      <w:divBdr>
        <w:top w:val="none" w:sz="0" w:space="0" w:color="auto"/>
        <w:left w:val="none" w:sz="0" w:space="0" w:color="auto"/>
        <w:bottom w:val="none" w:sz="0" w:space="0" w:color="auto"/>
        <w:right w:val="none" w:sz="0" w:space="0" w:color="auto"/>
      </w:divBdr>
      <w:divsChild>
        <w:div w:id="1455100257">
          <w:marLeft w:val="0"/>
          <w:marRight w:val="0"/>
          <w:marTop w:val="0"/>
          <w:marBottom w:val="0"/>
          <w:divBdr>
            <w:top w:val="none" w:sz="0" w:space="0" w:color="auto"/>
            <w:left w:val="none" w:sz="0" w:space="0" w:color="auto"/>
            <w:bottom w:val="none" w:sz="0" w:space="0" w:color="auto"/>
            <w:right w:val="none" w:sz="0" w:space="0" w:color="auto"/>
          </w:divBdr>
          <w:divsChild>
            <w:div w:id="206575206">
              <w:marLeft w:val="0"/>
              <w:marRight w:val="0"/>
              <w:marTop w:val="0"/>
              <w:marBottom w:val="0"/>
              <w:divBdr>
                <w:top w:val="none" w:sz="0" w:space="0" w:color="auto"/>
                <w:left w:val="none" w:sz="0" w:space="0" w:color="auto"/>
                <w:bottom w:val="none" w:sz="0" w:space="0" w:color="auto"/>
                <w:right w:val="none" w:sz="0" w:space="0" w:color="auto"/>
              </w:divBdr>
              <w:divsChild>
                <w:div w:id="50934211">
                  <w:marLeft w:val="0"/>
                  <w:marRight w:val="0"/>
                  <w:marTop w:val="0"/>
                  <w:marBottom w:val="0"/>
                  <w:divBdr>
                    <w:top w:val="none" w:sz="0" w:space="0" w:color="auto"/>
                    <w:left w:val="none" w:sz="0" w:space="0" w:color="auto"/>
                    <w:bottom w:val="none" w:sz="0" w:space="0" w:color="auto"/>
                    <w:right w:val="none" w:sz="0" w:space="0" w:color="auto"/>
                  </w:divBdr>
                  <w:divsChild>
                    <w:div w:id="1546789470">
                      <w:marLeft w:val="0"/>
                      <w:marRight w:val="0"/>
                      <w:marTop w:val="0"/>
                      <w:marBottom w:val="0"/>
                      <w:divBdr>
                        <w:top w:val="none" w:sz="0" w:space="0" w:color="auto"/>
                        <w:left w:val="none" w:sz="0" w:space="0" w:color="auto"/>
                        <w:bottom w:val="none" w:sz="0" w:space="0" w:color="auto"/>
                        <w:right w:val="none" w:sz="0" w:space="0" w:color="auto"/>
                      </w:divBdr>
                      <w:divsChild>
                        <w:div w:id="2092313595">
                          <w:marLeft w:val="0"/>
                          <w:marRight w:val="0"/>
                          <w:marTop w:val="0"/>
                          <w:marBottom w:val="0"/>
                          <w:divBdr>
                            <w:top w:val="none" w:sz="0" w:space="0" w:color="auto"/>
                            <w:left w:val="none" w:sz="0" w:space="0" w:color="auto"/>
                            <w:bottom w:val="none" w:sz="0" w:space="0" w:color="auto"/>
                            <w:right w:val="none" w:sz="0" w:space="0" w:color="auto"/>
                          </w:divBdr>
                          <w:divsChild>
                            <w:div w:id="130227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6637">
      <w:bodyDiv w:val="1"/>
      <w:marLeft w:val="0"/>
      <w:marRight w:val="0"/>
      <w:marTop w:val="0"/>
      <w:marBottom w:val="0"/>
      <w:divBdr>
        <w:top w:val="none" w:sz="0" w:space="0" w:color="auto"/>
        <w:left w:val="none" w:sz="0" w:space="0" w:color="auto"/>
        <w:bottom w:val="none" w:sz="0" w:space="0" w:color="auto"/>
        <w:right w:val="none" w:sz="0" w:space="0" w:color="auto"/>
      </w:divBdr>
    </w:div>
    <w:div w:id="949750351">
      <w:bodyDiv w:val="1"/>
      <w:marLeft w:val="0"/>
      <w:marRight w:val="0"/>
      <w:marTop w:val="0"/>
      <w:marBottom w:val="0"/>
      <w:divBdr>
        <w:top w:val="none" w:sz="0" w:space="0" w:color="auto"/>
        <w:left w:val="none" w:sz="0" w:space="0" w:color="auto"/>
        <w:bottom w:val="none" w:sz="0" w:space="0" w:color="auto"/>
        <w:right w:val="none" w:sz="0" w:space="0" w:color="auto"/>
      </w:divBdr>
    </w:div>
    <w:div w:id="961809365">
      <w:bodyDiv w:val="1"/>
      <w:marLeft w:val="0"/>
      <w:marRight w:val="0"/>
      <w:marTop w:val="0"/>
      <w:marBottom w:val="0"/>
      <w:divBdr>
        <w:top w:val="none" w:sz="0" w:space="0" w:color="auto"/>
        <w:left w:val="none" w:sz="0" w:space="0" w:color="auto"/>
        <w:bottom w:val="none" w:sz="0" w:space="0" w:color="auto"/>
        <w:right w:val="none" w:sz="0" w:space="0" w:color="auto"/>
      </w:divBdr>
    </w:div>
    <w:div w:id="962035380">
      <w:bodyDiv w:val="1"/>
      <w:marLeft w:val="0"/>
      <w:marRight w:val="0"/>
      <w:marTop w:val="0"/>
      <w:marBottom w:val="0"/>
      <w:divBdr>
        <w:top w:val="none" w:sz="0" w:space="0" w:color="auto"/>
        <w:left w:val="none" w:sz="0" w:space="0" w:color="auto"/>
        <w:bottom w:val="none" w:sz="0" w:space="0" w:color="auto"/>
        <w:right w:val="none" w:sz="0" w:space="0" w:color="auto"/>
      </w:divBdr>
    </w:div>
    <w:div w:id="970206100">
      <w:bodyDiv w:val="1"/>
      <w:marLeft w:val="0"/>
      <w:marRight w:val="0"/>
      <w:marTop w:val="0"/>
      <w:marBottom w:val="0"/>
      <w:divBdr>
        <w:top w:val="none" w:sz="0" w:space="0" w:color="auto"/>
        <w:left w:val="none" w:sz="0" w:space="0" w:color="auto"/>
        <w:bottom w:val="none" w:sz="0" w:space="0" w:color="auto"/>
        <w:right w:val="none" w:sz="0" w:space="0" w:color="auto"/>
      </w:divBdr>
    </w:div>
    <w:div w:id="999385535">
      <w:bodyDiv w:val="1"/>
      <w:marLeft w:val="0"/>
      <w:marRight w:val="0"/>
      <w:marTop w:val="0"/>
      <w:marBottom w:val="0"/>
      <w:divBdr>
        <w:top w:val="none" w:sz="0" w:space="0" w:color="auto"/>
        <w:left w:val="none" w:sz="0" w:space="0" w:color="auto"/>
        <w:bottom w:val="none" w:sz="0" w:space="0" w:color="auto"/>
        <w:right w:val="none" w:sz="0" w:space="0" w:color="auto"/>
      </w:divBdr>
    </w:div>
    <w:div w:id="999501241">
      <w:bodyDiv w:val="1"/>
      <w:marLeft w:val="0"/>
      <w:marRight w:val="0"/>
      <w:marTop w:val="0"/>
      <w:marBottom w:val="0"/>
      <w:divBdr>
        <w:top w:val="none" w:sz="0" w:space="0" w:color="auto"/>
        <w:left w:val="none" w:sz="0" w:space="0" w:color="auto"/>
        <w:bottom w:val="none" w:sz="0" w:space="0" w:color="auto"/>
        <w:right w:val="none" w:sz="0" w:space="0" w:color="auto"/>
      </w:divBdr>
    </w:div>
    <w:div w:id="1078556526">
      <w:bodyDiv w:val="1"/>
      <w:marLeft w:val="0"/>
      <w:marRight w:val="0"/>
      <w:marTop w:val="0"/>
      <w:marBottom w:val="0"/>
      <w:divBdr>
        <w:top w:val="none" w:sz="0" w:space="0" w:color="auto"/>
        <w:left w:val="none" w:sz="0" w:space="0" w:color="auto"/>
        <w:bottom w:val="none" w:sz="0" w:space="0" w:color="auto"/>
        <w:right w:val="none" w:sz="0" w:space="0" w:color="auto"/>
      </w:divBdr>
    </w:div>
    <w:div w:id="1093626255">
      <w:bodyDiv w:val="1"/>
      <w:marLeft w:val="0"/>
      <w:marRight w:val="0"/>
      <w:marTop w:val="0"/>
      <w:marBottom w:val="0"/>
      <w:divBdr>
        <w:top w:val="none" w:sz="0" w:space="0" w:color="auto"/>
        <w:left w:val="none" w:sz="0" w:space="0" w:color="auto"/>
        <w:bottom w:val="none" w:sz="0" w:space="0" w:color="auto"/>
        <w:right w:val="none" w:sz="0" w:space="0" w:color="auto"/>
      </w:divBdr>
    </w:div>
    <w:div w:id="1143741593">
      <w:bodyDiv w:val="1"/>
      <w:marLeft w:val="0"/>
      <w:marRight w:val="0"/>
      <w:marTop w:val="0"/>
      <w:marBottom w:val="0"/>
      <w:divBdr>
        <w:top w:val="none" w:sz="0" w:space="0" w:color="auto"/>
        <w:left w:val="none" w:sz="0" w:space="0" w:color="auto"/>
        <w:bottom w:val="none" w:sz="0" w:space="0" w:color="auto"/>
        <w:right w:val="none" w:sz="0" w:space="0" w:color="auto"/>
      </w:divBdr>
    </w:div>
    <w:div w:id="1147549584">
      <w:bodyDiv w:val="1"/>
      <w:marLeft w:val="0"/>
      <w:marRight w:val="0"/>
      <w:marTop w:val="0"/>
      <w:marBottom w:val="0"/>
      <w:divBdr>
        <w:top w:val="none" w:sz="0" w:space="0" w:color="auto"/>
        <w:left w:val="none" w:sz="0" w:space="0" w:color="auto"/>
        <w:bottom w:val="none" w:sz="0" w:space="0" w:color="auto"/>
        <w:right w:val="none" w:sz="0" w:space="0" w:color="auto"/>
      </w:divBdr>
    </w:div>
    <w:div w:id="1175071557">
      <w:bodyDiv w:val="1"/>
      <w:marLeft w:val="0"/>
      <w:marRight w:val="0"/>
      <w:marTop w:val="0"/>
      <w:marBottom w:val="0"/>
      <w:divBdr>
        <w:top w:val="none" w:sz="0" w:space="0" w:color="auto"/>
        <w:left w:val="none" w:sz="0" w:space="0" w:color="auto"/>
        <w:bottom w:val="none" w:sz="0" w:space="0" w:color="auto"/>
        <w:right w:val="none" w:sz="0" w:space="0" w:color="auto"/>
      </w:divBdr>
    </w:div>
    <w:div w:id="1201090533">
      <w:bodyDiv w:val="1"/>
      <w:marLeft w:val="0"/>
      <w:marRight w:val="0"/>
      <w:marTop w:val="0"/>
      <w:marBottom w:val="0"/>
      <w:divBdr>
        <w:top w:val="none" w:sz="0" w:space="0" w:color="auto"/>
        <w:left w:val="none" w:sz="0" w:space="0" w:color="auto"/>
        <w:bottom w:val="none" w:sz="0" w:space="0" w:color="auto"/>
        <w:right w:val="none" w:sz="0" w:space="0" w:color="auto"/>
      </w:divBdr>
    </w:div>
    <w:div w:id="1220822753">
      <w:bodyDiv w:val="1"/>
      <w:marLeft w:val="0"/>
      <w:marRight w:val="0"/>
      <w:marTop w:val="0"/>
      <w:marBottom w:val="0"/>
      <w:divBdr>
        <w:top w:val="none" w:sz="0" w:space="0" w:color="auto"/>
        <w:left w:val="none" w:sz="0" w:space="0" w:color="auto"/>
        <w:bottom w:val="none" w:sz="0" w:space="0" w:color="auto"/>
        <w:right w:val="none" w:sz="0" w:space="0" w:color="auto"/>
      </w:divBdr>
    </w:div>
    <w:div w:id="1320616823">
      <w:bodyDiv w:val="1"/>
      <w:marLeft w:val="0"/>
      <w:marRight w:val="0"/>
      <w:marTop w:val="0"/>
      <w:marBottom w:val="0"/>
      <w:divBdr>
        <w:top w:val="none" w:sz="0" w:space="0" w:color="auto"/>
        <w:left w:val="none" w:sz="0" w:space="0" w:color="auto"/>
        <w:bottom w:val="none" w:sz="0" w:space="0" w:color="auto"/>
        <w:right w:val="none" w:sz="0" w:space="0" w:color="auto"/>
      </w:divBdr>
      <w:divsChild>
        <w:div w:id="1949119157">
          <w:marLeft w:val="0"/>
          <w:marRight w:val="0"/>
          <w:marTop w:val="0"/>
          <w:marBottom w:val="0"/>
          <w:divBdr>
            <w:top w:val="none" w:sz="0" w:space="0" w:color="auto"/>
            <w:left w:val="none" w:sz="0" w:space="0" w:color="auto"/>
            <w:bottom w:val="none" w:sz="0" w:space="0" w:color="auto"/>
            <w:right w:val="none" w:sz="0" w:space="0" w:color="auto"/>
          </w:divBdr>
        </w:div>
        <w:div w:id="1653025750">
          <w:marLeft w:val="0"/>
          <w:marRight w:val="0"/>
          <w:marTop w:val="0"/>
          <w:marBottom w:val="0"/>
          <w:divBdr>
            <w:top w:val="none" w:sz="0" w:space="0" w:color="auto"/>
            <w:left w:val="none" w:sz="0" w:space="0" w:color="auto"/>
            <w:bottom w:val="none" w:sz="0" w:space="0" w:color="auto"/>
            <w:right w:val="none" w:sz="0" w:space="0" w:color="auto"/>
          </w:divBdr>
        </w:div>
        <w:div w:id="1387534867">
          <w:marLeft w:val="0"/>
          <w:marRight w:val="0"/>
          <w:marTop w:val="0"/>
          <w:marBottom w:val="0"/>
          <w:divBdr>
            <w:top w:val="none" w:sz="0" w:space="0" w:color="auto"/>
            <w:left w:val="none" w:sz="0" w:space="0" w:color="auto"/>
            <w:bottom w:val="none" w:sz="0" w:space="0" w:color="auto"/>
            <w:right w:val="none" w:sz="0" w:space="0" w:color="auto"/>
          </w:divBdr>
        </w:div>
      </w:divsChild>
    </w:div>
    <w:div w:id="1322269905">
      <w:bodyDiv w:val="1"/>
      <w:marLeft w:val="0"/>
      <w:marRight w:val="0"/>
      <w:marTop w:val="0"/>
      <w:marBottom w:val="0"/>
      <w:divBdr>
        <w:top w:val="none" w:sz="0" w:space="0" w:color="auto"/>
        <w:left w:val="none" w:sz="0" w:space="0" w:color="auto"/>
        <w:bottom w:val="none" w:sz="0" w:space="0" w:color="auto"/>
        <w:right w:val="none" w:sz="0" w:space="0" w:color="auto"/>
      </w:divBdr>
    </w:div>
    <w:div w:id="1465467766">
      <w:bodyDiv w:val="1"/>
      <w:marLeft w:val="0"/>
      <w:marRight w:val="0"/>
      <w:marTop w:val="0"/>
      <w:marBottom w:val="0"/>
      <w:divBdr>
        <w:top w:val="none" w:sz="0" w:space="0" w:color="auto"/>
        <w:left w:val="none" w:sz="0" w:space="0" w:color="auto"/>
        <w:bottom w:val="none" w:sz="0" w:space="0" w:color="auto"/>
        <w:right w:val="none" w:sz="0" w:space="0" w:color="auto"/>
      </w:divBdr>
    </w:div>
    <w:div w:id="1467089440">
      <w:bodyDiv w:val="1"/>
      <w:marLeft w:val="0"/>
      <w:marRight w:val="0"/>
      <w:marTop w:val="0"/>
      <w:marBottom w:val="0"/>
      <w:divBdr>
        <w:top w:val="none" w:sz="0" w:space="0" w:color="auto"/>
        <w:left w:val="none" w:sz="0" w:space="0" w:color="auto"/>
        <w:bottom w:val="none" w:sz="0" w:space="0" w:color="auto"/>
        <w:right w:val="none" w:sz="0" w:space="0" w:color="auto"/>
      </w:divBdr>
      <w:divsChild>
        <w:div w:id="141629004">
          <w:marLeft w:val="0"/>
          <w:marRight w:val="0"/>
          <w:marTop w:val="0"/>
          <w:marBottom w:val="0"/>
          <w:divBdr>
            <w:top w:val="none" w:sz="0" w:space="0" w:color="auto"/>
            <w:left w:val="none" w:sz="0" w:space="0" w:color="auto"/>
            <w:bottom w:val="none" w:sz="0" w:space="0" w:color="auto"/>
            <w:right w:val="none" w:sz="0" w:space="0" w:color="auto"/>
          </w:divBdr>
        </w:div>
        <w:div w:id="1913729904">
          <w:marLeft w:val="0"/>
          <w:marRight w:val="0"/>
          <w:marTop w:val="0"/>
          <w:marBottom w:val="0"/>
          <w:divBdr>
            <w:top w:val="none" w:sz="0" w:space="0" w:color="auto"/>
            <w:left w:val="none" w:sz="0" w:space="0" w:color="auto"/>
            <w:bottom w:val="none" w:sz="0" w:space="0" w:color="auto"/>
            <w:right w:val="none" w:sz="0" w:space="0" w:color="auto"/>
          </w:divBdr>
        </w:div>
        <w:div w:id="1773353507">
          <w:marLeft w:val="0"/>
          <w:marRight w:val="0"/>
          <w:marTop w:val="0"/>
          <w:marBottom w:val="0"/>
          <w:divBdr>
            <w:top w:val="none" w:sz="0" w:space="0" w:color="auto"/>
            <w:left w:val="none" w:sz="0" w:space="0" w:color="auto"/>
            <w:bottom w:val="none" w:sz="0" w:space="0" w:color="auto"/>
            <w:right w:val="none" w:sz="0" w:space="0" w:color="auto"/>
          </w:divBdr>
        </w:div>
      </w:divsChild>
    </w:div>
    <w:div w:id="1507358543">
      <w:bodyDiv w:val="1"/>
      <w:marLeft w:val="0"/>
      <w:marRight w:val="0"/>
      <w:marTop w:val="0"/>
      <w:marBottom w:val="0"/>
      <w:divBdr>
        <w:top w:val="none" w:sz="0" w:space="0" w:color="auto"/>
        <w:left w:val="none" w:sz="0" w:space="0" w:color="auto"/>
        <w:bottom w:val="none" w:sz="0" w:space="0" w:color="auto"/>
        <w:right w:val="none" w:sz="0" w:space="0" w:color="auto"/>
      </w:divBdr>
    </w:div>
    <w:div w:id="1516262297">
      <w:bodyDiv w:val="1"/>
      <w:marLeft w:val="0"/>
      <w:marRight w:val="0"/>
      <w:marTop w:val="0"/>
      <w:marBottom w:val="0"/>
      <w:divBdr>
        <w:top w:val="none" w:sz="0" w:space="0" w:color="auto"/>
        <w:left w:val="none" w:sz="0" w:space="0" w:color="auto"/>
        <w:bottom w:val="none" w:sz="0" w:space="0" w:color="auto"/>
        <w:right w:val="none" w:sz="0" w:space="0" w:color="auto"/>
      </w:divBdr>
    </w:div>
    <w:div w:id="1544707368">
      <w:bodyDiv w:val="1"/>
      <w:marLeft w:val="0"/>
      <w:marRight w:val="0"/>
      <w:marTop w:val="0"/>
      <w:marBottom w:val="0"/>
      <w:divBdr>
        <w:top w:val="none" w:sz="0" w:space="0" w:color="auto"/>
        <w:left w:val="none" w:sz="0" w:space="0" w:color="auto"/>
        <w:bottom w:val="none" w:sz="0" w:space="0" w:color="auto"/>
        <w:right w:val="none" w:sz="0" w:space="0" w:color="auto"/>
      </w:divBdr>
    </w:div>
    <w:div w:id="1556575944">
      <w:bodyDiv w:val="1"/>
      <w:marLeft w:val="0"/>
      <w:marRight w:val="0"/>
      <w:marTop w:val="0"/>
      <w:marBottom w:val="0"/>
      <w:divBdr>
        <w:top w:val="none" w:sz="0" w:space="0" w:color="auto"/>
        <w:left w:val="none" w:sz="0" w:space="0" w:color="auto"/>
        <w:bottom w:val="none" w:sz="0" w:space="0" w:color="auto"/>
        <w:right w:val="none" w:sz="0" w:space="0" w:color="auto"/>
      </w:divBdr>
    </w:div>
    <w:div w:id="1636985775">
      <w:bodyDiv w:val="1"/>
      <w:marLeft w:val="0"/>
      <w:marRight w:val="0"/>
      <w:marTop w:val="0"/>
      <w:marBottom w:val="0"/>
      <w:divBdr>
        <w:top w:val="none" w:sz="0" w:space="0" w:color="auto"/>
        <w:left w:val="none" w:sz="0" w:space="0" w:color="auto"/>
        <w:bottom w:val="none" w:sz="0" w:space="0" w:color="auto"/>
        <w:right w:val="none" w:sz="0" w:space="0" w:color="auto"/>
      </w:divBdr>
      <w:divsChild>
        <w:div w:id="721439908">
          <w:marLeft w:val="0"/>
          <w:marRight w:val="0"/>
          <w:marTop w:val="0"/>
          <w:marBottom w:val="0"/>
          <w:divBdr>
            <w:top w:val="none" w:sz="0" w:space="0" w:color="auto"/>
            <w:left w:val="none" w:sz="0" w:space="0" w:color="auto"/>
            <w:bottom w:val="none" w:sz="0" w:space="0" w:color="auto"/>
            <w:right w:val="none" w:sz="0" w:space="0" w:color="auto"/>
          </w:divBdr>
          <w:divsChild>
            <w:div w:id="595863185">
              <w:marLeft w:val="0"/>
              <w:marRight w:val="0"/>
              <w:marTop w:val="0"/>
              <w:marBottom w:val="0"/>
              <w:divBdr>
                <w:top w:val="none" w:sz="0" w:space="0" w:color="auto"/>
                <w:left w:val="none" w:sz="0" w:space="0" w:color="auto"/>
                <w:bottom w:val="none" w:sz="0" w:space="0" w:color="auto"/>
                <w:right w:val="none" w:sz="0" w:space="0" w:color="auto"/>
              </w:divBdr>
              <w:divsChild>
                <w:div w:id="307171116">
                  <w:marLeft w:val="0"/>
                  <w:marRight w:val="0"/>
                  <w:marTop w:val="0"/>
                  <w:marBottom w:val="0"/>
                  <w:divBdr>
                    <w:top w:val="none" w:sz="0" w:space="0" w:color="auto"/>
                    <w:left w:val="none" w:sz="0" w:space="0" w:color="auto"/>
                    <w:bottom w:val="none" w:sz="0" w:space="0" w:color="auto"/>
                    <w:right w:val="none" w:sz="0" w:space="0" w:color="auto"/>
                  </w:divBdr>
                  <w:divsChild>
                    <w:div w:id="1501458514">
                      <w:marLeft w:val="0"/>
                      <w:marRight w:val="0"/>
                      <w:marTop w:val="0"/>
                      <w:marBottom w:val="0"/>
                      <w:divBdr>
                        <w:top w:val="none" w:sz="0" w:space="0" w:color="auto"/>
                        <w:left w:val="none" w:sz="0" w:space="0" w:color="auto"/>
                        <w:bottom w:val="none" w:sz="0" w:space="0" w:color="auto"/>
                        <w:right w:val="none" w:sz="0" w:space="0" w:color="auto"/>
                      </w:divBdr>
                      <w:divsChild>
                        <w:div w:id="2112043535">
                          <w:marLeft w:val="0"/>
                          <w:marRight w:val="0"/>
                          <w:marTop w:val="0"/>
                          <w:marBottom w:val="0"/>
                          <w:divBdr>
                            <w:top w:val="none" w:sz="0" w:space="0" w:color="auto"/>
                            <w:left w:val="none" w:sz="0" w:space="0" w:color="auto"/>
                            <w:bottom w:val="none" w:sz="0" w:space="0" w:color="auto"/>
                            <w:right w:val="none" w:sz="0" w:space="0" w:color="auto"/>
                          </w:divBdr>
                          <w:divsChild>
                            <w:div w:id="5633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656124">
      <w:bodyDiv w:val="1"/>
      <w:marLeft w:val="0"/>
      <w:marRight w:val="0"/>
      <w:marTop w:val="0"/>
      <w:marBottom w:val="0"/>
      <w:divBdr>
        <w:top w:val="none" w:sz="0" w:space="0" w:color="auto"/>
        <w:left w:val="none" w:sz="0" w:space="0" w:color="auto"/>
        <w:bottom w:val="none" w:sz="0" w:space="0" w:color="auto"/>
        <w:right w:val="none" w:sz="0" w:space="0" w:color="auto"/>
      </w:divBdr>
    </w:div>
    <w:div w:id="1754937515">
      <w:bodyDiv w:val="1"/>
      <w:marLeft w:val="0"/>
      <w:marRight w:val="0"/>
      <w:marTop w:val="0"/>
      <w:marBottom w:val="0"/>
      <w:divBdr>
        <w:top w:val="none" w:sz="0" w:space="0" w:color="auto"/>
        <w:left w:val="none" w:sz="0" w:space="0" w:color="auto"/>
        <w:bottom w:val="none" w:sz="0" w:space="0" w:color="auto"/>
        <w:right w:val="none" w:sz="0" w:space="0" w:color="auto"/>
      </w:divBdr>
    </w:div>
    <w:div w:id="1858886887">
      <w:bodyDiv w:val="1"/>
      <w:marLeft w:val="0"/>
      <w:marRight w:val="0"/>
      <w:marTop w:val="0"/>
      <w:marBottom w:val="0"/>
      <w:divBdr>
        <w:top w:val="none" w:sz="0" w:space="0" w:color="auto"/>
        <w:left w:val="none" w:sz="0" w:space="0" w:color="auto"/>
        <w:bottom w:val="none" w:sz="0" w:space="0" w:color="auto"/>
        <w:right w:val="none" w:sz="0" w:space="0" w:color="auto"/>
      </w:divBdr>
    </w:div>
    <w:div w:id="1983339846">
      <w:bodyDiv w:val="1"/>
      <w:marLeft w:val="0"/>
      <w:marRight w:val="0"/>
      <w:marTop w:val="0"/>
      <w:marBottom w:val="0"/>
      <w:divBdr>
        <w:top w:val="none" w:sz="0" w:space="0" w:color="auto"/>
        <w:left w:val="none" w:sz="0" w:space="0" w:color="auto"/>
        <w:bottom w:val="none" w:sz="0" w:space="0" w:color="auto"/>
        <w:right w:val="none" w:sz="0" w:space="0" w:color="auto"/>
      </w:divBdr>
    </w:div>
    <w:div w:id="1988898986">
      <w:bodyDiv w:val="1"/>
      <w:marLeft w:val="0"/>
      <w:marRight w:val="0"/>
      <w:marTop w:val="0"/>
      <w:marBottom w:val="0"/>
      <w:divBdr>
        <w:top w:val="none" w:sz="0" w:space="0" w:color="auto"/>
        <w:left w:val="none" w:sz="0" w:space="0" w:color="auto"/>
        <w:bottom w:val="none" w:sz="0" w:space="0" w:color="auto"/>
        <w:right w:val="none" w:sz="0" w:space="0" w:color="auto"/>
      </w:divBdr>
    </w:div>
    <w:div w:id="2061438768">
      <w:bodyDiv w:val="1"/>
      <w:marLeft w:val="0"/>
      <w:marRight w:val="0"/>
      <w:marTop w:val="0"/>
      <w:marBottom w:val="0"/>
      <w:divBdr>
        <w:top w:val="none" w:sz="0" w:space="0" w:color="auto"/>
        <w:left w:val="none" w:sz="0" w:space="0" w:color="auto"/>
        <w:bottom w:val="none" w:sz="0" w:space="0" w:color="auto"/>
        <w:right w:val="none" w:sz="0" w:space="0" w:color="auto"/>
      </w:divBdr>
    </w:div>
    <w:div w:id="2088453573">
      <w:bodyDiv w:val="1"/>
      <w:marLeft w:val="0"/>
      <w:marRight w:val="0"/>
      <w:marTop w:val="0"/>
      <w:marBottom w:val="0"/>
      <w:divBdr>
        <w:top w:val="none" w:sz="0" w:space="0" w:color="auto"/>
        <w:left w:val="none" w:sz="0" w:space="0" w:color="auto"/>
        <w:bottom w:val="none" w:sz="0" w:space="0" w:color="auto"/>
        <w:right w:val="none" w:sz="0" w:space="0" w:color="auto"/>
      </w:divBdr>
    </w:div>
    <w:div w:id="210922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Gade</dc:creator>
  <cp:keywords/>
  <dc:description/>
  <cp:lastModifiedBy>Harshith Gade</cp:lastModifiedBy>
  <cp:revision>2</cp:revision>
  <dcterms:created xsi:type="dcterms:W3CDTF">2024-11-20T02:47:00Z</dcterms:created>
  <dcterms:modified xsi:type="dcterms:W3CDTF">2024-11-20T03:39:00Z</dcterms:modified>
</cp:coreProperties>
</file>