
<file path=[Content_Types].xml><?xml version="1.0" encoding="utf-8"?>
<Types xmlns="http://schemas.openxmlformats.org/package/2006/content-types">
  <Default Extension="jpg" ContentType="application/octet-stream"/>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7ECDB" w14:textId="77777777" w:rsidR="00C1738A" w:rsidRDefault="00000000" w:rsidP="00597CF4">
      <w:pPr>
        <w:pStyle w:val="FirstParagraph"/>
      </w:pPr>
      <w:r>
        <w:t>Title: Drought may initiate western spruce budworm outbreaks, but multi-year periods of increased moisture availability promote widespread defoliation</w:t>
      </w:r>
    </w:p>
    <w:p w14:paraId="20D6800D" w14:textId="77777777" w:rsidR="00C1738A" w:rsidRDefault="00000000" w:rsidP="00597CF4">
      <w:pPr>
        <w:pStyle w:val="BodyText"/>
      </w:pPr>
      <w:r>
        <w:t>Authors: Sarah J. Hart</w:t>
      </w:r>
      <w:r>
        <w:rPr>
          <w:vertAlign w:val="superscript"/>
        </w:rPr>
        <w:t>1</w:t>
      </w:r>
      <w:r>
        <w:t>, Olivia Santiago</w:t>
      </w:r>
      <w:r>
        <w:rPr>
          <w:vertAlign w:val="superscript"/>
        </w:rPr>
        <w:t>1</w:t>
      </w:r>
      <w:r>
        <w:t>, Joshua D. Carrell</w:t>
      </w:r>
      <w:r>
        <w:rPr>
          <w:vertAlign w:val="superscript"/>
        </w:rPr>
        <w:t>1</w:t>
      </w:r>
      <w:r>
        <w:t>, and Thomas T. Veblen</w:t>
      </w:r>
      <w:r>
        <w:rPr>
          <w:vertAlign w:val="superscript"/>
        </w:rPr>
        <w:t>2</w:t>
      </w:r>
    </w:p>
    <w:p w14:paraId="5FFB3B2D" w14:textId="77777777" w:rsidR="00C1738A" w:rsidRDefault="00000000" w:rsidP="00597CF4">
      <w:pPr>
        <w:pStyle w:val="BodyText"/>
      </w:pPr>
      <w:r>
        <w:t>Affiliations:</w:t>
      </w:r>
    </w:p>
    <w:p w14:paraId="441A1FFD" w14:textId="77777777" w:rsidR="00C1738A" w:rsidRDefault="00000000" w:rsidP="00597CF4">
      <w:pPr>
        <w:pStyle w:val="BodyText"/>
      </w:pPr>
      <w:r>
        <w:t>1 - Department of Forest and Rangeland Stewardship, Colorado State University, 1472 Campus Delivery, Fort Collins, CO 80523, USA</w:t>
      </w:r>
    </w:p>
    <w:p w14:paraId="394A034E" w14:textId="77777777" w:rsidR="00C1738A" w:rsidRDefault="00000000" w:rsidP="00597CF4">
      <w:pPr>
        <w:pStyle w:val="BodyText"/>
      </w:pPr>
      <w:r>
        <w:t>2 - Department of Geography, University of Colorado Boulder, 260 UCB, Boulder, CO 80309, USA</w:t>
      </w:r>
    </w:p>
    <w:p w14:paraId="676D8B5E" w14:textId="77777777" w:rsidR="00C1738A" w:rsidRDefault="00000000" w:rsidP="00597CF4">
      <w:pPr>
        <w:pStyle w:val="BodyText"/>
      </w:pPr>
      <w:r>
        <w:t>Corresponding author: Sarah J. Hart (email: sarah.hart@colostate.edu)</w:t>
      </w:r>
    </w:p>
    <w:p w14:paraId="708892A7" w14:textId="77777777" w:rsidR="00C1738A" w:rsidRDefault="00000000">
      <w:r>
        <w:br w:type="page"/>
      </w:r>
    </w:p>
    <w:p w14:paraId="426EF406" w14:textId="77777777" w:rsidR="00C1738A" w:rsidRDefault="00000000" w:rsidP="00115577">
      <w:pPr>
        <w:pStyle w:val="Heading1"/>
        <w:numPr>
          <w:ilvl w:val="0"/>
          <w:numId w:val="0"/>
        </w:numPr>
        <w:ind w:left="360" w:hanging="360"/>
      </w:pPr>
      <w:bookmarkStart w:id="0" w:name="abstract"/>
      <w:r>
        <w:lastRenderedPageBreak/>
        <w:t>Abstract</w:t>
      </w:r>
    </w:p>
    <w:p w14:paraId="35945E7A" w14:textId="77777777" w:rsidR="00C1738A" w:rsidRPr="00597CF4" w:rsidRDefault="00000000" w:rsidP="00597CF4">
      <w:pPr>
        <w:pStyle w:val="FirstParagraph"/>
      </w:pPr>
      <w:r w:rsidRPr="00597CF4">
        <w:t>The western spruce budworm (Choristoneura occidentalis) is one of the most widely distributed native defoliators of coniferous forests in North America, where it plays an important role in shaping ecosystem function. In this study, we use tree-ring and geospatial data to reconstruct periods of past WSB outbreak at 12 sites across central to northern Colorado during the period 1650-2023. We use this record to quantify: (1) temporal synchrony in outbreak history, (2) differences in the dynamics of western spruce budworm outbreaks before and after Euro-American colonization, and (3) the association between climate and outbreak initiation and cessation. We identified eight periods of synchronous outbreak between 1666 and 2023. In the first several decades following Euro-American colonization, outbreaks were shorter, more severe, and less synchronous across the study area, likely due to decreases in host availability that occurred due to widespread burning from 1850-1890. In addition, we found outbreaks were often initiated by drought events and sustained by periods of above average moisture availability, consistent with the pulsed stress hypothesis. Collectively, our work highlights the role of broad-scale drivers, including climate and land-use practices, in influencing stand-level disturbance processes.</w:t>
      </w:r>
    </w:p>
    <w:p w14:paraId="17F92F10" w14:textId="77777777" w:rsidR="00C1738A" w:rsidRDefault="00000000" w:rsidP="00115577">
      <w:pPr>
        <w:pStyle w:val="Heading1"/>
        <w:numPr>
          <w:ilvl w:val="0"/>
          <w:numId w:val="0"/>
        </w:numPr>
        <w:ind w:left="360" w:hanging="360"/>
      </w:pPr>
      <w:bookmarkStart w:id="1" w:name="keywords"/>
      <w:bookmarkEnd w:id="0"/>
      <w:r>
        <w:t>Keywords</w:t>
      </w:r>
    </w:p>
    <w:p w14:paraId="4D8F29E4" w14:textId="77777777" w:rsidR="00C1738A" w:rsidRDefault="00000000" w:rsidP="00597CF4">
      <w:pPr>
        <w:pStyle w:val="FirstParagraph"/>
      </w:pPr>
      <w:r>
        <w:t xml:space="preserve">western spruce budworm; </w:t>
      </w:r>
      <w:r>
        <w:rPr>
          <w:i/>
          <w:iCs/>
        </w:rPr>
        <w:t>Choristoneura occidentalis;</w:t>
      </w:r>
      <w:r>
        <w:t xml:space="preserve"> drought; tree ring; insect outbreak; synchrony; land-use practices</w:t>
      </w:r>
    </w:p>
    <w:p w14:paraId="0846E8B2" w14:textId="67F622B8" w:rsidR="00C1738A" w:rsidRDefault="00000000" w:rsidP="00115577">
      <w:pPr>
        <w:pStyle w:val="Heading1"/>
        <w:numPr>
          <w:ilvl w:val="0"/>
          <w:numId w:val="0"/>
        </w:numPr>
        <w:ind w:left="360" w:hanging="360"/>
      </w:pPr>
      <w:bookmarkStart w:id="2" w:name="highlights"/>
      <w:bookmarkEnd w:id="1"/>
      <w:r>
        <w:t>Highlights</w:t>
      </w:r>
    </w:p>
    <w:p w14:paraId="2359B87A" w14:textId="77777777" w:rsidR="00C1738A" w:rsidRDefault="00000000">
      <w:pPr>
        <w:numPr>
          <w:ilvl w:val="0"/>
          <w:numId w:val="477"/>
        </w:numPr>
      </w:pPr>
      <w:r>
        <w:t>Outbreaks often occurred synchronously across the study area</w:t>
      </w:r>
    </w:p>
    <w:p w14:paraId="4406E28F" w14:textId="77777777" w:rsidR="00C1738A" w:rsidRDefault="00000000">
      <w:pPr>
        <w:numPr>
          <w:ilvl w:val="0"/>
          <w:numId w:val="477"/>
        </w:numPr>
      </w:pPr>
      <w:r>
        <w:t>Western spruce budworm outbreaks were often preceded by periods of drought</w:t>
      </w:r>
    </w:p>
    <w:p w14:paraId="572E514E" w14:textId="799E7AC4" w:rsidR="00115577" w:rsidRDefault="00000000">
      <w:pPr>
        <w:numPr>
          <w:ilvl w:val="0"/>
          <w:numId w:val="477"/>
        </w:numPr>
      </w:pPr>
      <w:r>
        <w:lastRenderedPageBreak/>
        <w:t>Outbreaks were sustained by periods of above average moisture availability</w:t>
      </w:r>
    </w:p>
    <w:p w14:paraId="32942D66" w14:textId="3EB3FD67" w:rsidR="00C1738A" w:rsidRDefault="00115577" w:rsidP="00115577">
      <w:pPr>
        <w:spacing w:before="0" w:after="200"/>
      </w:pPr>
      <w:r>
        <w:br w:type="page"/>
      </w:r>
    </w:p>
    <w:p w14:paraId="26F1F082" w14:textId="77777777" w:rsidR="00C1738A" w:rsidRDefault="00000000" w:rsidP="00115577">
      <w:pPr>
        <w:pStyle w:val="Heading1"/>
        <w:numPr>
          <w:ilvl w:val="0"/>
          <w:numId w:val="478"/>
        </w:numPr>
      </w:pPr>
      <w:bookmarkStart w:id="3" w:name="introduction"/>
      <w:bookmarkEnd w:id="2"/>
      <w:r>
        <w:lastRenderedPageBreak/>
        <w:t>Introduction</w:t>
      </w:r>
    </w:p>
    <w:p w14:paraId="2AA47688" w14:textId="77777777" w:rsidR="00C1738A" w:rsidRDefault="00000000" w:rsidP="00597CF4">
      <w:pPr>
        <w:pStyle w:val="FirstParagraph"/>
      </w:pPr>
      <w:r>
        <w:t>Changes in climate, human population density, and land-use are altering ecosystems around the world (</w:t>
      </w:r>
      <w:hyperlink w:anchor="ref-weiskopf2020ClimateChangeEffects">
        <w:r w:rsidR="00C1738A">
          <w:rPr>
            <w:rStyle w:val="Hyperlink"/>
          </w:rPr>
          <w:t>Weiskopf et al., 2020</w:t>
        </w:r>
      </w:hyperlink>
      <w:r>
        <w:t>). In forested ecosystems of western North America, these changes are altering plant-insect interactions, leading to changes in ecosystem structure, composition, and function (</w:t>
      </w:r>
      <w:hyperlink w:anchor="ref-bale2002">
        <w:r w:rsidR="00C1738A">
          <w:rPr>
            <w:rStyle w:val="Hyperlink"/>
          </w:rPr>
          <w:t>Bale et al., 2002</w:t>
        </w:r>
      </w:hyperlink>
      <w:r>
        <w:t>). Such changes may be particularly dramatic when insect herbivores increase consumption in response to elevated temperatures, CO</w:t>
      </w:r>
      <w:r>
        <w:rPr>
          <w:vertAlign w:val="subscript"/>
        </w:rPr>
        <w:t>2</w:t>
      </w:r>
      <w:r>
        <w:t xml:space="preserve"> concentrations, drought stress, and/or nutrient conditions (</w:t>
      </w:r>
      <w:hyperlink w:anchor="ref-hamann2021ClimateChangeAlters">
        <w:r w:rsidR="00C1738A">
          <w:rPr>
            <w:rStyle w:val="Hyperlink"/>
          </w:rPr>
          <w:t>Hamann et al., 2021</w:t>
        </w:r>
      </w:hyperlink>
      <w:r>
        <w:t>). Predicting the effects of global change on the structure, composition, and function of forest ecosystems requires a better understanding of the effects of global change on interactions between plants and insects.</w:t>
      </w:r>
    </w:p>
    <w:p w14:paraId="026407F1" w14:textId="77777777" w:rsidR="00C1738A" w:rsidRPr="00597CF4" w:rsidRDefault="00000000" w:rsidP="00597CF4">
      <w:pPr>
        <w:pStyle w:val="BodyText"/>
      </w:pPr>
      <w:r w:rsidRPr="00597CF4">
        <w:t>The western spruce budworm (WSB; Choristoneura occidentalis) is one of the most widely distributed native defoliators of coniferous forests in North America, where it plays an important role in shaping ecosystem function (</w:t>
      </w:r>
      <w:hyperlink w:anchor="ref-brookesWesternSpruceBudworm1987">
        <w:r w:rsidR="00C1738A" w:rsidRPr="00597CF4">
          <w:rPr>
            <w:rStyle w:val="Hyperlink"/>
            <w:rFonts w:cstheme="minorBidi"/>
            <w:color w:val="000000" w:themeColor="text1"/>
          </w:rPr>
          <w:t>Brookes et al., 1987</w:t>
        </w:r>
      </w:hyperlink>
      <w:r w:rsidRPr="00597CF4">
        <w:t xml:space="preserve">; </w:t>
      </w:r>
      <w:hyperlink w:anchor="ref-johnson1975OutbreaksWesternSpruce">
        <w:r w:rsidR="00C1738A" w:rsidRPr="00597CF4">
          <w:rPr>
            <w:rStyle w:val="Hyperlink"/>
            <w:rFonts w:cstheme="minorBidi"/>
            <w:color w:val="000000" w:themeColor="text1"/>
          </w:rPr>
          <w:t>Johnson, 1975</w:t>
        </w:r>
      </w:hyperlink>
      <w:r w:rsidRPr="00597CF4">
        <w:t xml:space="preserve">). The WSB is a specialist herbivore that preferentially feeds upon young buds and new foliage of their host trees, which include Douglas-fir (Pseudotsuga </w:t>
      </w:r>
      <w:proofErr w:type="spellStart"/>
      <w:r w:rsidRPr="00597CF4">
        <w:t>menziesii</w:t>
      </w:r>
      <w:proofErr w:type="spellEnd"/>
      <w:r w:rsidRPr="00597CF4">
        <w:t>), true firs (Abies spp.) and spruce (Picea spp.). Typically, WSBs exist at low population levels and defoliation is minimal (</w:t>
      </w:r>
      <w:hyperlink w:anchor="ref-brookesWesternSpruceBudworm1987">
        <w:r w:rsidR="00C1738A" w:rsidRPr="00597CF4">
          <w:rPr>
            <w:rStyle w:val="Hyperlink"/>
            <w:rFonts w:cstheme="minorBidi"/>
            <w:color w:val="000000" w:themeColor="text1"/>
          </w:rPr>
          <w:t>Brookes et al., 1987</w:t>
        </w:r>
      </w:hyperlink>
      <w:r w:rsidRPr="00597CF4">
        <w:t>). However, periodically WSB populations may erupt, leading to severe defoliation. These outbreaks occur when several thresholds in the host-WSB system are crossed and feedbacks among the WSB populations, host trees, and natural enemies lead to rapid growth of WSB populations (</w:t>
      </w:r>
      <w:hyperlink w:anchor="ref-campbell1993PopulationDynamicsMajor">
        <w:r w:rsidR="00C1738A" w:rsidRPr="00597CF4">
          <w:rPr>
            <w:rStyle w:val="Hyperlink"/>
            <w:rFonts w:cstheme="minorBidi"/>
            <w:color w:val="000000" w:themeColor="text1"/>
          </w:rPr>
          <w:t>Campbell, 1993</w:t>
        </w:r>
      </w:hyperlink>
      <w:r w:rsidRPr="00597CF4">
        <w:t xml:space="preserve">; </w:t>
      </w:r>
      <w:hyperlink w:anchor="ref-meigs2015">
        <w:r w:rsidR="00C1738A" w:rsidRPr="00597CF4">
          <w:rPr>
            <w:rStyle w:val="Hyperlink"/>
            <w:rFonts w:cstheme="minorBidi"/>
            <w:color w:val="000000" w:themeColor="text1"/>
          </w:rPr>
          <w:t>Meigs et al., 2015</w:t>
        </w:r>
      </w:hyperlink>
      <w:r w:rsidRPr="00597CF4">
        <w:t xml:space="preserve">; </w:t>
      </w:r>
      <w:hyperlink w:anchor="ref-nealis2021EcologyOutbreakPopulations">
        <w:r w:rsidR="00C1738A" w:rsidRPr="00597CF4">
          <w:rPr>
            <w:rStyle w:val="Hyperlink"/>
            <w:rFonts w:cstheme="minorBidi"/>
            <w:color w:val="000000" w:themeColor="text1"/>
          </w:rPr>
          <w:t xml:space="preserve">Nealis and </w:t>
        </w:r>
        <w:proofErr w:type="spellStart"/>
        <w:r w:rsidR="00C1738A" w:rsidRPr="00597CF4">
          <w:rPr>
            <w:rStyle w:val="Hyperlink"/>
            <w:rFonts w:cstheme="minorBidi"/>
            <w:color w:val="000000" w:themeColor="text1"/>
          </w:rPr>
          <w:t>Régnière</w:t>
        </w:r>
        <w:proofErr w:type="spellEnd"/>
        <w:r w:rsidR="00C1738A" w:rsidRPr="00597CF4">
          <w:rPr>
            <w:rStyle w:val="Hyperlink"/>
            <w:rFonts w:cstheme="minorBidi"/>
            <w:color w:val="000000" w:themeColor="text1"/>
          </w:rPr>
          <w:t>, 2021</w:t>
        </w:r>
      </w:hyperlink>
      <w:r w:rsidRPr="00597CF4">
        <w:t xml:space="preserve">; </w:t>
      </w:r>
      <w:hyperlink w:anchor="ref-senf2017MultiscaleAnalysisWestern">
        <w:r w:rsidR="00C1738A" w:rsidRPr="00597CF4">
          <w:rPr>
            <w:rStyle w:val="Hyperlink"/>
            <w:rFonts w:cstheme="minorBidi"/>
            <w:color w:val="000000" w:themeColor="text1"/>
          </w:rPr>
          <w:t>Senf et al., 2017</w:t>
        </w:r>
      </w:hyperlink>
      <w:r w:rsidRPr="00597CF4">
        <w:t>). During outbreaks, affected trees may experience severe reductions in growth and seed production or even death (</w:t>
      </w:r>
      <w:hyperlink w:anchor="ref-alfaroTreeMortalityRadial1982">
        <w:r w:rsidR="00C1738A" w:rsidRPr="00597CF4">
          <w:rPr>
            <w:rStyle w:val="Hyperlink"/>
            <w:rFonts w:cstheme="minorBidi"/>
            <w:color w:val="000000" w:themeColor="text1"/>
          </w:rPr>
          <w:t>Alfaro et al., 1982</w:t>
        </w:r>
      </w:hyperlink>
      <w:r w:rsidRPr="00597CF4">
        <w:t>), leading to reduced host species regeneration and altered successional trajectories (</w:t>
      </w:r>
      <w:hyperlink w:anchor="ref-hadleyStandResponseWestern1993">
        <w:r w:rsidR="00C1738A" w:rsidRPr="00597CF4">
          <w:rPr>
            <w:rStyle w:val="Hyperlink"/>
            <w:rFonts w:cstheme="minorBidi"/>
            <w:color w:val="000000" w:themeColor="text1"/>
          </w:rPr>
          <w:t>Hadley and Veblen, 1993</w:t>
        </w:r>
      </w:hyperlink>
      <w:r w:rsidRPr="00597CF4">
        <w:t xml:space="preserve">; </w:t>
      </w:r>
      <w:hyperlink w:anchor="ref-wulf1987SiteStandCharacteristics">
        <w:r w:rsidR="00C1738A" w:rsidRPr="00597CF4">
          <w:rPr>
            <w:rStyle w:val="Hyperlink"/>
            <w:rFonts w:cstheme="minorBidi"/>
            <w:color w:val="000000" w:themeColor="text1"/>
          </w:rPr>
          <w:t>Wulf and Cates, 1987</w:t>
        </w:r>
      </w:hyperlink>
      <w:r w:rsidRPr="00597CF4">
        <w:t>), changes in carbon cycling (</w:t>
      </w:r>
      <w:hyperlink w:anchor="ref-dymond2010FutureSpruceBudworm">
        <w:r w:rsidR="00C1738A" w:rsidRPr="00597CF4">
          <w:rPr>
            <w:rStyle w:val="Hyperlink"/>
            <w:rFonts w:cstheme="minorBidi"/>
            <w:color w:val="000000" w:themeColor="text1"/>
          </w:rPr>
          <w:t>Dymond et al., 2010</w:t>
        </w:r>
      </w:hyperlink>
      <w:r w:rsidRPr="00597CF4">
        <w:t>), and reductions in timber volume (</w:t>
      </w:r>
      <w:hyperlink w:anchor="ref-alfaro1992">
        <w:r w:rsidR="00C1738A" w:rsidRPr="00597CF4">
          <w:rPr>
            <w:rStyle w:val="Hyperlink"/>
            <w:rFonts w:cstheme="minorBidi"/>
            <w:color w:val="000000" w:themeColor="text1"/>
          </w:rPr>
          <w:t xml:space="preserve">Alfaro and </w:t>
        </w:r>
        <w:proofErr w:type="spellStart"/>
        <w:r w:rsidR="00C1738A" w:rsidRPr="00597CF4">
          <w:rPr>
            <w:rStyle w:val="Hyperlink"/>
            <w:rFonts w:cstheme="minorBidi"/>
            <w:color w:val="000000" w:themeColor="text1"/>
          </w:rPr>
          <w:t>Maclauchlan</w:t>
        </w:r>
        <w:proofErr w:type="spellEnd"/>
        <w:r w:rsidR="00C1738A" w:rsidRPr="00597CF4">
          <w:rPr>
            <w:rStyle w:val="Hyperlink"/>
            <w:rFonts w:cstheme="minorBidi"/>
            <w:color w:val="000000" w:themeColor="text1"/>
          </w:rPr>
          <w:t>, 1992</w:t>
        </w:r>
      </w:hyperlink>
      <w:r w:rsidRPr="00597CF4">
        <w:t xml:space="preserve">). Importantly, outbreaks often occur synchronously across broad spatial extents (i.e., </w:t>
      </w:r>
      <w:r w:rsidRPr="00597CF4">
        <w:lastRenderedPageBreak/>
        <w:t>1000s of kilometers) (</w:t>
      </w:r>
      <w:hyperlink w:anchor="ref-flower2016">
        <w:r w:rsidR="00C1738A" w:rsidRPr="00597CF4">
          <w:rPr>
            <w:rStyle w:val="Hyperlink"/>
            <w:rFonts w:cstheme="minorBidi"/>
            <w:color w:val="000000" w:themeColor="text1"/>
          </w:rPr>
          <w:t>Flower, 2016</w:t>
        </w:r>
      </w:hyperlink>
      <w:r w:rsidRPr="00597CF4">
        <w:t>), leading to considerable fluctuation in the provisioning of ecosystem services at a subcontinental scale (</w:t>
      </w:r>
      <w:hyperlink w:anchor="X890f4b861f5dcf0d292507f27b52e047d75ee71">
        <w:r w:rsidR="00C1738A" w:rsidRPr="00597CF4">
          <w:rPr>
            <w:rStyle w:val="Hyperlink"/>
            <w:rFonts w:cstheme="minorBidi"/>
            <w:color w:val="000000" w:themeColor="text1"/>
          </w:rPr>
          <w:t>Patrick et al., 2021</w:t>
        </w:r>
      </w:hyperlink>
      <w:r w:rsidRPr="00597CF4">
        <w:t xml:space="preserve">; </w:t>
      </w:r>
      <w:hyperlink w:anchor="ref-wilcox2017AsynchronyLocalCommunities">
        <w:r w:rsidR="00C1738A" w:rsidRPr="00597CF4">
          <w:rPr>
            <w:rStyle w:val="Hyperlink"/>
            <w:rFonts w:cstheme="minorBidi"/>
            <w:color w:val="000000" w:themeColor="text1"/>
          </w:rPr>
          <w:t>Wilcox et al., 2017</w:t>
        </w:r>
      </w:hyperlink>
      <w:r w:rsidRPr="00597CF4">
        <w:t>).</w:t>
      </w:r>
    </w:p>
    <w:p w14:paraId="5291556F" w14:textId="77777777" w:rsidR="00C1738A" w:rsidRDefault="00000000" w:rsidP="00597CF4">
      <w:pPr>
        <w:pStyle w:val="BodyText"/>
      </w:pPr>
      <w:r>
        <w:t>Disjunct populations of forest insects often fluctuate synchronously (</w:t>
      </w:r>
      <w:proofErr w:type="spellStart"/>
      <w:r>
        <w:fldChar w:fldCharType="begin"/>
      </w:r>
      <w:r>
        <w:instrText>HYPERLINK \l "ref-liebhold2012" \h</w:instrText>
      </w:r>
      <w:r>
        <w:fldChar w:fldCharType="separate"/>
      </w:r>
      <w:r>
        <w:rPr>
          <w:rStyle w:val="Hyperlink"/>
        </w:rPr>
        <w:t>Liebhold</w:t>
      </w:r>
      <w:proofErr w:type="spellEnd"/>
      <w:r>
        <w:rPr>
          <w:rStyle w:val="Hyperlink"/>
        </w:rPr>
        <w:t>, 2012</w:t>
      </w:r>
      <w:r>
        <w:fldChar w:fldCharType="end"/>
      </w:r>
      <w:r>
        <w:t>). For example, analyses of the spatial patterning of recent (ca. 1996-2011) WSB outbreaks in interior southern British Columbia revealed that 90% of patches newly infested by WSB were within 5 km of an existing patch (</w:t>
      </w:r>
      <w:hyperlink w:anchor="ref-senf2017MultiscaleAnalysisWestern">
        <w:r w:rsidR="00C1738A">
          <w:rPr>
            <w:rStyle w:val="Hyperlink"/>
          </w:rPr>
          <w:t>Senf et al., 2017</w:t>
        </w:r>
      </w:hyperlink>
      <w:r>
        <w:t>). While dispersal may explain spatiotemporal synchrony at fine scales, WSB populations may also fluctuate synchronously at subcontinental scales (</w:t>
      </w:r>
      <w:hyperlink w:anchor="ref-flower2016">
        <w:r w:rsidR="00C1738A">
          <w:rPr>
            <w:rStyle w:val="Hyperlink"/>
          </w:rPr>
          <w:t>Flower, 2016</w:t>
        </w:r>
      </w:hyperlink>
      <w:r>
        <w:t xml:space="preserve">). At least part of this pattern has been attributed to a </w:t>
      </w:r>
      <w:r>
        <w:rPr>
          <w:i/>
          <w:iCs/>
        </w:rPr>
        <w:t>“the Moran effect”</w:t>
      </w:r>
      <w:r>
        <w:t xml:space="preserve"> , where the dynamics of two disjunct populations with identical log-linear density dependence that respond in the same way to environmental variation fluctuate synchronously with broad-scale environmental variation (</w:t>
      </w:r>
      <w:hyperlink w:anchor="ref-moran1953StatisticalAnalsisCanadian">
        <w:r w:rsidR="00C1738A">
          <w:rPr>
            <w:rStyle w:val="Hyperlink"/>
          </w:rPr>
          <w:t>Moran, 1953</w:t>
        </w:r>
      </w:hyperlink>
      <w:r>
        <w:t>). Although for the WSB and Douglas-fir system, it is perhaps better described as a “</w:t>
      </w:r>
      <w:r>
        <w:rPr>
          <w:i/>
          <w:iCs/>
        </w:rPr>
        <w:t>generalized Moran effect”</w:t>
      </w:r>
      <w:r>
        <w:t xml:space="preserve"> , where spatial autocorrelation in exogenous environmental conditions leading to population synchrony (</w:t>
      </w:r>
      <w:hyperlink w:anchor="ref-engen2005GeneralizationsMoranEffect">
        <w:r w:rsidR="00C1738A">
          <w:rPr>
            <w:rStyle w:val="Hyperlink"/>
          </w:rPr>
          <w:t>Engen and Sæther, 2005</w:t>
        </w:r>
      </w:hyperlink>
      <w:r>
        <w:t xml:space="preserve">; </w:t>
      </w:r>
      <w:hyperlink w:anchor="ref-hansen2020MoranEffectRevisited">
        <w:r w:rsidR="00C1738A">
          <w:rPr>
            <w:rStyle w:val="Hyperlink"/>
          </w:rPr>
          <w:t>Hansen et al., 2020</w:t>
        </w:r>
      </w:hyperlink>
      <w:r>
        <w:t>). For the WSB, generalized Moran effects may occur if climate affects WSB population rates by altering insect survival or fecundity (</w:t>
      </w:r>
      <w:hyperlink w:anchor="ref-brookesWesternSpruceBudworm1987">
        <w:r w:rsidR="00C1738A">
          <w:rPr>
            <w:rStyle w:val="Hyperlink"/>
          </w:rPr>
          <w:t>Brookes et al., 1987</w:t>
        </w:r>
      </w:hyperlink>
      <w:r>
        <w:t xml:space="preserve">; </w:t>
      </w:r>
      <w:hyperlink w:anchor="ref-swetnam1993">
        <w:r w:rsidR="00C1738A">
          <w:rPr>
            <w:rStyle w:val="Hyperlink"/>
          </w:rPr>
          <w:t>Swetnam and Lynch, 1993</w:t>
        </w:r>
      </w:hyperlink>
      <w:r>
        <w:t>) and/or if synchronized stand development across landscapes affects forage quantity and quality (</w:t>
      </w:r>
      <w:hyperlink w:anchor="ref-brookesWesternSpruceBudworm1987">
        <w:r w:rsidR="00C1738A">
          <w:rPr>
            <w:rStyle w:val="Hyperlink"/>
          </w:rPr>
          <w:t>Brookes et al., 1987</w:t>
        </w:r>
      </w:hyperlink>
      <w:r>
        <w:t xml:space="preserve">; </w:t>
      </w:r>
      <w:hyperlink w:anchor="ref-hadleyStandResponseWestern1993">
        <w:r w:rsidR="00C1738A">
          <w:rPr>
            <w:rStyle w:val="Hyperlink"/>
          </w:rPr>
          <w:t>Hadley and Veblen, 1993</w:t>
        </w:r>
      </w:hyperlink>
      <w:r>
        <w:t xml:space="preserve">; </w:t>
      </w:r>
      <w:hyperlink w:anchor="ref-swetnam1993">
        <w:r w:rsidR="00C1738A">
          <w:rPr>
            <w:rStyle w:val="Hyperlink"/>
          </w:rPr>
          <w:t>Swetnam and Lynch, 1993</w:t>
        </w:r>
      </w:hyperlink>
      <w:r>
        <w:t>).</w:t>
      </w:r>
    </w:p>
    <w:p w14:paraId="2C875599" w14:textId="77777777" w:rsidR="00C1738A" w:rsidRDefault="00000000" w:rsidP="00597CF4">
      <w:pPr>
        <w:pStyle w:val="BodyText"/>
      </w:pPr>
      <w:r>
        <w:t>Outbreaks of WSB are most likely to occur in host-dominated multistoried stands that provide favorable microenvironments for egg development as well as feeding and downward dispersal of larvae (</w:t>
      </w:r>
      <w:hyperlink w:anchor="ref-wulf1987SiteStandCharacteristics">
        <w:r w:rsidR="00C1738A">
          <w:rPr>
            <w:rStyle w:val="Hyperlink"/>
          </w:rPr>
          <w:t>Wulf and Cates, 1987</w:t>
        </w:r>
      </w:hyperlink>
      <w:r>
        <w:t>). These stands are particularly susceptible when the surrounding landscape is also characterized by abundant hosts (</w:t>
      </w:r>
      <w:hyperlink w:anchor="ref-brookesWesternSpruceBudworm1987">
        <w:r w:rsidR="00C1738A">
          <w:rPr>
            <w:rStyle w:val="Hyperlink"/>
          </w:rPr>
          <w:t>Brookes et al., 1987</w:t>
        </w:r>
      </w:hyperlink>
      <w:r>
        <w:t xml:space="preserve">; </w:t>
      </w:r>
      <w:hyperlink w:anchor="ref-senf2017MultiscaleAnalysisWestern">
        <w:r w:rsidR="00C1738A">
          <w:rPr>
            <w:rStyle w:val="Hyperlink"/>
          </w:rPr>
          <w:t>Senf et al., 2017</w:t>
        </w:r>
      </w:hyperlink>
      <w:r>
        <w:t>). At the stand and landscape scale, patterns of host abundance and size reflect past disturbances and land-use history (</w:t>
      </w:r>
      <w:hyperlink w:anchor="ref-hadleyStandResponseWestern1993">
        <w:r w:rsidR="00C1738A">
          <w:rPr>
            <w:rStyle w:val="Hyperlink"/>
          </w:rPr>
          <w:t>Hadley and Veblen, 1993</w:t>
        </w:r>
      </w:hyperlink>
      <w:r>
        <w:t xml:space="preserve">; </w:t>
      </w:r>
      <w:hyperlink w:anchor="X6af38eeb64f61a0c366318340b9daf63e666521">
        <w:proofErr w:type="spellStart"/>
        <w:r w:rsidR="00C1738A">
          <w:rPr>
            <w:rStyle w:val="Hyperlink"/>
          </w:rPr>
          <w:t>Maclauchlan</w:t>
        </w:r>
        <w:proofErr w:type="spellEnd"/>
        <w:r w:rsidR="00C1738A">
          <w:rPr>
            <w:rStyle w:val="Hyperlink"/>
          </w:rPr>
          <w:t xml:space="preserve"> and Brooks, 2009</w:t>
        </w:r>
      </w:hyperlink>
      <w:r>
        <w:t xml:space="preserve">). Notably, the forcible displacement of native peoples by Euro-American settlers and the ensuing changes in land management practices altered forest </w:t>
      </w:r>
      <w:r>
        <w:lastRenderedPageBreak/>
        <w:t>composition, structure, and disturbance regimes across much of the Western US (</w:t>
      </w:r>
      <w:hyperlink w:anchor="Xa8e7b4496a2b14799f3080f3ed2c3fc6e02c2a8">
        <w:r w:rsidR="00C1738A">
          <w:rPr>
            <w:rStyle w:val="Hyperlink"/>
          </w:rPr>
          <w:t>Hessburg et al., 2019</w:t>
        </w:r>
      </w:hyperlink>
      <w:r>
        <w:t>). Early Euro-American settlers often heavily logged forests near settlements and ignited fires (</w:t>
      </w:r>
      <w:hyperlink w:anchor="ref-veblen1991ColoradoFrontRange">
        <w:r w:rsidR="00C1738A">
          <w:rPr>
            <w:rStyle w:val="Hyperlink"/>
          </w:rPr>
          <w:t>Veblen and Lorenz, 1991</w:t>
        </w:r>
      </w:hyperlink>
      <w:r>
        <w:t>). Selective harvesting of large trees and severe wildfires can reduce host abundance and quality, thereby limiting the susceptibility of stands to outbreaks in the near-term (</w:t>
      </w:r>
      <w:hyperlink w:anchor="ref-hadleyStandResponseWestern1993">
        <w:r w:rsidR="00C1738A">
          <w:rPr>
            <w:rStyle w:val="Hyperlink"/>
          </w:rPr>
          <w:t>Hadley and Veblen, 1993</w:t>
        </w:r>
      </w:hyperlink>
      <w:r>
        <w:t xml:space="preserve">; </w:t>
      </w:r>
      <w:hyperlink w:anchor="ref-howe2024BudwormsBeetlesWildfire">
        <w:r w:rsidR="00C1738A">
          <w:rPr>
            <w:rStyle w:val="Hyperlink"/>
          </w:rPr>
          <w:t>Howe et al., 2024</w:t>
        </w:r>
      </w:hyperlink>
      <w:r>
        <w:t xml:space="preserve">; </w:t>
      </w:r>
      <w:hyperlink w:anchor="ref-swetnam1993">
        <w:r w:rsidR="00C1738A">
          <w:rPr>
            <w:rStyle w:val="Hyperlink"/>
          </w:rPr>
          <w:t>Swetnam and Lynch, 1993</w:t>
        </w:r>
      </w:hyperlink>
      <w:r>
        <w:t>). While initially logged and burned stands may be less susceptible to WSB outbreaks, after several decades stands may again become susceptible to WSB outbreaks as trees regenerate and grow, eventually developing into multistoried structures (</w:t>
      </w:r>
      <w:hyperlink w:anchor="ref-hadleyStandResponseWestern1993">
        <w:r w:rsidR="00C1738A">
          <w:rPr>
            <w:rStyle w:val="Hyperlink"/>
          </w:rPr>
          <w:t>Hadley and Veblen, 1993</w:t>
        </w:r>
      </w:hyperlink>
      <w:r>
        <w:t xml:space="preserve">; </w:t>
      </w:r>
      <w:hyperlink w:anchor="ref-swetnam1993">
        <w:r w:rsidR="00C1738A">
          <w:rPr>
            <w:rStyle w:val="Hyperlink"/>
          </w:rPr>
          <w:t>Swetnam and Lynch, 1993</w:t>
        </w:r>
      </w:hyperlink>
      <w:r>
        <w:t>). Collectively, Euro-American land-use practices have been hypothesized to make stands more susceptible to WSB outbreaks and lead to increases in the severity and synchrony of WSB outbreaks (</w:t>
      </w:r>
      <w:hyperlink w:anchor="ref-swetnam1989">
        <w:r w:rsidR="00C1738A">
          <w:rPr>
            <w:rStyle w:val="Hyperlink"/>
          </w:rPr>
          <w:t>Swetnam and Lynch, 1989</w:t>
        </w:r>
      </w:hyperlink>
      <w:r>
        <w:t>). However, prior research has found mixed support for this effect (</w:t>
      </w:r>
      <w:hyperlink w:anchor="ref-alfaroPeriodicityWesternSpruce2014">
        <w:r w:rsidR="00C1738A">
          <w:rPr>
            <w:rStyle w:val="Hyperlink"/>
          </w:rPr>
          <w:t>Alfaro et al., 2014</w:t>
        </w:r>
      </w:hyperlink>
      <w:r>
        <w:t xml:space="preserve">; </w:t>
      </w:r>
      <w:hyperlink w:anchor="Xd7af862198f6827620bf67c34344277c6d9b2ea">
        <w:r w:rsidR="00C1738A">
          <w:rPr>
            <w:rStyle w:val="Hyperlink"/>
          </w:rPr>
          <w:t>Ellis and Flower, 2017a</w:t>
        </w:r>
      </w:hyperlink>
      <w:r>
        <w:t xml:space="preserve">; </w:t>
      </w:r>
      <w:hyperlink w:anchor="ref-flower2014">
        <w:r w:rsidR="00C1738A">
          <w:rPr>
            <w:rStyle w:val="Hyperlink"/>
          </w:rPr>
          <w:t>Flower et al., 2014</w:t>
        </w:r>
      </w:hyperlink>
      <w:r>
        <w:t xml:space="preserve">; </w:t>
      </w:r>
      <w:hyperlink w:anchor="ref-hadleyStandResponseWestern1993">
        <w:r w:rsidR="00C1738A">
          <w:rPr>
            <w:rStyle w:val="Hyperlink"/>
          </w:rPr>
          <w:t>Hadley and Veblen, 1993</w:t>
        </w:r>
      </w:hyperlink>
      <w:r>
        <w:t xml:space="preserve">; </w:t>
      </w:r>
      <w:hyperlink w:anchor="X4e36991cd0640877d9d4abdf77193e4d82669ec">
        <w:r w:rsidR="00C1738A">
          <w:rPr>
            <w:rStyle w:val="Hyperlink"/>
          </w:rPr>
          <w:t>Ryerson et al., 2003</w:t>
        </w:r>
      </w:hyperlink>
      <w:r>
        <w:t xml:space="preserve">; </w:t>
      </w:r>
      <w:hyperlink w:anchor="ref-swetnam1993">
        <w:r w:rsidR="00C1738A">
          <w:rPr>
            <w:rStyle w:val="Hyperlink"/>
          </w:rPr>
          <w:t>Swetnam and Lynch, 1993</w:t>
        </w:r>
      </w:hyperlink>
      <w:r>
        <w:t>).</w:t>
      </w:r>
    </w:p>
    <w:p w14:paraId="5EEBA9FE" w14:textId="77777777" w:rsidR="00C1738A" w:rsidRDefault="00000000" w:rsidP="00597CF4">
      <w:pPr>
        <w:pStyle w:val="BodyText"/>
      </w:pPr>
      <w:r>
        <w:t>Given susceptible stand conditions, interannual variability in drought severity may synchronize irruptions of folivorous insect populations (</w:t>
      </w:r>
      <w:proofErr w:type="spellStart"/>
      <w:r>
        <w:fldChar w:fldCharType="begin"/>
      </w:r>
      <w:r>
        <w:instrText>HYPERLINK \l "ref-gely2020HowHerbivorousInsects" \h</w:instrText>
      </w:r>
      <w:r>
        <w:fldChar w:fldCharType="separate"/>
      </w:r>
      <w:r>
        <w:rPr>
          <w:rStyle w:val="Hyperlink"/>
        </w:rPr>
        <w:t>Gely</w:t>
      </w:r>
      <w:proofErr w:type="spellEnd"/>
      <w:r>
        <w:rPr>
          <w:rStyle w:val="Hyperlink"/>
        </w:rPr>
        <w:t xml:space="preserve"> et al., 2020</w:t>
      </w:r>
      <w:r>
        <w:fldChar w:fldCharType="end"/>
      </w:r>
      <w:r>
        <w:t>). For instance, droughts may increase available foliar nitrogen content, thereby triggering population irruptions (</w:t>
      </w:r>
      <w:r>
        <w:rPr>
          <w:i/>
          <w:iCs/>
        </w:rPr>
        <w:t>plant stress hypothesis</w:t>
      </w:r>
      <w:r>
        <w:t>) (</w:t>
      </w:r>
      <w:hyperlink w:anchor="X82b5ec8416d78e33a29a762521c2a692b01ddf5">
        <w:r w:rsidR="00C1738A">
          <w:rPr>
            <w:rStyle w:val="Hyperlink"/>
          </w:rPr>
          <w:t>White, 1984</w:t>
        </w:r>
      </w:hyperlink>
      <w:r>
        <w:t>). Alternatively, insect population growth rates may increase in response to periods of above average moisture that increase forage digestibility and availability (</w:t>
      </w:r>
      <w:r>
        <w:rPr>
          <w:i/>
          <w:iCs/>
        </w:rPr>
        <w:t>plant vigor hypothesis</w:t>
      </w:r>
      <w:r>
        <w:t>) (</w:t>
      </w:r>
      <w:hyperlink w:anchor="ref-price1991PlantVigorHypothesis">
        <w:r w:rsidR="00C1738A">
          <w:rPr>
            <w:rStyle w:val="Hyperlink"/>
          </w:rPr>
          <w:t>Price 1991</w:t>
        </w:r>
      </w:hyperlink>
      <w:r>
        <w:t>). For the WSB-Douglas fir system, outbreak occurrence has been linked with both periods of drought and above average moisture availability (</w:t>
      </w:r>
      <w:hyperlink w:anchor="ref-flower2014">
        <w:r w:rsidR="00C1738A">
          <w:rPr>
            <w:rStyle w:val="Hyperlink"/>
          </w:rPr>
          <w:t>Flower et al., 2014</w:t>
        </w:r>
      </w:hyperlink>
      <w:r>
        <w:t xml:space="preserve">; </w:t>
      </w:r>
      <w:hyperlink w:anchor="ref-swetnam1993">
        <w:r w:rsidR="00C1738A">
          <w:rPr>
            <w:rStyle w:val="Hyperlink"/>
          </w:rPr>
          <w:t>Swetnam and Lynch, 1993</w:t>
        </w:r>
      </w:hyperlink>
      <w:r>
        <w:t>). This apparent contradiction may arise for several reasons. First, tree resource partitioning may respond non-linearly to drought. For instance, carbon allocation to defenses is expected to be greatest at moderate drought severity because fewer carbohydrates are used for growth, leaving more resources available for the production of defense compounds (</w:t>
      </w:r>
      <w:r>
        <w:rPr>
          <w:i/>
          <w:iCs/>
        </w:rPr>
        <w:t>growth-differentiation balance hypothesis)</w:t>
      </w:r>
      <w:r>
        <w:t xml:space="preserve"> (</w:t>
      </w:r>
      <w:hyperlink w:anchor="ref-herms1992DilemmaPlantsGrow">
        <w:r w:rsidR="00C1738A">
          <w:rPr>
            <w:rStyle w:val="Hyperlink"/>
          </w:rPr>
          <w:t xml:space="preserve">Herms and Mattson, </w:t>
        </w:r>
        <w:r w:rsidR="00C1738A">
          <w:rPr>
            <w:rStyle w:val="Hyperlink"/>
          </w:rPr>
          <w:lastRenderedPageBreak/>
          <w:t>1992</w:t>
        </w:r>
      </w:hyperlink>
      <w:r>
        <w:t>). Further, multi-year drought events may have particularly large effects because trees often rely on carbon fixed in prior years (</w:t>
      </w:r>
      <w:hyperlink w:anchor="ref-gao2018DynamicResponsesTreering">
        <w:r w:rsidR="00C1738A">
          <w:rPr>
            <w:rStyle w:val="Hyperlink"/>
          </w:rPr>
          <w:t>Gao et al., 2018</w:t>
        </w:r>
      </w:hyperlink>
      <w:r>
        <w:t xml:space="preserve">; </w:t>
      </w:r>
      <w:hyperlink w:anchor="ref-kannenberg2019DroughtLegaciesAre">
        <w:r w:rsidR="00C1738A">
          <w:rPr>
            <w:rStyle w:val="Hyperlink"/>
          </w:rPr>
          <w:t>Kannenberg et al., 2019</w:t>
        </w:r>
      </w:hyperlink>
      <w:r>
        <w:t xml:space="preserve">; </w:t>
      </w:r>
      <w:hyperlink w:anchor="ref-lv2022ProlongedDroughtDuration">
        <w:proofErr w:type="spellStart"/>
        <w:r w:rsidR="00C1738A">
          <w:rPr>
            <w:rStyle w:val="Hyperlink"/>
          </w:rPr>
          <w:t>Lv</w:t>
        </w:r>
        <w:proofErr w:type="spellEnd"/>
        <w:r w:rsidR="00C1738A">
          <w:rPr>
            <w:rStyle w:val="Hyperlink"/>
          </w:rPr>
          <w:t xml:space="preserve"> et al., 2022</w:t>
        </w:r>
      </w:hyperlink>
      <w:r>
        <w:t>). Finally, drought events that are followed by increased moisture availability may be the most favorable to outbreak if drought increases forage quality thereby triggering outbreak initiation, but above average moisture availability sustains forage production necessary for sustaining high population levels (</w:t>
      </w:r>
      <w:r>
        <w:rPr>
          <w:i/>
          <w:iCs/>
        </w:rPr>
        <w:t>pulsed stress hypothesis</w:t>
      </w:r>
      <w:r>
        <w:t>) (</w:t>
      </w:r>
      <w:hyperlink w:anchor="ref-flower2014">
        <w:r w:rsidR="00C1738A">
          <w:rPr>
            <w:rStyle w:val="Hyperlink"/>
          </w:rPr>
          <w:t>Flower et al., 2014</w:t>
        </w:r>
      </w:hyperlink>
      <w:r>
        <w:t xml:space="preserve">; </w:t>
      </w:r>
      <w:hyperlink w:anchor="ref-huberty2004PlantWaterStress">
        <w:r w:rsidR="00C1738A">
          <w:rPr>
            <w:rStyle w:val="Hyperlink"/>
          </w:rPr>
          <w:t>Huberty and Denno, 2004</w:t>
        </w:r>
      </w:hyperlink>
      <w:r>
        <w:t>).</w:t>
      </w:r>
    </w:p>
    <w:p w14:paraId="11E56632" w14:textId="77777777" w:rsidR="00C1738A" w:rsidRDefault="00000000" w:rsidP="00597CF4">
      <w:pPr>
        <w:pStyle w:val="BodyText"/>
      </w:pPr>
      <w:r>
        <w:t>Once WSB populations have irrupted, they may persist at high levels for several years but eventually collapse (</w:t>
      </w:r>
      <w:hyperlink w:anchor="ref-brookesWesternSpruceBudworm1987">
        <w:r w:rsidR="00C1738A">
          <w:rPr>
            <w:rStyle w:val="Hyperlink"/>
          </w:rPr>
          <w:t>Brookes et al., 1987</w:t>
        </w:r>
      </w:hyperlink>
      <w:r>
        <w:t>). Several factors have been suggested to drive outbreak cessation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xml:space="preserve">). As WSB populations grow, populations of parasitoids and pathogens of the WSB often increase, although this response is lagged and </w:t>
      </w:r>
      <w:proofErr w:type="gramStart"/>
      <w:r>
        <w:t>density-dependent</w:t>
      </w:r>
      <w:proofErr w:type="gramEnd"/>
      <w:r>
        <w:t>. While increases in natural enemies have been suggested as a key driver of outbreak collapse (</w:t>
      </w:r>
      <w:hyperlink w:anchor="ref-campbell1987PopulationDynamics">
        <w:r w:rsidR="00C1738A">
          <w:rPr>
            <w:rStyle w:val="Hyperlink"/>
          </w:rPr>
          <w:t>Campbell, 1987</w:t>
        </w:r>
      </w:hyperlink>
      <w:r>
        <w:t xml:space="preserve">; </w:t>
      </w:r>
      <w:hyperlink w:anchor="ref-royama1984">
        <w:r w:rsidR="00C1738A">
          <w:rPr>
            <w:rStyle w:val="Hyperlink"/>
          </w:rPr>
          <w:t>Royama, 1984</w:t>
        </w:r>
      </w:hyperlink>
      <w:r>
        <w:t>), recent research has documented outbreak cessation in stands without elevated populations of natural enemies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Increasing WSB populations can also lead to foliage depletion, thereby decreasing the survival rates of WSBs because dispersing larvae cannot find suitable forage (</w:t>
      </w:r>
      <w:hyperlink w:anchor="ref-nealis2009RiskDispersalWestern">
        <w:r w:rsidR="00C1738A">
          <w:rPr>
            <w:rStyle w:val="Hyperlink"/>
          </w:rPr>
          <w:t xml:space="preserve">Nealis and </w:t>
        </w:r>
        <w:proofErr w:type="spellStart"/>
        <w:r w:rsidR="00C1738A">
          <w:rPr>
            <w:rStyle w:val="Hyperlink"/>
          </w:rPr>
          <w:t>Régnière</w:t>
        </w:r>
        <w:proofErr w:type="spellEnd"/>
        <w:r w:rsidR="00C1738A">
          <w:rPr>
            <w:rStyle w:val="Hyperlink"/>
          </w:rPr>
          <w:t>, 2009</w:t>
        </w:r>
      </w:hyperlink>
      <w:r>
        <w:t xml:space="preserve">;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Warm and dry conditions may deplete the glycogen stores that WSB larvae initially feed upon and decrease forage production, collectively increasing WSB mortality rates(</w:t>
      </w:r>
      <w:hyperlink w:anchor="ref-nealis2016WhyWesternSpruce">
        <w:r w:rsidR="00C1738A">
          <w:rPr>
            <w:rStyle w:val="Hyperlink"/>
          </w:rPr>
          <w:t xml:space="preserve">Nealis and </w:t>
        </w:r>
        <w:proofErr w:type="spellStart"/>
        <w:r w:rsidR="00C1738A">
          <w:rPr>
            <w:rStyle w:val="Hyperlink"/>
          </w:rPr>
          <w:t>Régnière</w:t>
        </w:r>
        <w:proofErr w:type="spellEnd"/>
        <w:r w:rsidR="00C1738A">
          <w:rPr>
            <w:rStyle w:val="Hyperlink"/>
          </w:rPr>
          <w:t>, 2016</w:t>
        </w:r>
      </w:hyperlink>
      <w:r>
        <w:t xml:space="preserve">;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xml:space="preserve">; </w:t>
      </w:r>
      <w:hyperlink w:anchor="ref-senf2017MultiscaleAnalysisWestern">
        <w:r w:rsidR="00C1738A">
          <w:rPr>
            <w:rStyle w:val="Hyperlink"/>
          </w:rPr>
          <w:t>Senf et al., 2017</w:t>
        </w:r>
      </w:hyperlink>
      <w:r>
        <w:t xml:space="preserve">; </w:t>
      </w:r>
      <w:hyperlink w:anchor="ref-senf2016UsingLandsatAssess">
        <w:r w:rsidR="00C1738A">
          <w:rPr>
            <w:rStyle w:val="Hyperlink"/>
          </w:rPr>
          <w:t>Senf et al., 2016</w:t>
        </w:r>
      </w:hyperlink>
      <w:r>
        <w:t>).</w:t>
      </w:r>
    </w:p>
    <w:p w14:paraId="288E3560" w14:textId="77777777" w:rsidR="00C1738A" w:rsidRDefault="00000000" w:rsidP="00597CF4">
      <w:pPr>
        <w:pStyle w:val="BodyText"/>
      </w:pPr>
      <w:r>
        <w:t>This study relies upon a multiproxy approach to reconstruct periods of past WSB outbreak across central to northern Colorado. We combine tree-ring records and geospatial data to produce a multi-centennial record, necessary for understanding the dynamics of WSB outbreaks (</w:t>
      </w:r>
      <w:hyperlink w:anchor="ref-swetnam1989">
        <w:r w:rsidR="00C1738A">
          <w:rPr>
            <w:rStyle w:val="Hyperlink"/>
          </w:rPr>
          <w:t>Swetnam and Lynch, 1989</w:t>
        </w:r>
      </w:hyperlink>
      <w:r>
        <w:t xml:space="preserve">). We use this record to quantify: (1) temporal synchrony in outbreak history, (2) differences in the dynamics </w:t>
      </w:r>
      <w:r>
        <w:lastRenderedPageBreak/>
        <w:t>of WSB outbreaks before and after Euro-American colonization, and (3) the association between climate and outbreak initiation and cessation.</w:t>
      </w:r>
    </w:p>
    <w:p w14:paraId="72A279F7" w14:textId="77777777" w:rsidR="00C1738A" w:rsidRDefault="00000000" w:rsidP="00597CF4">
      <w:pPr>
        <w:pStyle w:val="Heading1"/>
      </w:pPr>
      <w:bookmarkStart w:id="4" w:name="materials-and-methods"/>
      <w:bookmarkEnd w:id="3"/>
      <w:r>
        <w:t>Materials and Methods</w:t>
      </w:r>
    </w:p>
    <w:p w14:paraId="5E2DED9E" w14:textId="77777777" w:rsidR="00C1738A" w:rsidRDefault="00000000" w:rsidP="00597CF4">
      <w:pPr>
        <w:pStyle w:val="Heading2"/>
      </w:pPr>
      <w:bookmarkStart w:id="5" w:name="study-area"/>
      <w:r>
        <w:t>Study area</w:t>
      </w:r>
    </w:p>
    <w:p w14:paraId="2301AE07" w14:textId="77777777" w:rsidR="00C1738A" w:rsidRDefault="00000000" w:rsidP="00597CF4">
      <w:pPr>
        <w:pStyle w:val="FirstParagraph"/>
      </w:pPr>
      <w:r>
        <w:t xml:space="preserve">The study area consists of forested areas in central to northern Colorado (39.1°N to 40.8°N latitude) where Douglas fir is commonly found (Fig. </w:t>
      </w:r>
      <w:hyperlink w:anchor="FigStudyArea">
        <w:r w:rsidR="00C1738A">
          <w:fldChar w:fldCharType="begin"/>
        </w:r>
        <w:r w:rsidR="00C1738A">
          <w:instrText xml:space="preserve"> REF FigStudyArea \h</w:instrText>
        </w:r>
        <w:r w:rsidR="00C1738A">
          <w:fldChar w:fldCharType="separate"/>
        </w:r>
        <w:r w:rsidR="00C1738A">
          <w:rPr>
            <w:b/>
            <w:noProof/>
          </w:rPr>
          <w:t>1</w:t>
        </w:r>
        <w:r w:rsidR="00C1738A">
          <w:fldChar w:fldCharType="end"/>
        </w:r>
      </w:hyperlink>
      <w:r>
        <w:t>). This zone extends from about 2100 to 2900 meters in elevation and includes areas both east and west of the Continental Divide. Typically, the study area experiences warm summers (1991-2020 mean July daily maximum temperature: 25.2°C), cold winters (1991-2020 mean January daily minimum temperature: -10.2°C), and moderate amounts of precipitation (1991-2020 mean total annual precipitation: 522 mm) (</w:t>
      </w:r>
      <w:hyperlink w:anchor="ref-prismclimategroup2021">
        <w:r w:rsidR="00C1738A">
          <w:rPr>
            <w:rStyle w:val="Hyperlink"/>
          </w:rPr>
          <w:t>PRISM Climate Group, 2021</w:t>
        </w:r>
      </w:hyperlink>
      <w:r>
        <w:t>).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 (</w:t>
      </w:r>
      <w:hyperlink w:anchor="ref-lukas2014ClimateChangeColorado">
        <w:r w:rsidR="00C1738A">
          <w:rPr>
            <w:rStyle w:val="Hyperlink"/>
          </w:rPr>
          <w:t>Lukas et al., 2014</w:t>
        </w:r>
      </w:hyperlink>
      <w:r>
        <w:t>). Summer precipitation patterns exhibit a distinct latitudinal gradient, where more southern locations often receive more precipitation due to the North American Monsoon system (</w:t>
      </w:r>
      <w:hyperlink w:anchor="ref-lukas2014ClimateChangeColorado">
        <w:r w:rsidR="00C1738A">
          <w:rPr>
            <w:rStyle w:val="Hyperlink"/>
          </w:rPr>
          <w:t>Lukas et al., 2014</w:t>
        </w:r>
      </w:hyperlink>
      <w:r>
        <w:t>).</w:t>
      </w:r>
    </w:p>
    <w:p w14:paraId="127DFE0A" w14:textId="77777777" w:rsidR="00C1738A" w:rsidRDefault="00000000" w:rsidP="00597CF4">
      <w:pPr>
        <w:pStyle w:val="BodyText"/>
      </w:pPr>
      <w:r>
        <w:t>Montane forests across the study area are dominated by ponderosa pine (</w:t>
      </w:r>
      <w:r>
        <w:rPr>
          <w:i/>
          <w:iCs/>
        </w:rPr>
        <w:t>Pinus ponderosa</w:t>
      </w:r>
      <w:r>
        <w:t>) and Douglas fir (</w:t>
      </w:r>
      <w:r>
        <w:rPr>
          <w:i/>
          <w:iCs/>
        </w:rPr>
        <w:t xml:space="preserve">Pseudotsuga </w:t>
      </w:r>
      <w:proofErr w:type="spellStart"/>
      <w:r>
        <w:rPr>
          <w:i/>
          <w:iCs/>
        </w:rPr>
        <w:t>menziesii</w:t>
      </w:r>
      <w:proofErr w:type="spellEnd"/>
      <w:r>
        <w:rPr>
          <w:i/>
          <w:iCs/>
        </w:rPr>
        <w:t>)</w:t>
      </w:r>
      <w:r>
        <w:t>, with lesser components of aspen (</w:t>
      </w:r>
      <w:r>
        <w:rPr>
          <w:i/>
          <w:iCs/>
        </w:rPr>
        <w:t>Populus tremuloides</w:t>
      </w:r>
      <w:r>
        <w:t>), lodgepole pine (</w:t>
      </w:r>
      <w:r>
        <w:rPr>
          <w:i/>
          <w:iCs/>
        </w:rPr>
        <w:t>Pinus contorta</w:t>
      </w:r>
      <w:r>
        <w:t>), and limber pine (</w:t>
      </w:r>
      <w:r>
        <w:rPr>
          <w:i/>
          <w:iCs/>
        </w:rPr>
        <w:t xml:space="preserve">Pinus </w:t>
      </w:r>
      <w:proofErr w:type="spellStart"/>
      <w:r>
        <w:rPr>
          <w:i/>
          <w:iCs/>
        </w:rPr>
        <w:t>flexilis</w:t>
      </w:r>
      <w:proofErr w:type="spellEnd"/>
      <w:r>
        <w:t>) (</w:t>
      </w:r>
      <w:hyperlink w:anchor="ref-veblen2005">
        <w:r w:rsidR="00C1738A">
          <w:rPr>
            <w:rStyle w:val="Hyperlink"/>
          </w:rPr>
          <w:t>Veblen and Donnegan, 2005</w:t>
        </w:r>
      </w:hyperlink>
      <w:r>
        <w:t>). Prior to Euro-American colonization, lower montane forests across the study area were characterized by frequent, low-severity fire, while higher elevation montane forests were characterized by a more variable fire regime (</w:t>
      </w:r>
      <w:hyperlink w:anchor="X6dd892ea2bf182e47770bba44f3a630cba57348">
        <w:r w:rsidR="00C1738A">
          <w:rPr>
            <w:rStyle w:val="Hyperlink"/>
          </w:rPr>
          <w:t>Sherriff and Veblen, 2007</w:t>
        </w:r>
      </w:hyperlink>
      <w:r>
        <w:t>).</w:t>
      </w:r>
    </w:p>
    <w:p w14:paraId="068781A7" w14:textId="77777777" w:rsidR="00C1738A" w:rsidRDefault="00000000">
      <w:pPr>
        <w:pStyle w:val="Figure"/>
        <w:jc w:val="center"/>
      </w:pPr>
      <w:r>
        <w:rPr>
          <w:noProof/>
        </w:rPr>
        <w:lastRenderedPageBreak/>
        <w:drawing>
          <wp:inline distT="0" distB="0" distL="0" distR="0" wp14:anchorId="41FE90AA" wp14:editId="5E00AF95">
            <wp:extent cx="3200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cstate="print"/>
                    <a:stretch>
                      <a:fillRect/>
                    </a:stretch>
                  </pic:blipFill>
                  <pic:spPr bwMode="auto">
                    <a:xfrm>
                      <a:off x="0" y="0"/>
                      <a:ext cx="44450" cy="57150"/>
                    </a:xfrm>
                    <a:prstGeom prst="rect">
                      <a:avLst/>
                    </a:prstGeom>
                    <a:noFill/>
                  </pic:spPr>
                </pic:pic>
              </a:graphicData>
            </a:graphic>
          </wp:inline>
        </w:drawing>
      </w:r>
    </w:p>
    <w:p w14:paraId="1785AA1A" w14:textId="77777777" w:rsidR="00C1738A" w:rsidRDefault="00000000">
      <w:pPr>
        <w:pStyle w:val="ImageCaption"/>
      </w:pPr>
      <w:r>
        <w:rPr>
          <w:b/>
        </w:rPr>
        <w:t xml:space="preserve">Figure </w:t>
      </w:r>
      <w:bookmarkStart w:id="6" w:name="FigStudyArea"/>
      <w:r>
        <w:rPr>
          <w:b/>
        </w:rPr>
        <w:fldChar w:fldCharType="begin"/>
      </w:r>
      <w:r>
        <w:rPr>
          <w:b/>
        </w:rPr>
        <w:instrText>SEQ fig \* Arabic</w:instrText>
      </w:r>
      <w:r>
        <w:rPr>
          <w:b/>
        </w:rPr>
        <w:fldChar w:fldCharType="separate"/>
      </w:r>
      <w:r w:rsidR="00597CF4">
        <w:rPr>
          <w:b/>
          <w:noProof/>
        </w:rPr>
        <w:t>1</w:t>
      </w:r>
      <w:r>
        <w:rPr>
          <w:b/>
        </w:rPr>
        <w:fldChar w:fldCharType="end"/>
      </w:r>
      <w:bookmarkEnd w:id="6"/>
      <w:r>
        <w:rPr>
          <w:b/>
        </w:rPr>
        <w:t xml:space="preserve">: </w:t>
      </w:r>
      <w:r>
        <w:t>The study area and WSB reconstruction (triangles) and non-host control (circles) sample sites. The green shading illustrates the distribution of Douglas fir. The inset map displays the study area’s location relative to the contiguous western United States.</w:t>
      </w:r>
    </w:p>
    <w:p w14:paraId="7DDB7764" w14:textId="77777777" w:rsidR="00C1738A" w:rsidRDefault="00000000" w:rsidP="00597CF4">
      <w:pPr>
        <w:pStyle w:val="Heading2"/>
      </w:pPr>
      <w:bookmarkStart w:id="7" w:name="data"/>
      <w:bookmarkEnd w:id="5"/>
      <w:r>
        <w:t>Data</w:t>
      </w:r>
    </w:p>
    <w:p w14:paraId="67803043" w14:textId="77777777" w:rsidR="00C1738A" w:rsidRDefault="00000000" w:rsidP="00597CF4">
      <w:pPr>
        <w:pStyle w:val="Heading3"/>
      </w:pPr>
      <w:bookmarkStart w:id="8" w:name="dendroecological-data"/>
      <w:r>
        <w:t>Dendroecological data</w:t>
      </w:r>
    </w:p>
    <w:p w14:paraId="3BC85AA0" w14:textId="77777777" w:rsidR="00C1738A" w:rsidRDefault="00000000" w:rsidP="00597CF4">
      <w:pPr>
        <w:pStyle w:val="FirstParagraph"/>
      </w:pPr>
      <w:r>
        <w:t>Ring-width data for reconstructing periods of WSB outbreak were collected from Douglas fir in the 1990s, but unpublished (Table S</w:t>
      </w:r>
      <w:hyperlink w:anchor="hostmeta">
        <w:r w:rsidR="00C1738A">
          <w:fldChar w:fldCharType="begin"/>
        </w:r>
        <w:r w:rsidR="00C1738A">
          <w:instrText xml:space="preserve"> REF hostmeta \h</w:instrText>
        </w:r>
        <w:r w:rsidR="00C1738A">
          <w:fldChar w:fldCharType="separate"/>
        </w:r>
        <w:r w:rsidR="00C1738A">
          <w:rPr>
            <w:b/>
            <w:noProof/>
          </w:rPr>
          <w:t>1</w:t>
        </w:r>
        <w:r w:rsidR="00C1738A">
          <w:fldChar w:fldCharType="end"/>
        </w:r>
      </w:hyperlink>
      <w:r>
        <w:t>). Sample sites were selected based on the availability of large, old Douglas fir and the absence of evidence of recent (i.e., since c. 1940)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 (</w:t>
      </w:r>
      <w:hyperlink w:anchor="ref-stokes1996">
        <w:r w:rsidR="00C1738A">
          <w:rPr>
            <w:rStyle w:val="Hyperlink"/>
          </w:rPr>
          <w:t>Stokes and Smiley, 1996</w:t>
        </w:r>
      </w:hyperlink>
      <w:r>
        <w:t xml:space="preserve">). Ring widths were then measured to a 0.01 mm </w:t>
      </w:r>
      <w:r>
        <w:lastRenderedPageBreak/>
        <w:t xml:space="preserve">precision using a </w:t>
      </w:r>
      <w:proofErr w:type="spellStart"/>
      <w:r>
        <w:t>Velmex</w:t>
      </w:r>
      <w:proofErr w:type="spellEnd"/>
      <w:r>
        <w:t xml:space="preserve"> </w:t>
      </w:r>
      <w:proofErr w:type="spellStart"/>
      <w:r>
        <w:t>UniSlide</w:t>
      </w:r>
      <w:proofErr w:type="spellEnd"/>
      <w:r>
        <w:t xml:space="preserve"> digital encoded traversing table paired with a standard light microscope. To ensure accurate dating, ring-width series were visually cross-dated using the maker year approach (</w:t>
      </w:r>
      <w:hyperlink w:anchor="ref-yamaguchi1991">
        <w:r w:rsidR="00C1738A">
          <w:rPr>
            <w:rStyle w:val="Hyperlink"/>
          </w:rPr>
          <w:t>Yamaguchi, 1991</w:t>
        </w:r>
      </w:hyperlink>
      <w:r>
        <w:t xml:space="preserve">). Cross-dating was then verified statistically using the </w:t>
      </w:r>
      <w:proofErr w:type="spellStart"/>
      <w:r>
        <w:rPr>
          <w:i/>
          <w:iCs/>
        </w:rPr>
        <w:t>dplR</w:t>
      </w:r>
      <w:proofErr w:type="spellEnd"/>
      <w:r>
        <w:t xml:space="preserve"> package (</w:t>
      </w:r>
      <w:hyperlink w:anchor="ref-bunn2024DplRDendrochronologyProgram">
        <w:r w:rsidR="00C1738A">
          <w:rPr>
            <w:rStyle w:val="Hyperlink"/>
          </w:rPr>
          <w:t>Bunn et al., 2024</w:t>
        </w:r>
      </w:hyperlink>
      <w:r>
        <w:t>) in R (</w:t>
      </w:r>
      <w:hyperlink w:anchor="ref-rcoreteam2022">
        <w:r w:rsidR="00C1738A">
          <w:rPr>
            <w:rStyle w:val="Hyperlink"/>
          </w:rPr>
          <w:t>R Core Team, 2022</w:t>
        </w:r>
      </w:hyperlink>
      <w:r>
        <w:t>).</w:t>
      </w:r>
    </w:p>
    <w:p w14:paraId="10496F44" w14:textId="77777777" w:rsidR="00C1738A" w:rsidRDefault="00000000" w:rsidP="00597CF4">
      <w:pPr>
        <w:pStyle w:val="Heading3"/>
      </w:pPr>
      <w:bookmarkStart w:id="9" w:name="geospatial-disturbance-data"/>
      <w:bookmarkEnd w:id="8"/>
      <w:r>
        <w:t>Geospatial disturbance data</w:t>
      </w:r>
    </w:p>
    <w:p w14:paraId="6C3E2D96" w14:textId="77777777" w:rsidR="00C1738A" w:rsidRDefault="00000000" w:rsidP="00597CF4">
      <w:pPr>
        <w:pStyle w:val="FirstParagraph"/>
      </w:pPr>
      <w:r>
        <w:t>To characterize recent history of WSB outbreaks across the study area, we acquired ADS data from the USFS (</w:t>
      </w:r>
      <w:hyperlink w:anchor="Xe07994a759a560b58250ecd1a6458592d9ea6d1">
        <w:r w:rsidR="00C1738A">
          <w:rPr>
            <w:rStyle w:val="Hyperlink"/>
          </w:rPr>
          <w:t>USFS and partners, 2020</w:t>
        </w:r>
      </w:hyperlink>
      <w:r>
        <w:t>).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1984-2023 period from the Monitoring Trends in Burn Severity Project (</w:t>
      </w:r>
      <w:hyperlink w:anchor="ref-mtbsprojectMTBSDataAccess2022">
        <w:r w:rsidR="00C1738A">
          <w:rPr>
            <w:rStyle w:val="Hyperlink"/>
          </w:rPr>
          <w:t>2022</w:t>
        </w:r>
      </w:hyperlink>
      <w:r>
        <w:t>). In the subsequent analyses of outbreaks with climate data, these recent fire history data allowed us to eliminate periods when stands would have been too young to be susceptible to WSB outbreak.</w:t>
      </w:r>
    </w:p>
    <w:p w14:paraId="2867C1F0" w14:textId="77777777" w:rsidR="00C1738A" w:rsidRDefault="00000000" w:rsidP="00597CF4">
      <w:pPr>
        <w:pStyle w:val="Heading3"/>
      </w:pPr>
      <w:bookmarkStart w:id="10" w:name="climate-data"/>
      <w:bookmarkEnd w:id="9"/>
      <w:r>
        <w:t>Climate data</w:t>
      </w:r>
    </w:p>
    <w:p w14:paraId="2F87E3FD" w14:textId="77777777" w:rsidR="00C1738A" w:rsidRDefault="00000000" w:rsidP="00597CF4">
      <w:pPr>
        <w:pStyle w:val="FirstParagraph"/>
      </w:pPr>
      <w:r>
        <w:t>To characterize temporal variation in drought severity, we obtained multi-century (i.e., AD 1600-2005) records of the self-calibrating Palmer Drought Severity Index (SC-PDSI) Palmer (</w:t>
      </w:r>
      <w:hyperlink w:anchor="ref-palmer1965">
        <w:r w:rsidR="00C1738A">
          <w:rPr>
            <w:rStyle w:val="Hyperlink"/>
          </w:rPr>
          <w:t>1965</w:t>
        </w:r>
      </w:hyperlink>
      <w:r>
        <w:t>) from the North American Drought Atlas (NADA), which provides tree-ring based reconstructions of June-August SC-PDSI on a 0.5° resolution grid (</w:t>
      </w:r>
      <w:hyperlink w:anchor="ref-cook2010">
        <w:r w:rsidR="00C1738A">
          <w:rPr>
            <w:rStyle w:val="Hyperlink"/>
          </w:rPr>
          <w:t>Cook et al., 2010</w:t>
        </w:r>
      </w:hyperlink>
      <w:r>
        <w:t>). While WSB population dynamics are also sensitive to climate conditions in winter, spring, and fall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xml:space="preserve">), June-August SC-PDSI is the only available multi-century and spatially-explicit reconstruction of interannual climate variability for the study area. Further it has been used in prior research to test hypotheses </w:t>
      </w:r>
      <w:proofErr w:type="gramStart"/>
      <w:r>
        <w:t>similar to</w:t>
      </w:r>
      <w:proofErr w:type="gramEnd"/>
      <w:r>
        <w:t xml:space="preserve"> those posed herein about the effects of drought on WSB outbreak dynamics (e.g., </w:t>
      </w:r>
      <w:hyperlink w:anchor="ref-flower2014">
        <w:r w:rsidR="00C1738A">
          <w:rPr>
            <w:rStyle w:val="Hyperlink"/>
          </w:rPr>
          <w:t>Flower et al., 2014</w:t>
        </w:r>
      </w:hyperlink>
      <w:r>
        <w:t>).</w:t>
      </w:r>
    </w:p>
    <w:p w14:paraId="0B42258C" w14:textId="77777777" w:rsidR="00C1738A" w:rsidRDefault="00000000" w:rsidP="00597CF4">
      <w:pPr>
        <w:pStyle w:val="BodyText"/>
      </w:pPr>
      <w:r>
        <w:lastRenderedPageBreak/>
        <w:t>Because the NADA reconstruction extends only to 2005, we also obtained gridded June-August SC-PDSI data from the West Wide Drought Tracker (</w:t>
      </w:r>
      <w:proofErr w:type="spellStart"/>
      <w:r>
        <w:fldChar w:fldCharType="begin"/>
      </w:r>
      <w:r>
        <w:instrText>HYPERLINK \l "ref-abatzoglouWestWideDrought2017" \h</w:instrText>
      </w:r>
      <w:r>
        <w:fldChar w:fldCharType="separate"/>
      </w:r>
      <w:r>
        <w:rPr>
          <w:rStyle w:val="Hyperlink"/>
        </w:rPr>
        <w:t>Abatzoglou</w:t>
      </w:r>
      <w:proofErr w:type="spellEnd"/>
      <w:r>
        <w:rPr>
          <w:rStyle w:val="Hyperlink"/>
        </w:rPr>
        <w:t xml:space="preserve"> et al., 2017</w:t>
      </w:r>
      <w:r>
        <w:fldChar w:fldCharType="end"/>
      </w:r>
      <w:r>
        <w:t>). This dataset is based on PRISM climate data (</w:t>
      </w:r>
      <w:hyperlink w:anchor="ref-prismclimategroup2021">
        <w:r w:rsidR="00C1738A">
          <w:rPr>
            <w:rStyle w:val="Hyperlink"/>
          </w:rPr>
          <w:t>PRISM Climate Group, 2021</w:t>
        </w:r>
      </w:hyperlink>
      <w:r>
        <w:t>), which characterizes monthly precipitation and temperature, among other variables, at a 4 km resolution for the period 1895-present. PRISM datasets are constructed using data from weather stations and a digital elevation model to adjust for the complex effects of topography on weather and climate (</w:t>
      </w:r>
      <w:hyperlink w:anchor="X7db0d6f7f890ec65277028525b93937036459d1">
        <w:r w:rsidR="00C1738A">
          <w:rPr>
            <w:rStyle w:val="Hyperlink"/>
          </w:rPr>
          <w:t>Daly et al., 2002</w:t>
        </w:r>
      </w:hyperlink>
      <w:r>
        <w:t>).</w:t>
      </w:r>
    </w:p>
    <w:p w14:paraId="03A72E06" w14:textId="77777777" w:rsidR="00C1738A" w:rsidRDefault="00000000" w:rsidP="00597CF4">
      <w:pPr>
        <w:pStyle w:val="BodyText"/>
      </w:pPr>
      <w:r>
        <w:t>For each site, we created time series of 1600-2005 SC-PDSI using the NADA product and 1981-2023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1981-2023 and the adjusted NADA dataset to represent values from 1600-1980 (</w:t>
      </w:r>
      <w:proofErr w:type="spellStart"/>
      <w:r>
        <w:fldChar w:fldCharType="begin"/>
      </w:r>
      <w:r>
        <w:instrText>HYPERLINK \l "X1ee8372f9b42854b51bfddc05c18c0d9a83cf4c" \h</w:instrText>
      </w:r>
      <w:r>
        <w:fldChar w:fldCharType="separate"/>
      </w:r>
      <w:r>
        <w:rPr>
          <w:rStyle w:val="Hyperlink"/>
        </w:rPr>
        <w:t>Schoennagel</w:t>
      </w:r>
      <w:proofErr w:type="spellEnd"/>
      <w:r>
        <w:rPr>
          <w:rStyle w:val="Hyperlink"/>
        </w:rPr>
        <w:t xml:space="preserve"> et al., 2007</w:t>
      </w:r>
      <w:r>
        <w:fldChar w:fldCharType="end"/>
      </w:r>
      <w:r>
        <w:t>).</w:t>
      </w:r>
    </w:p>
    <w:p w14:paraId="3F9D5E91" w14:textId="77777777" w:rsidR="00C1738A" w:rsidRDefault="00000000" w:rsidP="00597CF4">
      <w:pPr>
        <w:pStyle w:val="Heading2"/>
      </w:pPr>
      <w:bookmarkStart w:id="11" w:name="reconstructing-periods-of-past-outbreak"/>
      <w:bookmarkEnd w:id="7"/>
      <w:bookmarkEnd w:id="10"/>
      <w:r>
        <w:t>Reconstructing periods of past outbreak</w:t>
      </w:r>
    </w:p>
    <w:p w14:paraId="1341B7F8" w14:textId="77777777" w:rsidR="00C1738A" w:rsidRDefault="00000000" w:rsidP="00597CF4">
      <w:pPr>
        <w:pStyle w:val="Heading3"/>
      </w:pPr>
      <w:bookmarkStart w:id="12" w:name="dendroecological-approach"/>
      <w:r>
        <w:t>Dendroecological approach</w:t>
      </w:r>
    </w:p>
    <w:p w14:paraId="5B3B7005" w14:textId="77777777" w:rsidR="00C1738A" w:rsidRDefault="00000000" w:rsidP="00597CF4">
      <w:pPr>
        <w:pStyle w:val="FirstParagraph"/>
      </w:pPr>
      <w:r>
        <w:t>A common strategy for detecting periods of WSB outbreak from tree-ring data is to compare the radial growth of the host species, here Douglas-fir, with the radial growth of a non-host species (</w:t>
      </w:r>
      <w:hyperlink w:anchor="ref-swetnam1989">
        <w:r w:rsidR="00C1738A">
          <w:rPr>
            <w:rStyle w:val="Hyperlink"/>
          </w:rPr>
          <w:t>Swetnam and Lynch, 1989</w:t>
        </w:r>
      </w:hyperlink>
      <w:r>
        <w:t xml:space="preserve">). When the non-host species responds similarly to climate, host ring-width series can then be ‘corrected’ 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w:t>
      </w:r>
      <w:r>
        <w:lastRenderedPageBreak/>
        <w:t>respond negatively to periods of drought (</w:t>
      </w:r>
      <w:hyperlink w:anchor="ref-woodhouse2006">
        <w:r w:rsidR="00C1738A">
          <w:rPr>
            <w:rStyle w:val="Hyperlink"/>
          </w:rPr>
          <w:t>Woodhouse et al., 2006a</w:t>
        </w:r>
      </w:hyperlink>
      <w:r>
        <w:t>), allowing for this method to be applied here.</w:t>
      </w:r>
    </w:p>
    <w:p w14:paraId="1245623C" w14:textId="77777777" w:rsidR="00C1738A" w:rsidRDefault="00000000" w:rsidP="00597CF4">
      <w:pPr>
        <w:pStyle w:val="BodyText"/>
      </w:pPr>
      <w:r>
        <w:t>To follow this general approach, we first obtained all available ponderosa pine chronologies collected in the state of Colorado from the International Tree Ring Databank (ITRDB), as well as previously published chronologies from Veblen et al. (</w:t>
      </w:r>
      <w:hyperlink w:anchor="ref-veblen2000">
        <w:r w:rsidR="00C1738A">
          <w:rPr>
            <w:rStyle w:val="Hyperlink"/>
          </w:rPr>
          <w:t>2000</w:t>
        </w:r>
      </w:hyperlink>
      <w:r>
        <w:t>) (Table S</w:t>
      </w:r>
      <w:hyperlink w:anchor="nonhostmeta">
        <w:r w:rsidR="00C1738A">
          <w:fldChar w:fldCharType="begin"/>
        </w:r>
        <w:r w:rsidR="00C1738A">
          <w:instrText xml:space="preserve"> REF nonhostmeta \h</w:instrText>
        </w:r>
        <w:r w:rsidR="00C1738A">
          <w:fldChar w:fldCharType="separate"/>
        </w:r>
        <w:r w:rsidR="00C1738A">
          <w:rPr>
            <w:b/>
            <w:noProof/>
          </w:rPr>
          <w:t>2</w:t>
        </w:r>
        <w:r w:rsidR="00C1738A">
          <w:fldChar w:fldCharType="end"/>
        </w:r>
      </w:hyperlink>
      <w:r>
        <w:t>). We then matched each Douglas-fir site with three non-host chronologies by identifying all non-host chronologies that were within 150 km of the sample site. We further limited this subset to the ponderosa pine chronologies that were collected in the mid-1990s or later, to ensure our records could be linked with geospatial data.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 (</w:t>
      </w:r>
      <w:hyperlink w:anchor="ref-speer2010">
        <w:r w:rsidR="00C1738A">
          <w:rPr>
            <w:rStyle w:val="Hyperlink"/>
          </w:rPr>
          <w:t>Speer, 2010</w:t>
        </w:r>
      </w:hyperlink>
      <w:r>
        <w:t xml:space="preserve">). We then identified the three non-host chronologies that best correlated with each host chronology using pairwise Pearson correlation coefficients. All detrending and chronology building was performed using the </w:t>
      </w:r>
      <w:proofErr w:type="spellStart"/>
      <w:r>
        <w:rPr>
          <w:i/>
          <w:iCs/>
        </w:rPr>
        <w:t>dplR</w:t>
      </w:r>
      <w:proofErr w:type="spellEnd"/>
      <w:r>
        <w:t xml:space="preserve"> package (</w:t>
      </w:r>
      <w:hyperlink w:anchor="ref-bunn2008">
        <w:r w:rsidR="00C1738A">
          <w:rPr>
            <w:rStyle w:val="Hyperlink"/>
          </w:rPr>
          <w:t>Bunn, 2008</w:t>
        </w:r>
      </w:hyperlink>
      <w:r>
        <w:t>) in R (</w:t>
      </w:r>
      <w:hyperlink w:anchor="ref-rcoreteam2022">
        <w:r w:rsidR="00C1738A">
          <w:rPr>
            <w:rStyle w:val="Hyperlink"/>
          </w:rPr>
          <w:t>R Core Team, 2022</w:t>
        </w:r>
      </w:hyperlink>
      <w:r>
        <w:t>).</w:t>
      </w:r>
    </w:p>
    <w:p w14:paraId="0AD6594A" w14:textId="77777777" w:rsidR="00C1738A" w:rsidRDefault="00000000" w:rsidP="00597CF4">
      <w:pPr>
        <w:pStyle w:val="BodyText"/>
      </w:pPr>
      <w:r>
        <w:lastRenderedPageBreak/>
        <w:t>After identifying the three non-host sites that best represented interannual climate variability at each host site, we reprocessed the tree-ring data to better isolate the effects of WSB defoliation on radial growth. Because WSB outbreaks may persist for a decade or more (</w:t>
      </w:r>
      <w:hyperlink w:anchor="ref-flower2016">
        <w:r w:rsidR="00C1738A">
          <w:rPr>
            <w:rStyle w:val="Hyperlink"/>
          </w:rPr>
          <w:t>Flower, 2016</w:t>
        </w:r>
      </w:hyperlink>
      <w:r>
        <w:t xml:space="preserve">; </w:t>
      </w:r>
      <w:hyperlink w:anchor="ref-swetnam1993">
        <w:r w:rsidR="00C1738A">
          <w:rPr>
            <w:rStyle w:val="Hyperlink"/>
          </w:rPr>
          <w:t>Swetnam and Lynch, 1993</w:t>
        </w:r>
      </w:hyperlink>
      <w:r>
        <w:t>), we detrended both the host and non-host tree-ring data using a 100-year cubic smoothing spline to preserve variability at the interdecadal scale (</w:t>
      </w:r>
      <w:hyperlink w:anchor="ref-flower2014">
        <w:r w:rsidR="00C1738A">
          <w:rPr>
            <w:rStyle w:val="Hyperlink"/>
          </w:rPr>
          <w:t>Flower et al., 2014</w:t>
        </w:r>
      </w:hyperlink>
      <w:r>
        <w:t xml:space="preserve">; </w:t>
      </w:r>
      <w:hyperlink w:anchor="ref-swetnam1985">
        <w:r w:rsidR="00C1738A">
          <w:rPr>
            <w:rStyle w:val="Hyperlink"/>
          </w:rPr>
          <w:t>Swetnam, 1985</w:t>
        </w:r>
      </w:hyperlink>
      <w:r>
        <w:t>).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 (</w:t>
      </w:r>
      <w:hyperlink w:anchor="ref-flower2014">
        <w:r w:rsidR="00C1738A">
          <w:rPr>
            <w:rStyle w:val="Hyperlink"/>
          </w:rPr>
          <w:t>Flower et al., 2014</w:t>
        </w:r>
      </w:hyperlink>
      <w:r>
        <w:t>).</w:t>
      </w:r>
    </w:p>
    <w:p w14:paraId="5C2C15EB" w14:textId="77777777" w:rsidR="00C1738A" w:rsidRDefault="00000000" w:rsidP="00597CF4">
      <w:pPr>
        <w:pStyle w:val="BodyText"/>
      </w:pPr>
      <w:r>
        <w:t>To determine if individual trees experienced reductions in growth consistent with defoliation by WSB, we compared the detrended Douglas fir RWI with the control time series (</w:t>
      </w:r>
      <w:hyperlink w:anchor="ref-swetnam1985">
        <w:r w:rsidR="00C1738A">
          <w:rPr>
            <w:rStyle w:val="Hyperlink"/>
          </w:rPr>
          <w:t>Swetnam, 1985</w:t>
        </w:r>
      </w:hyperlink>
      <w:r>
        <w:t>). Specifically, we calculated the growth suppression index (GSI) using the following equation:</w:t>
      </w:r>
    </w:p>
    <w:p w14:paraId="2251AE64" w14:textId="77777777" w:rsidR="00C1738A" w:rsidRDefault="00000000" w:rsidP="00597CF4">
      <w:pPr>
        <w:pStyle w:val="BodyText"/>
      </w:pPr>
      <m:oMathPara>
        <m:oMath>
          <m:r>
            <w:rPr>
              <w:rFonts w:ascii="Cambria Math" w:hAnsi="Cambria Math"/>
            </w:rPr>
            <m:t>GS</m:t>
          </m:r>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ht</m:t>
              </m:r>
            </m:sub>
          </m:sSub>
          <m:r>
            <m:rPr>
              <m:sty m:val="p"/>
            </m:rPr>
            <w:rPr>
              <w:rFonts w:ascii="Cambria Math" w:hAnsi="Cambria Math"/>
            </w:rPr>
            <m:t>-</m:t>
          </m:r>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h</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n</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n</m:t>
                  </m:r>
                </m:sub>
              </m:sSub>
            </m:e>
          </m:d>
        </m:oMath>
      </m:oMathPara>
    </w:p>
    <w:p w14:paraId="329BF9E3" w14:textId="77777777" w:rsidR="00C1738A" w:rsidRDefault="00000000" w:rsidP="00597CF4">
      <w:pPr>
        <w:pStyle w:val="BodyText"/>
      </w:pPr>
      <w:r>
        <w:t xml:space="preserve">where </w:t>
      </w:r>
      <m:oMath>
        <m:sSub>
          <m:sSubPr>
            <m:ctrlPr>
              <w:rPr>
                <w:rFonts w:ascii="Cambria Math" w:hAnsi="Cambria Math"/>
              </w:rPr>
            </m:ctrlPr>
          </m:sSubPr>
          <m:e>
            <m:r>
              <w:rPr>
                <w:rFonts w:ascii="Cambria Math" w:hAnsi="Cambria Math"/>
              </w:rPr>
              <m:t>I</m:t>
            </m:r>
          </m:e>
          <m:sub>
            <m:r>
              <w:rPr>
                <w:rFonts w:ascii="Cambria Math" w:hAnsi="Cambria Math"/>
              </w:rPr>
              <m:t>ht</m:t>
            </m:r>
          </m:sub>
        </m:sSub>
      </m:oMath>
      <w:r>
        <w:t xml:space="preserve"> is the host RWI value for host tree </w:t>
      </w:r>
      <m:oMath>
        <m:r>
          <w:rPr>
            <w:rFonts w:ascii="Cambria Math" w:hAnsi="Cambria Math"/>
          </w:rPr>
          <m:t>h</m:t>
        </m:r>
      </m:oMath>
      <w:r>
        <w:t xml:space="preserve"> at year </w:t>
      </w:r>
      <m:oMath>
        <m:r>
          <w:rPr>
            <w:rFonts w:ascii="Cambria Math" w:hAnsi="Cambria Math"/>
          </w:rPr>
          <m:t>t</m:t>
        </m:r>
      </m:oMath>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the standard deviation of the RWI series for host tree </w:t>
      </w:r>
      <m:oMath>
        <m:r>
          <w:rPr>
            <w:rFonts w:ascii="Cambria Math" w:hAnsi="Cambria Math"/>
          </w:rPr>
          <m:t>h</m:t>
        </m:r>
      </m:oMath>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is the standard deviation of nonhost control series, </w:t>
      </w:r>
      <m:oMath>
        <m:sSub>
          <m:sSubPr>
            <m:ctrlPr>
              <w:rPr>
                <w:rFonts w:ascii="Cambria Math" w:hAnsi="Cambria Math"/>
              </w:rPr>
            </m:ctrlPr>
          </m:sSubPr>
          <m:e>
            <m:r>
              <w:rPr>
                <w:rFonts w:ascii="Cambria Math" w:hAnsi="Cambria Math"/>
              </w:rPr>
              <m:t>I</m:t>
            </m:r>
          </m:e>
          <m:sub>
            <m:r>
              <w:rPr>
                <w:rFonts w:ascii="Cambria Math" w:hAnsi="Cambria Math"/>
              </w:rPr>
              <m:t>nt</m:t>
            </m:r>
          </m:sub>
        </m:sSub>
      </m:oMath>
      <w:r>
        <w:t xml:space="preserve"> is the nonhost control series value for year </w:t>
      </w:r>
      <m:oMath>
        <m:r>
          <w:rPr>
            <w:rFonts w:ascii="Cambria Math" w:hAnsi="Cambria Math"/>
          </w:rPr>
          <m:t>t</m:t>
        </m:r>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n</m:t>
            </m:r>
          </m:sub>
        </m:sSub>
      </m:oMath>
      <w:r>
        <w:t xml:space="preserve"> 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 (</w:t>
      </w:r>
      <w:hyperlink w:anchor="ref-harvey2018">
        <w:r w:rsidR="00C1738A">
          <w:rPr>
            <w:rStyle w:val="Hyperlink"/>
          </w:rPr>
          <w:t>Harvey et al., 2018</w:t>
        </w:r>
      </w:hyperlink>
      <w:r>
        <w:t xml:space="preserve">; </w:t>
      </w:r>
      <w:hyperlink w:anchor="ref-swetnam1985">
        <w:r w:rsidR="00C1738A">
          <w:rPr>
            <w:rStyle w:val="Hyperlink"/>
          </w:rPr>
          <w:t>Swetnam, 1985</w:t>
        </w:r>
      </w:hyperlink>
      <w:r>
        <w:t>). We then defined stand-level periods of outbreak as periods where: (1) at least 40% of the host trees recorded a defoliation event for 4 or more years and (2) the sample depth was greater than 4 trees (</w:t>
      </w:r>
      <w:hyperlink w:anchor="ref-flower2014">
        <w:r w:rsidR="00C1738A">
          <w:rPr>
            <w:rStyle w:val="Hyperlink"/>
          </w:rPr>
          <w:t>Flower et al., 2014</w:t>
        </w:r>
      </w:hyperlink>
      <w:r>
        <w:t xml:space="preserve">). We performed the correction of host tree-ring series and determination of potential </w:t>
      </w:r>
      <w:r>
        <w:lastRenderedPageBreak/>
        <w:t>WSB defoliation events and outbreak events in R (</w:t>
      </w:r>
      <w:hyperlink w:anchor="ref-rcoreteam2022">
        <w:r w:rsidR="00C1738A">
          <w:rPr>
            <w:rStyle w:val="Hyperlink"/>
          </w:rPr>
          <w:t>R Core Team, 2022</w:t>
        </w:r>
      </w:hyperlink>
      <w:r>
        <w:t xml:space="preserve">) using the </w:t>
      </w:r>
      <w:proofErr w:type="spellStart"/>
      <w:r>
        <w:rPr>
          <w:i/>
          <w:iCs/>
        </w:rPr>
        <w:t>dfoliatR</w:t>
      </w:r>
      <w:proofErr w:type="spellEnd"/>
      <w:r>
        <w:t xml:space="preserve"> package (</w:t>
      </w:r>
      <w:hyperlink w:anchor="ref-guiterman2020">
        <w:r w:rsidR="00C1738A">
          <w:rPr>
            <w:rStyle w:val="Hyperlink"/>
          </w:rPr>
          <w:t>Guiterman et al., 2020</w:t>
        </w:r>
      </w:hyperlink>
      <w:r>
        <w:t>).</w:t>
      </w:r>
    </w:p>
    <w:p w14:paraId="24CE3EDA" w14:textId="77777777" w:rsidR="00C1738A" w:rsidRDefault="00000000" w:rsidP="00597CF4">
      <w:pPr>
        <w:pStyle w:val="Heading3"/>
      </w:pPr>
      <w:bookmarkStart w:id="13" w:name="combining-tree-ring-and-geospatial-data"/>
      <w:bookmarkEnd w:id="12"/>
      <w:r>
        <w:t>Combining tree-ring and geospatial data</w:t>
      </w:r>
    </w:p>
    <w:p w14:paraId="174DEC51" w14:textId="77777777" w:rsidR="00C1738A" w:rsidRDefault="00000000" w:rsidP="00597CF4">
      <w:pPr>
        <w:pStyle w:val="FirstParagraph"/>
      </w:pPr>
      <w:r>
        <w:t>We extended tree-ring records of WSB outbreak by spatially joining point data describing the location of sample sites with ADS data describing the annual extent of WSB outbreak for the 1996-2023 period. Additionally, we joined sample site location with data describing wildfire extent (</w:t>
      </w:r>
      <w:hyperlink w:anchor="ref-mtbsprojectMTBSDataAccess2022">
        <w:r w:rsidR="00C1738A">
          <w:rPr>
            <w:rStyle w:val="Hyperlink"/>
          </w:rPr>
          <w:t>MTBS Project, 2022</w:t>
        </w:r>
      </w:hyperlink>
      <w:r>
        <w:t>) and the extent of Douglas-fir beetle (</w:t>
      </w:r>
      <w:r>
        <w:rPr>
          <w:i/>
          <w:iCs/>
        </w:rPr>
        <w:t xml:space="preserve">Dendroctonus </w:t>
      </w:r>
      <w:proofErr w:type="spellStart"/>
      <w:r>
        <w:rPr>
          <w:i/>
          <w:iCs/>
        </w:rPr>
        <w:t>psuedotsugae</w:t>
      </w:r>
      <w:proofErr w:type="spellEnd"/>
      <w:r>
        <w:t>) outbreak, which both lead to mortality of Douglas fir and thereby may be limit the potential for outbreaks to occur. When sites were affected by either Douglas-fir beetle or fire, we truncated the record in the year prior to the disturbance.</w:t>
      </w:r>
    </w:p>
    <w:p w14:paraId="236F9EF8" w14:textId="77777777" w:rsidR="00C1738A" w:rsidRDefault="00000000" w:rsidP="00597CF4">
      <w:pPr>
        <w:pStyle w:val="Heading3"/>
      </w:pPr>
      <w:bookmarkStart w:id="14" w:name="X34f8bbfa1c65f482615df68f2da27fc44c7277a"/>
      <w:bookmarkEnd w:id="13"/>
      <w:r>
        <w:t>Defining periods of landscape-wide outbreak</w:t>
      </w:r>
    </w:p>
    <w:p w14:paraId="0C3244C6" w14:textId="77777777" w:rsidR="00C1738A" w:rsidRDefault="00000000" w:rsidP="00597CF4">
      <w:pPr>
        <w:pStyle w:val="FirstParagraph"/>
      </w:pPr>
      <w:r>
        <w:t>Finally, we used the composite record to define periods of landscape-wide outbreak, defined here as two or more consecutive years where at least one third of the sites simultaneously recorded a WSB outbreak. Given not all records extend as far back in time, we limited the landscape-wide record to the period where at least four sites were recording (1665-2023). We defined years of landscape-wide outbreak initiation in two ways, (1) the first year where at least one third of the sites were recording an outbreak and (2) the first year where any site was recording an outbreak coincided with a period of landscape-wide outbreak. We calculated cessation dates in the same manner.</w:t>
      </w:r>
    </w:p>
    <w:p w14:paraId="7F8507A3" w14:textId="77777777" w:rsidR="00C1738A" w:rsidRDefault="00000000" w:rsidP="00597CF4">
      <w:pPr>
        <w:pStyle w:val="Heading2"/>
      </w:pPr>
      <w:bookmarkStart w:id="15" w:name="quantifying-inter-site-synchrony"/>
      <w:bookmarkEnd w:id="11"/>
      <w:bookmarkEnd w:id="14"/>
      <w:r>
        <w:t>Quantifying inter-site synchrony</w:t>
      </w:r>
    </w:p>
    <w:p w14:paraId="2D8302C2" w14:textId="77777777" w:rsidR="00C1738A" w:rsidRDefault="00000000" w:rsidP="00597CF4">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w:t>
      </w:r>
      <w:r>
        <w:lastRenderedPageBreak/>
        <w:t>terms of rank (</w:t>
      </w:r>
      <w:hyperlink w:anchor="ref-kendall1970RankCorrelationMethods">
        <w:r w:rsidR="00C1738A">
          <w:rPr>
            <w:rStyle w:val="Hyperlink"/>
          </w:rPr>
          <w:t>Kendall, 1970</w:t>
        </w:r>
      </w:hyperlink>
      <w:r>
        <w:t>). Because Kendall’s W does not distinguish between asynchrony and synchrony, we also calculated the mean inter-site Spearman’s rank correlation (</w:t>
      </w:r>
      <w:proofErr w:type="spellStart"/>
      <w:r>
        <w:t>r</w:t>
      </w:r>
      <w:r>
        <w:rPr>
          <w:vertAlign w:val="subscript"/>
        </w:rPr>
        <w:t>s</w:t>
      </w:r>
      <w:proofErr w:type="spellEnd"/>
      <w:r>
        <w:t>), which is sensitive to sample size but indicates correlation direction (</w:t>
      </w:r>
      <w:hyperlink w:anchor="X21b2ecc1e0272d09484ab795650687cc4cd999b">
        <w:r w:rsidR="00C1738A">
          <w:rPr>
            <w:rStyle w:val="Hyperlink"/>
          </w:rPr>
          <w:t>Gouhier and Guichard, 2014</w:t>
        </w:r>
      </w:hyperlink>
      <w:r>
        <w:t xml:space="preserve">; </w:t>
      </w:r>
      <w:hyperlink w:anchor="ref-loreau2008SpeciesSynchronyIts">
        <w:proofErr w:type="spellStart"/>
        <w:r w:rsidR="00C1738A">
          <w:rPr>
            <w:rStyle w:val="Hyperlink"/>
          </w:rPr>
          <w:t>Loreau</w:t>
        </w:r>
        <w:proofErr w:type="spellEnd"/>
        <w:r w:rsidR="00C1738A">
          <w:rPr>
            <w:rStyle w:val="Hyperlink"/>
          </w:rPr>
          <w:t xml:space="preserve"> and </w:t>
        </w:r>
        <w:proofErr w:type="spellStart"/>
        <w:r w:rsidR="00C1738A">
          <w:rPr>
            <w:rStyle w:val="Hyperlink"/>
          </w:rPr>
          <w:t>Mazancourt</w:t>
        </w:r>
        <w:proofErr w:type="spellEnd"/>
        <w:r w:rsidR="00C1738A">
          <w:rPr>
            <w:rStyle w:val="Hyperlink"/>
          </w:rPr>
          <w:t>, 2008</w:t>
        </w:r>
      </w:hyperlink>
      <w:r>
        <w:t>). Additionally, we calculated concurrency (C), a measure of the proportion of peaks and troughs in agreement between two variables, which is useful for quantifying synchrony when the amplitude of two time series are uncorrelated but local maxima and minima co-occur (</w:t>
      </w:r>
      <w:hyperlink w:anchor="X21b2ecc1e0272d09484ab795650687cc4cd999b">
        <w:r w:rsidR="00C1738A">
          <w:rPr>
            <w:rStyle w:val="Hyperlink"/>
          </w:rPr>
          <w:t>Gouhier and Guichard, 2014</w:t>
        </w:r>
      </w:hyperlink>
      <w:r>
        <w:t>). For both approaches, we determined statistical significance using a bootstrap resampling approach with 1000 replications, where each column in the dataset was shifted a random amount thereby preserving the serial autocorrelation present but not the cross-correlation (</w:t>
      </w:r>
      <w:hyperlink w:anchor="ref-purvesFinescaleSpatialStructure2002">
        <w:r w:rsidR="00C1738A">
          <w:rPr>
            <w:rStyle w:val="Hyperlink"/>
          </w:rPr>
          <w:t>Purves and Law, 2002</w:t>
        </w:r>
      </w:hyperlink>
      <w:r>
        <w:t xml:space="preserve">). We performed these analyses using the </w:t>
      </w:r>
      <w:r>
        <w:rPr>
          <w:i/>
          <w:iCs/>
        </w:rPr>
        <w:t>synchrony</w:t>
      </w:r>
      <w:r>
        <w:t xml:space="preserve"> package (</w:t>
      </w:r>
      <w:hyperlink w:anchor="X21b2ecc1e0272d09484ab795650687cc4cd999b">
        <w:r w:rsidR="00C1738A">
          <w:rPr>
            <w:rStyle w:val="Hyperlink"/>
          </w:rPr>
          <w:t>Gouhier and Guichard, 2014</w:t>
        </w:r>
      </w:hyperlink>
      <w:r>
        <w:t>) in R (</w:t>
      </w:r>
      <w:hyperlink w:anchor="ref-rcoreteam2022">
        <w:r w:rsidR="00C1738A">
          <w:rPr>
            <w:rStyle w:val="Hyperlink"/>
          </w:rPr>
          <w:t>R Core Team, 2022</w:t>
        </w:r>
      </w:hyperlink>
      <w:r>
        <w:t>).</w:t>
      </w:r>
    </w:p>
    <w:p w14:paraId="160DA0C6" w14:textId="77777777" w:rsidR="00C1738A" w:rsidRDefault="00000000" w:rsidP="00597CF4">
      <w:pPr>
        <w:pStyle w:val="BodyText"/>
      </w:pPr>
      <w:r>
        <w:t>We then quantified the spatial scale at which WSB outbreak occurs synchronously using a spline correlogram (</w:t>
      </w:r>
      <w:hyperlink w:anchor="Xa25a0da32b67c9c2c929cd1fee4c26837a1e453">
        <w:r w:rsidR="00C1738A">
          <w:rPr>
            <w:rStyle w:val="Hyperlink"/>
          </w:rPr>
          <w:t>Bjørnstad and Falck, 2001</w:t>
        </w:r>
      </w:hyperlink>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 </w:t>
      </w:r>
      <w:proofErr w:type="spellStart"/>
      <w:r>
        <w:rPr>
          <w:i/>
          <w:iCs/>
        </w:rPr>
        <w:t>ncf</w:t>
      </w:r>
      <w:proofErr w:type="spellEnd"/>
      <w:r>
        <w:t xml:space="preserve"> package (</w:t>
      </w:r>
      <w:hyperlink w:anchor="ref-bjornstadNcfSpatialNonparametric2020">
        <w:r w:rsidR="00C1738A">
          <w:rPr>
            <w:rStyle w:val="Hyperlink"/>
          </w:rPr>
          <w:t>Bjørnstad, 2020</w:t>
        </w:r>
      </w:hyperlink>
      <w:r>
        <w:t>) in R (</w:t>
      </w:r>
      <w:hyperlink w:anchor="ref-rcoreteam2022">
        <w:r w:rsidR="00C1738A">
          <w:rPr>
            <w:rStyle w:val="Hyperlink"/>
          </w:rPr>
          <w:t>R Core Team, 2022</w:t>
        </w:r>
      </w:hyperlink>
      <w:r>
        <w:t>).</w:t>
      </w:r>
    </w:p>
    <w:p w14:paraId="23DD8CAB" w14:textId="77777777" w:rsidR="00C1738A" w:rsidRDefault="00000000" w:rsidP="00597CF4">
      <w:pPr>
        <w:pStyle w:val="BodyText"/>
      </w:pPr>
      <w:r>
        <w:t>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 (</w:t>
      </w:r>
      <w:hyperlink w:anchor="ref-gavinWeakClimaticControl2006">
        <w:r w:rsidR="00C1738A">
          <w:rPr>
            <w:rStyle w:val="Hyperlink"/>
          </w:rPr>
          <w:t>Gavin et al., 2006</w:t>
        </w:r>
      </w:hyperlink>
      <w:r>
        <w:t>). Multivariate Event Analyses were performed using the R implementation of the K1D software (</w:t>
      </w:r>
      <w:hyperlink w:anchor="ref-gavin2010K1DAnalysisSynchrony">
        <w:r w:rsidR="00C1738A">
          <w:rPr>
            <w:rStyle w:val="Hyperlink"/>
          </w:rPr>
          <w:t>Gavin, 2010</w:t>
        </w:r>
      </w:hyperlink>
      <w:r>
        <w:t>).</w:t>
      </w:r>
    </w:p>
    <w:p w14:paraId="056A5391" w14:textId="77777777" w:rsidR="00C1738A" w:rsidRDefault="00000000" w:rsidP="00597CF4">
      <w:pPr>
        <w:pStyle w:val="Heading2"/>
      </w:pPr>
      <w:bookmarkStart w:id="16" w:name="X883d1cd8a4e0d0b6909471e21c7e12beeef988f"/>
      <w:bookmarkEnd w:id="15"/>
      <w:r>
        <w:t>Quantifying outbreak dynamics for periods before and after Euro-American colonization</w:t>
      </w:r>
    </w:p>
    <w:p w14:paraId="5B14942D" w14:textId="77777777" w:rsidR="00C1738A" w:rsidRDefault="00000000" w:rsidP="00597CF4">
      <w:pPr>
        <w:pStyle w:val="FirstParagraph"/>
      </w:pPr>
      <w:r>
        <w:lastRenderedPageBreak/>
        <w:t>To determine if changes in land-use practices associated with Euro-American colonization influenced the dynamics of WSB outbreaks, we split our dataset into two 100-yr periods: (1) 1750-1849 and (2) 1890-1989, or approximately the centuries before and after intensive colonization, respectively (</w:t>
      </w:r>
      <w:hyperlink w:anchor="ref-huckaby2001LandscapePatternsMontane">
        <w:r w:rsidR="00C1738A">
          <w:rPr>
            <w:rStyle w:val="Hyperlink"/>
          </w:rPr>
          <w:t>Huckaby et al., 2001</w:t>
        </w:r>
      </w:hyperlink>
      <w:r>
        <w:t xml:space="preserve">; </w:t>
      </w:r>
      <w:hyperlink w:anchor="ref-veblen2000">
        <w:r w:rsidR="00C1738A">
          <w:rPr>
            <w:rStyle w:val="Hyperlink"/>
          </w:rPr>
          <w:t>Veblen et al., 2000</w:t>
        </w:r>
      </w:hyperlink>
      <w:r>
        <w:t xml:space="preserve">; </w:t>
      </w:r>
      <w:hyperlink w:anchor="ref-veblen2005">
        <w:r w:rsidR="00C1738A">
          <w:rPr>
            <w:rStyle w:val="Hyperlink"/>
          </w:rPr>
          <w:t>Veblen and Donnegan, 2005</w:t>
        </w:r>
      </w:hyperlink>
      <w:r>
        <w:t xml:space="preserve">). We then compared site-level outbreak characteristics during these two periods. Specifically, we compared: (1) the probability of an outbreak occurring in an individual year, (2) outbreak duration, (3) the length the period of quiescence between outbreaks, (4) the minimum normalized GSI, and (5) the percent of trees defoliated. Using a generalized linear mixed effect modeling approach, we then modeled the response variable as a function of a categorically variable describing the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w:t>
      </w:r>
      <w:proofErr w:type="gramStart"/>
      <w:r>
        <w:t>in a given year</w:t>
      </w:r>
      <w:proofErr w:type="gramEnd"/>
      <w:r>
        <w:t xml:space="preserve">, we additionally included a first order autocorrelation structure to account for temporal autocorrelation. Models were fit using Penalized Quasi-Likelihood using the packages </w:t>
      </w:r>
      <w:r>
        <w:rPr>
          <w:i/>
          <w:iCs/>
        </w:rPr>
        <w:t>MASS</w:t>
      </w:r>
      <w:r>
        <w:t xml:space="preserve"> (</w:t>
      </w:r>
      <w:hyperlink w:anchor="ref-MASS">
        <w:r w:rsidR="00C1738A">
          <w:rPr>
            <w:rStyle w:val="Hyperlink"/>
          </w:rPr>
          <w:t>Venables and Ripley, 2002</w:t>
        </w:r>
      </w:hyperlink>
      <w:r>
        <w:t xml:space="preserve">) and </w:t>
      </w:r>
      <w:proofErr w:type="spellStart"/>
      <w:r>
        <w:rPr>
          <w:i/>
          <w:iCs/>
        </w:rPr>
        <w:t>nlme</w:t>
      </w:r>
      <w:proofErr w:type="spellEnd"/>
      <w:r>
        <w:t xml:space="preserve"> (</w:t>
      </w:r>
      <w:hyperlink w:anchor="ref-nlme">
        <w:r w:rsidR="00C1738A">
          <w:rPr>
            <w:rStyle w:val="Hyperlink"/>
          </w:rPr>
          <w:t>Pinheiro et al., 2022</w:t>
        </w:r>
      </w:hyperlink>
      <w:r>
        <w:t>) in R (</w:t>
      </w:r>
      <w:hyperlink w:anchor="ref-rcoreteam2022">
        <w:r w:rsidR="00C1738A">
          <w:rPr>
            <w:rStyle w:val="Hyperlink"/>
          </w:rPr>
          <w:t>R Core Team, 2022</w:t>
        </w:r>
      </w:hyperlink>
      <w:r>
        <w:t>). Additionally, we used spline correlograms to determine if the Euro-American colonization affected the spatial scale at which WSB outbreak occurs synchronously. We performed separate analyses for the 1750-1849 and 1890-1989 periods and visually compared the results.</w:t>
      </w:r>
    </w:p>
    <w:p w14:paraId="3F856C85" w14:textId="77777777" w:rsidR="00C1738A" w:rsidRDefault="00000000" w:rsidP="00597CF4">
      <w:pPr>
        <w:pStyle w:val="Heading2"/>
      </w:pPr>
      <w:bookmarkStart w:id="17" w:name="Xee45ae4d23fa6452e44f5fd470e555a51608f65"/>
      <w:bookmarkEnd w:id="16"/>
      <w:r>
        <w:t>Quantifying associations between climate and outbreaks of the WSB</w:t>
      </w:r>
    </w:p>
    <w:p w14:paraId="7CA112EA" w14:textId="77777777" w:rsidR="00C1738A" w:rsidRDefault="00000000" w:rsidP="00597CF4">
      <w:pPr>
        <w:pStyle w:val="FirstParagraph"/>
      </w:pPr>
      <w:r>
        <w:t>To quantify the association between climate variability and WSB outbreak, we used several approaches. First, we used a t-test to determine if SC-PDSI differed during periods of landscape-wide outbreak and non-outbreak periods. To quantify SC-PDSI across the study area, we averaged SC-PDSI across all sites. Given the assumption of independence of observations and strong serial autocorrelation in the SC-PDSI time series, we first fit an autoregressive model. We used AIC (</w:t>
      </w:r>
      <w:hyperlink w:anchor="ref-akaikeInformationTheoryExtension1973">
        <w:r w:rsidR="00C1738A">
          <w:rPr>
            <w:rStyle w:val="Hyperlink"/>
          </w:rPr>
          <w:t>Akaike, 1973</w:t>
        </w:r>
      </w:hyperlink>
      <w:r>
        <w:t xml:space="preserve">) to select the level of </w:t>
      </w:r>
      <w:r>
        <w:lastRenderedPageBreak/>
        <w:t xml:space="preserve">complexity. We fit the autoregressive model using the R package </w:t>
      </w:r>
      <w:r>
        <w:rPr>
          <w:i/>
          <w:iCs/>
        </w:rPr>
        <w:t>stats</w:t>
      </w:r>
      <w:r>
        <w:t xml:space="preserve"> (</w:t>
      </w:r>
      <w:hyperlink w:anchor="ref-rcoreteam2022">
        <w:r w:rsidR="00C1738A">
          <w:rPr>
            <w:rStyle w:val="Hyperlink"/>
          </w:rPr>
          <w:t>R Core Team, 2022</w:t>
        </w:r>
      </w:hyperlink>
      <w:r>
        <w:t>) and then performed the t-test on the model residuals.</w:t>
      </w:r>
    </w:p>
    <w:p w14:paraId="4A5F8ABA" w14:textId="77777777" w:rsidR="00C1738A" w:rsidRDefault="00000000" w:rsidP="00597CF4">
      <w:pPr>
        <w:pStyle w:val="BodyText"/>
      </w:pPr>
      <w:r>
        <w:t>We then used superposed epoch analysis (</w:t>
      </w:r>
      <w:hyperlink w:anchor="ref-loughAssessmentPossibleEffects1987">
        <w:r w:rsidR="00C1738A">
          <w:rPr>
            <w:rStyle w:val="Hyperlink"/>
          </w:rPr>
          <w:t>Lough and Fritts, 1987</w:t>
        </w:r>
      </w:hyperlink>
      <w:r>
        <w:t>) to compare SC-PDSI values in years with and without outbreak initiations and cessations (</w:t>
      </w:r>
      <w:hyperlink w:anchor="ref-flower2014">
        <w:r w:rsidR="00C1738A">
          <w:rPr>
            <w:rStyle w:val="Hyperlink"/>
          </w:rPr>
          <w:t>Flower et al., 2014</w:t>
        </w:r>
      </w:hyperlink>
      <w:r>
        <w:t xml:space="preserve">; </w:t>
      </w:r>
      <w:hyperlink w:anchor="ref-harvey2018">
        <w:r w:rsidR="00C1738A">
          <w:rPr>
            <w:rStyle w:val="Hyperlink"/>
          </w:rPr>
          <w:t>Harvey et al., 2018</w:t>
        </w:r>
      </w:hyperlink>
      <w:r>
        <w:t>). Specifically, we used superposed epoch analysis to calculate the departure from the mean SC-PDSI for the years prior to a year of outbreak initiation (cessation), during the year of outbreak initiation (cessation), and following the year of outbreak initiation (cessation) using an 11-year window centered on the event year (</w:t>
      </w:r>
      <w:hyperlink w:anchor="Xd7af862198f6827620bf67c34344277c6d9b2ea">
        <w:r w:rsidR="00C1738A">
          <w:rPr>
            <w:rStyle w:val="Hyperlink"/>
          </w:rPr>
          <w:t>Ellis and Flower, 2017a</w:t>
        </w:r>
      </w:hyperlink>
      <w:r>
        <w:t xml:space="preserve">; </w:t>
      </w:r>
      <w:hyperlink w:anchor="ref-flower2014">
        <w:r w:rsidR="00C1738A">
          <w:rPr>
            <w:rStyle w:val="Hyperlink"/>
          </w:rPr>
          <w:t>Flower et al., 2014</w:t>
        </w:r>
      </w:hyperlink>
      <w:r>
        <w:t>).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still be too small if autocorrelation is strong (i.e., &gt; 60%) over lags greater than the analysis interval. Thus prior to running our superposed epoch analyses, we confirmed that minimal (r&lt;0.05) serial correlation existed at lags greater than 5 years. We superposed epoch analyses using the dates of outbreak initiation and cessation from the landscape-wide outbreak record and the study area mean SC-PDSI time series. Superposed epoch analysis was performed in R (</w:t>
      </w:r>
      <w:hyperlink w:anchor="ref-rcoreteam2022">
        <w:r w:rsidR="00C1738A">
          <w:rPr>
            <w:rStyle w:val="Hyperlink"/>
          </w:rPr>
          <w:t>R Core Team, 2022</w:t>
        </w:r>
      </w:hyperlink>
      <w:r>
        <w:t xml:space="preserve">) using the </w:t>
      </w:r>
      <w:proofErr w:type="spellStart"/>
      <w:r>
        <w:rPr>
          <w:i/>
          <w:iCs/>
        </w:rPr>
        <w:t>dplR</w:t>
      </w:r>
      <w:proofErr w:type="spellEnd"/>
      <w:r>
        <w:t xml:space="preserve"> package (</w:t>
      </w:r>
      <w:hyperlink w:anchor="ref-bunn2024DplRDendrochronologyProgram">
        <w:r w:rsidR="00C1738A">
          <w:rPr>
            <w:rStyle w:val="Hyperlink"/>
          </w:rPr>
          <w:t>Bunn et al., 2024</w:t>
        </w:r>
      </w:hyperlink>
      <w:r>
        <w:t xml:space="preserve">; </w:t>
      </w:r>
      <w:hyperlink w:anchor="ref-bunn2008">
        <w:r w:rsidR="00C1738A">
          <w:rPr>
            <w:rStyle w:val="Hyperlink"/>
          </w:rPr>
          <w:t>Bunn, 2008</w:t>
        </w:r>
      </w:hyperlink>
      <w:r>
        <w:t>).</w:t>
      </w:r>
    </w:p>
    <w:p w14:paraId="4E59D4D1" w14:textId="77777777" w:rsidR="00C1738A" w:rsidRDefault="00000000" w:rsidP="00597CF4">
      <w:pPr>
        <w:pStyle w:val="BodyText"/>
      </w:pPr>
      <w:r>
        <w:t>To determine if the duration or magnitude of multi-year drought (i.e., negative SC-PDSI) or wet periods (i.e., positive SC-PDSI) were important in driving the initiation or cessation of WSB outbreaks, we used site-level records of SC-PDSI and outbreak. First, we classified time series of SC-PDSI as periods of either drought or above average moisture availability, which we defined as consecutive years with SC-PDSI values below -1.0 (drought) or above 1.0 (wet periods) following Palmer (</w:t>
      </w:r>
      <w:hyperlink w:anchor="ref-palmer1965">
        <w:r w:rsidR="00C1738A">
          <w:rPr>
            <w:rStyle w:val="Hyperlink"/>
          </w:rPr>
          <w:t>Palmer, 1965</w:t>
        </w:r>
      </w:hyperlink>
      <w:r>
        <w:t xml:space="preserve">). For each of these periods, we then calculated the duration and mean and extreme SC-PDSI value (i.e., greatest </w:t>
      </w:r>
      <w:r>
        <w:lastRenderedPageBreak/>
        <w:t xml:space="preserve">PDSI value for wet periods and lowest SC-PDSI value for droughts). We then used a generalized linear mixed effect modeling approach to test if the duration, mean, or extreme value of droughts or wet periods differed between periods of outbreak and no outbreak. Specifically, we examined: (1) droughts concurrent with or immediately preceding outbreak initiation, (2) wet periods concurrent/following with outbreak initiation, (3) wet periods concurrent with or immediately preceding outbreak cessation, and (4) drought periods concurrent or following outbreak cessation. In all models we included a fixed effect of the presence/absence of an outbreak event and random effect of site identity, which was included to account for multiple outbreak events within each site. We then tested the statistical hypothesis that the intercept differed from zero using a Wald test. Models were fit using Penalized Quasi-Likelihood using the </w:t>
      </w:r>
      <w:r>
        <w:rPr>
          <w:i/>
          <w:iCs/>
        </w:rPr>
        <w:t>MASS</w:t>
      </w:r>
      <w:r>
        <w:t xml:space="preserve"> package (</w:t>
      </w:r>
      <w:hyperlink w:anchor="ref-MASS">
        <w:r w:rsidR="00C1738A">
          <w:rPr>
            <w:rStyle w:val="Hyperlink"/>
          </w:rPr>
          <w:t>Venables and Ripley, 2002</w:t>
        </w:r>
      </w:hyperlink>
      <w:r>
        <w:t>) in R (</w:t>
      </w:r>
      <w:hyperlink w:anchor="ref-rcoreteam2022">
        <w:r w:rsidR="00C1738A">
          <w:rPr>
            <w:rStyle w:val="Hyperlink"/>
          </w:rPr>
          <w:t>R Core Team, 2022</w:t>
        </w:r>
      </w:hyperlink>
      <w:r>
        <w:t>).</w:t>
      </w:r>
    </w:p>
    <w:p w14:paraId="67462832" w14:textId="77777777" w:rsidR="00C1738A" w:rsidRDefault="00000000" w:rsidP="00597CF4">
      <w:pPr>
        <w:pStyle w:val="Heading1"/>
      </w:pPr>
      <w:bookmarkStart w:id="18" w:name="results"/>
      <w:bookmarkEnd w:id="4"/>
      <w:bookmarkEnd w:id="17"/>
      <w:r>
        <w:t>Results</w:t>
      </w:r>
    </w:p>
    <w:p w14:paraId="0980F0F1" w14:textId="77777777" w:rsidR="00C1738A" w:rsidRDefault="00000000" w:rsidP="00597CF4">
      <w:pPr>
        <w:pStyle w:val="Heading2"/>
      </w:pPr>
      <w:bookmarkStart w:id="19" w:name="outbreak-reconstruction-summary"/>
      <w:r>
        <w:t>Outbreak reconstruction summary</w:t>
      </w:r>
    </w:p>
    <w:p w14:paraId="32A7FACF" w14:textId="77777777" w:rsidR="00C1738A" w:rsidRDefault="00000000" w:rsidP="00597CF4">
      <w:pPr>
        <w:pStyle w:val="FirstParagraph"/>
      </w:pPr>
      <w:r>
        <w:t xml:space="preserve">Using the combined tree-ring and geospatial datasets, we were able to reconstruct a total of 70 WSB outbreaks at 12 sites (Table </w:t>
      </w:r>
      <w:hyperlink w:anchor="outbreaksummary">
        <w:r w:rsidR="00C1738A">
          <w:fldChar w:fldCharType="begin"/>
        </w:r>
        <w:r w:rsidR="00C1738A">
          <w:instrText xml:space="preserve"> REF outbreaksummary \h</w:instrText>
        </w:r>
        <w:r w:rsidR="00C1738A">
          <w:fldChar w:fldCharType="separate"/>
        </w:r>
        <w:r w:rsidR="00C1738A">
          <w:rPr>
            <w:b/>
            <w:noProof/>
          </w:rPr>
          <w:t>1</w:t>
        </w:r>
        <w:r w:rsidR="00C1738A">
          <w:fldChar w:fldCharType="end"/>
        </w:r>
      </w:hyperlink>
      <w:r>
        <w:t xml:space="preserve">; Figure </w:t>
      </w:r>
      <w:hyperlink w:anchor="FigOutbreakHistory">
        <w:r w:rsidR="00C1738A">
          <w:fldChar w:fldCharType="begin"/>
        </w:r>
        <w:r w:rsidR="00C1738A">
          <w:instrText xml:space="preserve"> REF FigOutbreakHistory \h</w:instrText>
        </w:r>
        <w:r w:rsidR="00C1738A">
          <w:fldChar w:fldCharType="separate"/>
        </w:r>
        <w:r w:rsidR="00C1738A">
          <w:rPr>
            <w:b/>
            <w:noProof/>
          </w:rPr>
          <w:t>2</w:t>
        </w:r>
        <w:r w:rsidR="00C1738A">
          <w:fldChar w:fldCharType="end"/>
        </w:r>
      </w:hyperlink>
      <w:r>
        <w:t>). The 12 outbreak reconstruction histories have starting dates between 1622 and 1835 and ending dates between 2002 and 2023.</w:t>
      </w:r>
    </w:p>
    <w:p w14:paraId="714DA5F2" w14:textId="77777777" w:rsidR="00C1738A" w:rsidRDefault="00C1738A">
      <w:pPr>
        <w:sectPr w:rsidR="00C1738A" w:rsidSect="00597CF4">
          <w:footerReference w:type="even" r:id="rId8"/>
          <w:footerReference w:type="default" r:id="rId9"/>
          <w:type w:val="continuous"/>
          <w:pgSz w:w="12240" w:h="15840"/>
          <w:pgMar w:top="1440" w:right="1080" w:bottom="1440" w:left="1080" w:header="720" w:footer="720" w:gutter="0"/>
          <w:lnNumType w:countBy="1" w:restart="continuous"/>
          <w:cols w:space="720"/>
          <w:docGrid w:linePitch="326"/>
        </w:sectPr>
      </w:pPr>
    </w:p>
    <w:p w14:paraId="4AE43172" w14:textId="77777777" w:rsidR="00C1738A" w:rsidRDefault="00000000">
      <w:pPr>
        <w:pStyle w:val="TableCaption"/>
        <w:keepNext/>
        <w:jc w:val="center"/>
      </w:pPr>
      <w:r>
        <w:rPr>
          <w:b/>
        </w:rPr>
        <w:lastRenderedPageBreak/>
        <w:t xml:space="preserve">Table </w:t>
      </w:r>
      <w:bookmarkStart w:id="20" w:name="outbreaksummary"/>
      <w:r>
        <w:rPr>
          <w:b/>
        </w:rPr>
        <w:fldChar w:fldCharType="begin"/>
      </w:r>
      <w:r>
        <w:rPr>
          <w:b/>
        </w:rPr>
        <w:instrText>SEQ tab \* Arabic</w:instrText>
      </w:r>
      <w:r>
        <w:rPr>
          <w:b/>
        </w:rPr>
        <w:fldChar w:fldCharType="separate"/>
      </w:r>
      <w:r w:rsidR="00597CF4">
        <w:rPr>
          <w:b/>
          <w:noProof/>
        </w:rPr>
        <w:t>1</w:t>
      </w:r>
      <w:r>
        <w:rPr>
          <w:b/>
        </w:rPr>
        <w:fldChar w:fldCharType="end"/>
      </w:r>
      <w:bookmarkEnd w:id="20"/>
      <w:r>
        <w:rPr>
          <w:b/>
        </w:rPr>
        <w:t xml:space="preserve">: </w:t>
      </w:r>
      <w:r>
        <w:t>Summary of site-level outbreak characteristics. The tree-ring record length includes years with at least four trees recording growth. The quiescent period length was calculated as the number of years between outbreak cessation and the initiation of a subsequent outbreak. Actual evapotranspiration (AET) and climatic water deficit (CWD) data are from Rodman et al. (2020) and represent mean annual values from 1981-2010.</w:t>
      </w:r>
    </w:p>
    <w:tbl>
      <w:tblPr>
        <w:tblW w:w="5000" w:type="pct"/>
        <w:jc w:val="center"/>
        <w:tblLook w:val="0420" w:firstRow="1" w:lastRow="0" w:firstColumn="0" w:lastColumn="0" w:noHBand="0" w:noVBand="1"/>
      </w:tblPr>
      <w:tblGrid>
        <w:gridCol w:w="1948"/>
        <w:gridCol w:w="1129"/>
        <w:gridCol w:w="1129"/>
        <w:gridCol w:w="1213"/>
        <w:gridCol w:w="1249"/>
        <w:gridCol w:w="1368"/>
        <w:gridCol w:w="1239"/>
        <w:gridCol w:w="1378"/>
        <w:gridCol w:w="1134"/>
        <w:gridCol w:w="1402"/>
        <w:gridCol w:w="1489"/>
      </w:tblGrid>
      <w:tr w:rsidR="00C1738A" w14:paraId="7356DF5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49B7E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Site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2122C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Lat. </w:t>
            </w:r>
            <w:r>
              <w:rPr>
                <w:rFonts w:eastAsia="Helvetica" w:hAnsi="Helvetica" w:cs="Helvetica"/>
                <w:color w:val="000000"/>
              </w:rP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405B4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Lon. </w:t>
            </w:r>
            <w:r>
              <w:rPr>
                <w:rFonts w:eastAsia="Helvetica" w:hAnsi="Helvetica" w:cs="Helvetica"/>
                <w:color w:val="000000"/>
              </w:rP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F9851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AET</w:t>
            </w:r>
            <w:r>
              <w:rPr>
                <w:rFonts w:eastAsia="Helvetica" w:hAnsi="Helvetica" w:cs="Helvetica"/>
                <w:color w:val="000000"/>
              </w:rPr>
              <w:br/>
              <w:t>(mm/year)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745B5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CWD</w:t>
            </w:r>
            <w:r>
              <w:rPr>
                <w:rFonts w:eastAsia="Helvetica" w:hAnsi="Helvetica" w:cs="Helvetica"/>
                <w:color w:val="000000"/>
              </w:rPr>
              <w:br/>
              <w:t>(mm/year)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1D0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Combined</w:t>
            </w:r>
            <w:r>
              <w:rPr>
                <w:rFonts w:eastAsia="Helvetica" w:hAnsi="Helvetica" w:cs="Helvetica"/>
                <w:color w:val="000000"/>
              </w:rPr>
              <w:br/>
              <w:t>record length</w:t>
            </w:r>
            <w:r>
              <w:rPr>
                <w:rFonts w:eastAsia="Helvetica" w:hAnsi="Helvetica" w:cs="Helvetica"/>
                <w:color w:val="000000"/>
              </w:rP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0CB1A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Tree-ring</w:t>
            </w:r>
            <w:r>
              <w:rPr>
                <w:rFonts w:eastAsia="Helvetica" w:hAnsi="Helvetica" w:cs="Helvetica"/>
                <w:color w:val="000000"/>
              </w:rPr>
              <w:br/>
              <w:t>record length</w:t>
            </w:r>
            <w:r>
              <w:rPr>
                <w:rFonts w:eastAsia="Helvetica" w:hAnsi="Helvetica" w:cs="Helvetica"/>
                <w:color w:val="000000"/>
              </w:rP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07803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Geospatial</w:t>
            </w:r>
            <w:r>
              <w:rPr>
                <w:rFonts w:eastAsia="Helvetica" w:hAnsi="Helvetica" w:cs="Helvetica"/>
                <w:color w:val="000000"/>
              </w:rPr>
              <w:br/>
              <w:t>record length</w:t>
            </w:r>
            <w:r>
              <w:rPr>
                <w:rFonts w:eastAsia="Helvetica" w:hAnsi="Helvetica" w:cs="Helvetica"/>
                <w:color w:val="000000"/>
              </w:rP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CDF10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No. of</w:t>
            </w:r>
            <w:r>
              <w:rPr>
                <w:rFonts w:eastAsia="Helvetica" w:hAnsi="Helvetica" w:cs="Helvetica"/>
                <w:color w:val="000000"/>
              </w:rPr>
              <w:br/>
              <w:t>outbreaks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A484D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Avg. outbreak</w:t>
            </w:r>
            <w:r>
              <w:rPr>
                <w:rFonts w:eastAsia="Helvetica" w:hAnsi="Helvetica" w:cs="Helvetica"/>
                <w:color w:val="000000"/>
              </w:rPr>
              <w:br/>
              <w:t>duration</w:t>
            </w:r>
            <w:r>
              <w:rPr>
                <w:rFonts w:eastAsia="Helvetica" w:hAnsi="Helvetica" w:cs="Helvetica"/>
                <w:color w:val="000000"/>
              </w:rP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890A2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Avg. quiescent</w:t>
            </w:r>
            <w:r>
              <w:rPr>
                <w:rFonts w:eastAsia="Helvetica" w:hAnsi="Helvetica" w:cs="Helvetica"/>
                <w:color w:val="000000"/>
              </w:rPr>
              <w:br/>
              <w:t>period</w:t>
            </w:r>
            <w:r>
              <w:rPr>
                <w:rFonts w:eastAsia="Helvetica" w:hAnsi="Helvetica" w:cs="Helvetica"/>
                <w:color w:val="000000"/>
              </w:rPr>
              <w:br/>
              <w:t>(years)</w:t>
            </w:r>
          </w:p>
        </w:tc>
      </w:tr>
      <w:tr w:rsidR="00C1738A" w14:paraId="17D580D6"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30BC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6F4C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40.76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883C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-106.75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53AB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540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995B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231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2035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1733-2023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393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1733-1997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D669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6965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334E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12.5</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=5.45)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0F72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=17.32)</w:t>
            </w:r>
          </w:p>
        </w:tc>
      </w:tr>
      <w:tr w:rsidR="00C1738A" w14:paraId="460A8B4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C4F0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LJ</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0D61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16D9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6403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9D88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420A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1622-2023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6C68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1622-1995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ABA3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6273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B706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8.2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2F55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61.8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=43.89)</w:t>
            </w:r>
          </w:p>
        </w:tc>
      </w:tr>
      <w:tr w:rsidR="00C1738A" w14:paraId="08E3B8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E14F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7DA7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5F08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98CA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627E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4BF9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1739-2020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6464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1739-2000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26CB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1129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3764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=6.24)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DAE4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39</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=21.21)</w:t>
            </w:r>
          </w:p>
        </w:tc>
      </w:tr>
      <w:tr w:rsidR="00C1738A" w14:paraId="6B22BEC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8567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A256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A3BF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B07C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858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C9DC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1659-2020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C9A3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1659-2000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4935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5FB6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B579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9.1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=3.13)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D2C2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=24.71)</w:t>
            </w:r>
          </w:p>
        </w:tc>
      </w:tr>
      <w:tr w:rsidR="00C1738A" w14:paraId="58B7266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D115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EE9A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5BA1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05D0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D54C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AD0A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1637-2023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2850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1637-2000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5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7CE9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D50D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=3.46)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34E1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30.4</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=13.92)</w:t>
            </w:r>
          </w:p>
        </w:tc>
      </w:tr>
      <w:tr w:rsidR="00C1738A" w14:paraId="2E1D8E3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97F7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B19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C7CC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AE7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409F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E13D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C7FF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1664-2023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6048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1664-1998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90BD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8B5B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E93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=3.46)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21A7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29.8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=26.24)</w:t>
            </w:r>
          </w:p>
        </w:tc>
      </w:tr>
      <w:tr w:rsidR="00C1738A" w14:paraId="75F6986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57EB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B18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A145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9E38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AA12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501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58A0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DB44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1835-2023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97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1835-1998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9D54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8A31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5AB6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9.2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E816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31.3</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=24.79)</w:t>
            </w:r>
          </w:p>
        </w:tc>
      </w:tr>
      <w:tr w:rsidR="00C1738A" w14:paraId="4630D01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2187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14DB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05AE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CF4F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E6A7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8378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1775-2023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7AC2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1775-1995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5550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B73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4A1F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11.5</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=3.87)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71FE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49</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=38.63)</w:t>
            </w:r>
          </w:p>
        </w:tc>
      </w:tr>
      <w:tr w:rsidR="00C1738A" w14:paraId="4C7312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AF78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6468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39.24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CEFD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96DB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3975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615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1E0D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1783-2002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B51B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1783-1994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B1A3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D0E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2CE3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DD28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12.7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=10.5)</w:t>
            </w:r>
          </w:p>
        </w:tc>
      </w:tr>
      <w:tr w:rsidR="00C1738A" w14:paraId="00F57EC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7C08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2E6E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39.16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BAD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C368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568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5896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5078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1666-2023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E174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1666-1994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03E8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BE0A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5C95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12.4</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=4.66)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B1A8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26.1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=17.79)</w:t>
            </w:r>
          </w:p>
        </w:tc>
      </w:tr>
      <w:tr w:rsidR="00C1738A" w14:paraId="60190E4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DEBB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9A22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39.09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DA39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94B9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4DB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9B2A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1742-2023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7BFB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1742-1994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2532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CD53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B59F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8510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32.8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=20.8)</w:t>
            </w:r>
          </w:p>
        </w:tc>
      </w:tr>
      <w:tr w:rsidR="00C1738A" w14:paraId="12FD4D0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65F8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lastRenderedPageBreak/>
              <w:t>JP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AFFA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39.09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D919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6257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9271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C9E4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1745-2002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0E13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1745-1994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D93A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6A49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4374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9.5</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=3.67)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682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38.8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=32.12)</w:t>
            </w:r>
          </w:p>
        </w:tc>
      </w:tr>
      <w:tr w:rsidR="00C1738A" w14:paraId="7442BC1E"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81BDF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Landscape-wide mean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2A40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39.9</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=0.58)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3C33F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-105.56</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=0.43)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2F2F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491.2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=34.4)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4E90F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398.4</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=109.9)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1D35C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1717-2019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483B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1717-1997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5D98F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1996-2019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C2DA6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5.8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=2.1)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419FF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10.6</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=1.7)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A2E54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37.1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=12.9</w:t>
            </w:r>
          </w:p>
        </w:tc>
      </w:tr>
    </w:tbl>
    <w:p w14:paraId="3F37B73F" w14:textId="77777777" w:rsidR="00C1738A" w:rsidRDefault="00C1738A">
      <w:pPr>
        <w:sectPr w:rsidR="00C1738A" w:rsidSect="00597CF4">
          <w:pgSz w:w="16838" w:h="11906" w:orient="landscape"/>
          <w:pgMar w:top="1440" w:right="1080" w:bottom="1440" w:left="1080" w:header="720" w:footer="720" w:gutter="0"/>
          <w:cols w:space="720"/>
        </w:sectPr>
      </w:pPr>
    </w:p>
    <w:p w14:paraId="577DB863" w14:textId="77777777" w:rsidR="00C1738A" w:rsidRDefault="00000000">
      <w:pPr>
        <w:pStyle w:val="Figure"/>
        <w:jc w:val="center"/>
      </w:pPr>
      <w:r>
        <w:rPr>
          <w:noProof/>
        </w:rPr>
        <w:lastRenderedPageBreak/>
        <w:drawing>
          <wp:inline distT="0" distB="0" distL="0" distR="0" wp14:anchorId="5B5CE18F" wp14:editId="15462383">
            <wp:extent cx="6400800" cy="502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0" cstate="print"/>
                    <a:stretch>
                      <a:fillRect/>
                    </a:stretch>
                  </pic:blipFill>
                  <pic:spPr bwMode="auto">
                    <a:xfrm>
                      <a:off x="0" y="0"/>
                      <a:ext cx="88900" cy="69850"/>
                    </a:xfrm>
                    <a:prstGeom prst="rect">
                      <a:avLst/>
                    </a:prstGeom>
                    <a:noFill/>
                  </pic:spPr>
                </pic:pic>
              </a:graphicData>
            </a:graphic>
          </wp:inline>
        </w:drawing>
      </w:r>
    </w:p>
    <w:p w14:paraId="0D179944" w14:textId="77777777" w:rsidR="00C1738A" w:rsidRDefault="00000000">
      <w:pPr>
        <w:pStyle w:val="ImageCaption"/>
      </w:pPr>
      <w:r>
        <w:rPr>
          <w:b/>
        </w:rPr>
        <w:t xml:space="preserve">Figure </w:t>
      </w:r>
      <w:bookmarkStart w:id="21" w:name="FigOutbreakHistory"/>
      <w:r>
        <w:rPr>
          <w:b/>
        </w:rPr>
        <w:fldChar w:fldCharType="begin"/>
      </w:r>
      <w:r>
        <w:rPr>
          <w:b/>
        </w:rPr>
        <w:instrText>SEQ fig \* Arabic</w:instrText>
      </w:r>
      <w:r>
        <w:rPr>
          <w:b/>
        </w:rPr>
        <w:fldChar w:fldCharType="separate"/>
      </w:r>
      <w:r w:rsidR="00597CF4">
        <w:rPr>
          <w:b/>
          <w:noProof/>
        </w:rPr>
        <w:t>2</w:t>
      </w:r>
      <w:r>
        <w:rPr>
          <w:b/>
        </w:rPr>
        <w:fldChar w:fldCharType="end"/>
      </w:r>
      <w:bookmarkEnd w:id="21"/>
      <w:r>
        <w:rPr>
          <w:b/>
        </w:rPr>
        <w:t xml:space="preserve">: </w:t>
      </w:r>
      <w:r>
        <w:t>Variability of the self-calibrated Palmer Drought Severity Index (SC-PDSI) (A) and WSB outbreaks by site arranged from north to south (B) and the number of sites across the study area (C). In all panels, periods of landscape-wide outbreak with at least one third of sites experiencing outbreak are highlighted by darker gray shading and lighter gray shading shows where at least one site is experiencing an outbreak coincident with landscape-wide outbreak. The 1750-1849 period prior to extensive Euro-American colonization is shown in lighter blue, while the 1890-1989 period is shown in dark blue. In A, the thin line shows a tree-ring based reconstruction of SC-PDSI, while the thick black line shows a 10-year rolling mean of that time series. In C, the bars show the number of sites recording an outbreak and the dashed line shows the number of potential tree-ring recording sites.</w:t>
      </w:r>
    </w:p>
    <w:p w14:paraId="5D5F7D60" w14:textId="77777777" w:rsidR="00C1738A" w:rsidRDefault="00000000" w:rsidP="00597CF4">
      <w:pPr>
        <w:pStyle w:val="Heading2"/>
      </w:pPr>
      <w:bookmarkStart w:id="22" w:name="synchrony-of-outbreaks"/>
      <w:bookmarkEnd w:id="19"/>
      <w:r>
        <w:t>Synchrony of outbreaks</w:t>
      </w:r>
    </w:p>
    <w:p w14:paraId="3359A424" w14:textId="77777777" w:rsidR="00C1738A" w:rsidRDefault="00000000" w:rsidP="00597CF4">
      <w:pPr>
        <w:pStyle w:val="FirstParagraph"/>
      </w:pPr>
      <w:r>
        <w:t xml:space="preserve">We found that sites across the study area exhibited similar temporal patterns of WSB outbreak (Fig. </w:t>
      </w:r>
      <w:hyperlink w:anchor="FigOutbreakHistory">
        <w:r w:rsidR="00C1738A">
          <w:fldChar w:fldCharType="begin"/>
        </w:r>
        <w:r w:rsidR="00C1738A">
          <w:instrText xml:space="preserve"> REF FigOutbreakHistory \h</w:instrText>
        </w:r>
        <w:r w:rsidR="00C1738A">
          <w:fldChar w:fldCharType="separate"/>
        </w:r>
        <w:r w:rsidR="00C1738A">
          <w:rPr>
            <w:b/>
            <w:noProof/>
          </w:rPr>
          <w:t>2</w:t>
        </w:r>
        <w:r w:rsidR="00C1738A">
          <w:fldChar w:fldCharType="end"/>
        </w:r>
      </w:hyperlink>
      <w:r>
        <w:t xml:space="preserve"> and Fig. S</w:t>
      </w:r>
      <w:hyperlink w:anchor="FigPercDefol">
        <w:r w:rsidR="00C1738A">
          <w:fldChar w:fldCharType="begin"/>
        </w:r>
        <w:r w:rsidR="00C1738A">
          <w:instrText xml:space="preserve"> REF FigPercDefol \h</w:instrText>
        </w:r>
        <w:r w:rsidR="00C1738A">
          <w:fldChar w:fldCharType="separate"/>
        </w:r>
        <w:r w:rsidR="00C1738A">
          <w:rPr>
            <w:b/>
            <w:noProof/>
          </w:rPr>
          <w:t>1</w:t>
        </w:r>
        <w:r w:rsidR="00C1738A">
          <w:fldChar w:fldCharType="end"/>
        </w:r>
      </w:hyperlink>
      <w:r>
        <w:t xml:space="preserve">). Over the 1750-1995 period, we found moderate agreement among time series of the </w:t>
      </w:r>
      <w:r>
        <w:lastRenderedPageBreak/>
        <w:t xml:space="preserve">percent of trees defoliated at a site (W = 0.26; p &lt;0.001; mean inter-site </w:t>
      </w:r>
      <w:proofErr w:type="spellStart"/>
      <w:r>
        <w:t>r</w:t>
      </w:r>
      <w:r>
        <w:rPr>
          <w:vertAlign w:val="subscript"/>
        </w:rPr>
        <w:t>s</w:t>
      </w:r>
      <w:proofErr w:type="spellEnd"/>
      <w:r>
        <w:t xml:space="preserve"> = 0.19; mean inter-site C= 34%). However, relationships between some pairs of sites were neutral or even negative (range of. inter-site </w:t>
      </w:r>
      <w:proofErr w:type="spellStart"/>
      <w:r>
        <w:t>r</w:t>
      </w:r>
      <w:r>
        <w:rPr>
          <w:vertAlign w:val="subscript"/>
        </w:rPr>
        <w:t>s</w:t>
      </w:r>
      <w:proofErr w:type="spellEnd"/>
      <w:r>
        <w:t>: -0.19 - 0.61; range of inter-site C: 0.11 - 0.39), highlighting site-level variation in outbreak dynamics across the study area (Fig. S</w:t>
      </w:r>
      <w:hyperlink w:anchor="FigPairwiseCor">
        <w:r w:rsidR="00C1738A">
          <w:fldChar w:fldCharType="begin"/>
        </w:r>
        <w:r w:rsidR="00C1738A">
          <w:instrText xml:space="preserve"> REF FigPairwiseCor \h</w:instrText>
        </w:r>
        <w:r w:rsidR="00C1738A">
          <w:fldChar w:fldCharType="separate"/>
        </w:r>
        <w:r w:rsidR="00C1738A">
          <w:rPr>
            <w:b/>
            <w:noProof/>
          </w:rPr>
          <w:t>2</w:t>
        </w:r>
        <w:r w:rsidR="00C1738A">
          <w:fldChar w:fldCharType="end"/>
        </w:r>
      </w:hyperlink>
      <w:r>
        <w:t xml:space="preserve">). This site-level variation was in part explained by geographic proximity; we found that significant synchrony among time series of the percent of trees defoliated existed at distances up to 50 km and that synchrony decreased with increasing distance (Fig. </w:t>
      </w:r>
      <w:hyperlink w:anchor="FigCovariance">
        <w:r w:rsidR="00C1738A">
          <w:fldChar w:fldCharType="begin"/>
        </w:r>
        <w:r w:rsidR="00C1738A">
          <w:instrText xml:space="preserve"> REF FigCovariance \h</w:instrText>
        </w:r>
        <w:r w:rsidR="00C1738A">
          <w:fldChar w:fldCharType="separate"/>
        </w:r>
        <w:r w:rsidR="00C1738A">
          <w:rPr>
            <w:b/>
            <w:noProof/>
          </w:rPr>
          <w:t>3</w:t>
        </w:r>
        <w:r w:rsidR="00C1738A">
          <w:fldChar w:fldCharType="end"/>
        </w:r>
      </w:hyperlink>
      <w:r>
        <w:t>).</w:t>
      </w:r>
    </w:p>
    <w:p w14:paraId="10FAD1DF" w14:textId="77777777" w:rsidR="00C1738A" w:rsidRDefault="00000000">
      <w:pPr>
        <w:pStyle w:val="Figure"/>
        <w:jc w:val="center"/>
      </w:pPr>
      <w:r>
        <w:rPr>
          <w:noProof/>
        </w:rPr>
        <w:drawing>
          <wp:inline distT="0" distB="0" distL="0" distR="0" wp14:anchorId="3ECD1608" wp14:editId="5CD308A5">
            <wp:extent cx="32004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1" cstate="print"/>
                    <a:stretch>
                      <a:fillRect/>
                    </a:stretch>
                  </pic:blipFill>
                  <pic:spPr bwMode="auto">
                    <a:xfrm>
                      <a:off x="0" y="0"/>
                      <a:ext cx="44450" cy="25400"/>
                    </a:xfrm>
                    <a:prstGeom prst="rect">
                      <a:avLst/>
                    </a:prstGeom>
                    <a:noFill/>
                  </pic:spPr>
                </pic:pic>
              </a:graphicData>
            </a:graphic>
          </wp:inline>
        </w:drawing>
      </w:r>
    </w:p>
    <w:p w14:paraId="015214DC" w14:textId="77777777" w:rsidR="00C1738A" w:rsidRDefault="00000000">
      <w:pPr>
        <w:pStyle w:val="ImageCaption"/>
      </w:pPr>
      <w:r>
        <w:rPr>
          <w:b/>
        </w:rPr>
        <w:t xml:space="preserve">Figure </w:t>
      </w:r>
      <w:bookmarkStart w:id="23" w:name="FigCovariance"/>
      <w:r>
        <w:rPr>
          <w:b/>
        </w:rPr>
        <w:fldChar w:fldCharType="begin"/>
      </w:r>
      <w:r>
        <w:rPr>
          <w:b/>
        </w:rPr>
        <w:instrText>SEQ fig \* Arabic</w:instrText>
      </w:r>
      <w:r>
        <w:rPr>
          <w:b/>
        </w:rPr>
        <w:fldChar w:fldCharType="separate"/>
      </w:r>
      <w:r w:rsidR="00597CF4">
        <w:rPr>
          <w:b/>
          <w:noProof/>
        </w:rPr>
        <w:t>3</w:t>
      </w:r>
      <w:r>
        <w:rPr>
          <w:b/>
        </w:rPr>
        <w:fldChar w:fldCharType="end"/>
      </w:r>
      <w:bookmarkEnd w:id="23"/>
      <w:r>
        <w:rPr>
          <w:b/>
        </w:rPr>
        <w:t xml:space="preserve">: </w:t>
      </w:r>
      <w:r>
        <w:t>Nonparametric spatial covariance function describing the covariance among records of the percent of trees defoliated at all 12 sites across study area over the 1750-1995 period. Gray shading indicates the 95% confidence interval based on 1,000 bootstrap replications. The dashed horizontal line indicates the average correlation across the study area (landscape-wide synchrony).</w:t>
      </w:r>
    </w:p>
    <w:p w14:paraId="44F6DBEB" w14:textId="77777777" w:rsidR="00C1738A" w:rsidRDefault="00000000" w:rsidP="00597CF4">
      <w:pPr>
        <w:pStyle w:val="BodyText"/>
      </w:pPr>
      <w:r>
        <w:t xml:space="preserve">Multivariate event analysis indicated that both years of initiation and cessation were significantly clustered in time (Fig. </w:t>
      </w:r>
      <w:hyperlink w:anchor="FigMEA">
        <w:r w:rsidR="00C1738A">
          <w:fldChar w:fldCharType="begin"/>
        </w:r>
        <w:r w:rsidR="00C1738A">
          <w:instrText xml:space="preserve"> REF FigMEA \h</w:instrText>
        </w:r>
        <w:r w:rsidR="00C1738A">
          <w:fldChar w:fldCharType="separate"/>
        </w:r>
        <w:r w:rsidR="00C1738A">
          <w:rPr>
            <w:b/>
            <w:noProof/>
          </w:rPr>
          <w:t>4</w:t>
        </w:r>
        <w:r w:rsidR="00C1738A">
          <w:fldChar w:fldCharType="end"/>
        </w:r>
      </w:hyperlink>
      <w:r>
        <w:t>). Years of outbreak initiation were more likely than not to occur within 13 years of another year of outbreak initiation, while years of outbreak cessation were more likely than not to occur within 14 years of another year of outbreak cessation.</w:t>
      </w:r>
    </w:p>
    <w:p w14:paraId="4D5F8F5A" w14:textId="77777777" w:rsidR="00C1738A" w:rsidRDefault="00000000">
      <w:r>
        <w:br w:type="page"/>
      </w:r>
    </w:p>
    <w:p w14:paraId="660B51D9" w14:textId="77777777" w:rsidR="00C1738A" w:rsidRDefault="00000000">
      <w:pPr>
        <w:pStyle w:val="Figure"/>
        <w:jc w:val="center"/>
      </w:pPr>
      <w:r>
        <w:rPr>
          <w:noProof/>
        </w:rPr>
        <w:lastRenderedPageBreak/>
        <w:drawing>
          <wp:inline distT="0" distB="0" distL="0" distR="0" wp14:anchorId="26FF96AE" wp14:editId="36446AE7">
            <wp:extent cx="3200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2" cstate="print"/>
                    <a:stretch>
                      <a:fillRect/>
                    </a:stretch>
                  </pic:blipFill>
                  <pic:spPr bwMode="auto">
                    <a:xfrm>
                      <a:off x="0" y="0"/>
                      <a:ext cx="44450" cy="50800"/>
                    </a:xfrm>
                    <a:prstGeom prst="rect">
                      <a:avLst/>
                    </a:prstGeom>
                    <a:noFill/>
                  </pic:spPr>
                </pic:pic>
              </a:graphicData>
            </a:graphic>
          </wp:inline>
        </w:drawing>
      </w:r>
    </w:p>
    <w:p w14:paraId="5B4FF016" w14:textId="77777777" w:rsidR="00C1738A" w:rsidRDefault="00000000">
      <w:pPr>
        <w:pStyle w:val="ImageCaption"/>
      </w:pPr>
      <w:r>
        <w:rPr>
          <w:b/>
        </w:rPr>
        <w:t xml:space="preserve">Figure </w:t>
      </w:r>
      <w:bookmarkStart w:id="24" w:name="FigMEA"/>
      <w:r>
        <w:rPr>
          <w:b/>
        </w:rPr>
        <w:fldChar w:fldCharType="begin"/>
      </w:r>
      <w:r>
        <w:rPr>
          <w:b/>
        </w:rPr>
        <w:instrText>SEQ fig \* Arabic</w:instrText>
      </w:r>
      <w:r>
        <w:rPr>
          <w:b/>
        </w:rPr>
        <w:fldChar w:fldCharType="separate"/>
      </w:r>
      <w:r w:rsidR="00597CF4">
        <w:rPr>
          <w:b/>
          <w:noProof/>
        </w:rPr>
        <w:t>4</w:t>
      </w:r>
      <w:r>
        <w:rPr>
          <w:b/>
        </w:rPr>
        <w:fldChar w:fldCharType="end"/>
      </w:r>
      <w:bookmarkEnd w:id="24"/>
      <w:r>
        <w:rPr>
          <w:b/>
        </w:rPr>
        <w:t xml:space="preserve">: </w:t>
      </w:r>
      <w:r>
        <w:t>Bidirectional multivariate event analysis of temporal synchrony between dates of WSB outbreak initiation (A) and cessation (B) at 12 sites over the 1750-1995 period (n=57 total outbreaks across the 12 sites and ≥ 3 outbreaks per site). The solid blue line is the L(t) function, a transformation of Ripley’s K such that the mean and variance are stabilized through time t, where values &gt;0 indicate synchrony and values &lt;0 indicate asynchrony. The dashed gray lines indicate the 95% confidence envelopes. Gray shading indicates significant synchrony, where L(t) values are greater than the upper bound on the 95% confidence interval.</w:t>
      </w:r>
    </w:p>
    <w:p w14:paraId="24BA584E" w14:textId="77777777" w:rsidR="00C1738A" w:rsidRDefault="00000000" w:rsidP="00597CF4">
      <w:pPr>
        <w:pStyle w:val="Heading2"/>
      </w:pPr>
      <w:bookmarkStart w:id="25" w:name="X9a83add0ba3671301af4d088def957b861fc49f"/>
      <w:bookmarkEnd w:id="22"/>
      <w:r>
        <w:t>Outbreak dynamics for periods before and after Euro-American colonization</w:t>
      </w:r>
    </w:p>
    <w:p w14:paraId="1BDA79C9" w14:textId="77777777" w:rsidR="00C1738A" w:rsidRDefault="00000000" w:rsidP="00597CF4">
      <w:pPr>
        <w:pStyle w:val="FirstParagraph"/>
      </w:pPr>
      <w:r>
        <w:t xml:space="preserve">Across our study area, we found some outbreak dynamics differed in the century prior to and following extensive Euro-American colonization. Relative to the 1890-1989 period, outbreaks were longer and more severe during the 1750-1849 period (Fig. </w:t>
      </w:r>
      <w:hyperlink w:anchor="FigColonization">
        <w:r w:rsidR="00C1738A">
          <w:fldChar w:fldCharType="begin"/>
        </w:r>
        <w:r w:rsidR="00C1738A">
          <w:instrText xml:space="preserve"> REF FigColonization \h</w:instrText>
        </w:r>
        <w:r w:rsidR="00C1738A">
          <w:fldChar w:fldCharType="separate"/>
        </w:r>
        <w:r w:rsidR="00C1738A">
          <w:rPr>
            <w:b/>
            <w:noProof/>
          </w:rPr>
          <w:t>5</w:t>
        </w:r>
        <w:r w:rsidR="00C1738A">
          <w:fldChar w:fldCharType="end"/>
        </w:r>
      </w:hyperlink>
      <w:r>
        <w:t>; Table S</w:t>
      </w:r>
      <w:hyperlink w:anchor="colonizationtab">
        <w:r w:rsidR="00C1738A">
          <w:fldChar w:fldCharType="begin"/>
        </w:r>
        <w:r w:rsidR="00C1738A">
          <w:instrText xml:space="preserve"> REF colonizationtab \h</w:instrText>
        </w:r>
        <w:r w:rsidR="00C1738A">
          <w:fldChar w:fldCharType="separate"/>
        </w:r>
        <w:r w:rsidR="00C1738A">
          <w:rPr>
            <w:b/>
            <w:noProof/>
          </w:rPr>
          <w:t>3</w:t>
        </w:r>
        <w:r w:rsidR="00C1738A">
          <w:fldChar w:fldCharType="end"/>
        </w:r>
      </w:hyperlink>
      <w:r>
        <w:t xml:space="preserve">). However, outbreaks occurred about as </w:t>
      </w:r>
      <w:proofErr w:type="gramStart"/>
      <w:r>
        <w:t>frequently</w:t>
      </w:r>
      <w:proofErr w:type="gramEnd"/>
      <w:r>
        <w:t xml:space="preserve"> and the length of the quiescent period and percent of trees defoliated at the start of the outbreak were not statistically different.</w:t>
      </w:r>
    </w:p>
    <w:p w14:paraId="277ED881" w14:textId="77777777" w:rsidR="00C1738A" w:rsidRDefault="00000000">
      <w:pPr>
        <w:pStyle w:val="Figure"/>
        <w:jc w:val="center"/>
      </w:pPr>
      <w:r>
        <w:rPr>
          <w:noProof/>
        </w:rPr>
        <w:lastRenderedPageBreak/>
        <w:drawing>
          <wp:inline distT="0" distB="0" distL="0" distR="0" wp14:anchorId="79C5E3A6" wp14:editId="37BB5F4D">
            <wp:extent cx="64008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3" cstate="print"/>
                    <a:stretch>
                      <a:fillRect/>
                    </a:stretch>
                  </pic:blipFill>
                  <pic:spPr bwMode="auto">
                    <a:xfrm>
                      <a:off x="0" y="0"/>
                      <a:ext cx="88900" cy="31750"/>
                    </a:xfrm>
                    <a:prstGeom prst="rect">
                      <a:avLst/>
                    </a:prstGeom>
                    <a:noFill/>
                  </pic:spPr>
                </pic:pic>
              </a:graphicData>
            </a:graphic>
          </wp:inline>
        </w:drawing>
      </w:r>
    </w:p>
    <w:p w14:paraId="4844A774" w14:textId="77777777" w:rsidR="00C1738A" w:rsidRDefault="00000000">
      <w:pPr>
        <w:pStyle w:val="ImageCaption"/>
      </w:pPr>
      <w:r>
        <w:rPr>
          <w:b/>
        </w:rPr>
        <w:t xml:space="preserve">Figure </w:t>
      </w:r>
      <w:bookmarkStart w:id="26" w:name="FigColonization"/>
      <w:r>
        <w:rPr>
          <w:b/>
        </w:rPr>
        <w:fldChar w:fldCharType="begin"/>
      </w:r>
      <w:r>
        <w:rPr>
          <w:b/>
        </w:rPr>
        <w:instrText>SEQ fig \* Arabic</w:instrText>
      </w:r>
      <w:r>
        <w:rPr>
          <w:b/>
        </w:rPr>
        <w:fldChar w:fldCharType="separate"/>
      </w:r>
      <w:r w:rsidR="00597CF4">
        <w:rPr>
          <w:b/>
          <w:noProof/>
        </w:rPr>
        <w:t>5</w:t>
      </w:r>
      <w:r>
        <w:rPr>
          <w:b/>
        </w:rPr>
        <w:fldChar w:fldCharType="end"/>
      </w:r>
      <w:bookmarkEnd w:id="26"/>
      <w:r>
        <w:rPr>
          <w:b/>
        </w:rPr>
        <w:t xml:space="preserve">: </w:t>
      </w:r>
      <w:r>
        <w:t>The proportion of years affected by WSB outbreak (A), the duration of outbreak (B), the length of the quiescent period (C), the minimum normalized growth suppression index (D), and the percent of trees defoliated at outbreak initiation (E) for the century prior to and after extensive Euro-American colonization (1750-1849 and 1890-1989, respectively). Within each panel, different color boxes or bars indicate significant (p&lt;0.05) differences between groups.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14:paraId="0CD8D7C6" w14:textId="77777777" w:rsidR="00C1738A" w:rsidRDefault="00000000" w:rsidP="00597CF4">
      <w:pPr>
        <w:pStyle w:val="BodyText"/>
      </w:pPr>
      <w:r>
        <w:t xml:space="preserve">We found synchrony in outbreak dynamics was lower in the 1890-1989 period than the 1750-1849 period. The mean inter-site correlation was 39% lower in the century following extensive Euro-American colonization (mean </w:t>
      </w:r>
      <w:proofErr w:type="spellStart"/>
      <w:r>
        <w:t>r</w:t>
      </w:r>
      <w:r>
        <w:rPr>
          <w:vertAlign w:val="subscript"/>
        </w:rPr>
        <w:t>s</w:t>
      </w:r>
      <w:proofErr w:type="spellEnd"/>
      <w:r>
        <w:t xml:space="preserve"> for 1750-1859: 0.27 and mean </w:t>
      </w:r>
      <w:proofErr w:type="spellStart"/>
      <w:r>
        <w:t>r</w:t>
      </w:r>
      <w:r>
        <w:rPr>
          <w:vertAlign w:val="subscript"/>
        </w:rPr>
        <w:t>s</w:t>
      </w:r>
      <w:proofErr w:type="spellEnd"/>
      <w:r>
        <w:t xml:space="preserve"> for 1890-1989: 0.16; t=-2.2, p=0.03) and the mean inter-site concurrency was 58% lower (mean C for 1750-1859: 0.307 and mean C for 1890-1989: 0.13; t=-4.7, p&lt;0.001). While landscape-wide synchrony was lower in the 1890-1989 period, spline correlograms calculated for the 1750-1849 and 1890-1989 periods showed similar decreases in synchrony with increasing distances (Fig. S</w:t>
      </w:r>
      <w:hyperlink w:anchor="FigCovarianceTime">
        <w:r w:rsidR="00C1738A">
          <w:fldChar w:fldCharType="begin"/>
        </w:r>
        <w:r w:rsidR="00C1738A">
          <w:instrText xml:space="preserve"> REF FigCovarianceTime \h</w:instrText>
        </w:r>
        <w:r w:rsidR="00C1738A">
          <w:fldChar w:fldCharType="separate"/>
        </w:r>
        <w:r w:rsidR="00C1738A">
          <w:rPr>
            <w:b/>
            <w:noProof/>
          </w:rPr>
          <w:t>3</w:t>
        </w:r>
        <w:r w:rsidR="00C1738A">
          <w:fldChar w:fldCharType="end"/>
        </w:r>
      </w:hyperlink>
      <w:r>
        <w:t>).</w:t>
      </w:r>
    </w:p>
    <w:p w14:paraId="75DA771B" w14:textId="77777777" w:rsidR="00C1738A" w:rsidRDefault="00000000" w:rsidP="00597CF4">
      <w:pPr>
        <w:pStyle w:val="Heading2"/>
      </w:pPr>
      <w:bookmarkStart w:id="27" w:name="X098c965ac40cf28da042f52a69eefe847b6ef47"/>
      <w:bookmarkEnd w:id="25"/>
      <w:r>
        <w:t>Association between interannual climate variability and outbreaks</w:t>
      </w:r>
    </w:p>
    <w:p w14:paraId="59183F24" w14:textId="77777777" w:rsidR="00C1738A" w:rsidRDefault="00000000" w:rsidP="00597CF4">
      <w:pPr>
        <w:pStyle w:val="FirstParagraph"/>
      </w:pPr>
      <w:r>
        <w:t xml:space="preserve">Over the 1750-2023 time span, we found periods of outbreak were associated with interannual variability in drought severity (Figure </w:t>
      </w:r>
      <w:hyperlink w:anchor="FigOutbreakHistory">
        <w:r w:rsidR="00C1738A">
          <w:fldChar w:fldCharType="begin"/>
        </w:r>
        <w:r w:rsidR="00C1738A">
          <w:instrText xml:space="preserve"> REF FigOutbreakHistory \h</w:instrText>
        </w:r>
        <w:r w:rsidR="00C1738A">
          <w:fldChar w:fldCharType="separate"/>
        </w:r>
        <w:r w:rsidR="00C1738A">
          <w:rPr>
            <w:b/>
            <w:noProof/>
          </w:rPr>
          <w:t>2</w:t>
        </w:r>
        <w:r w:rsidR="00C1738A">
          <w:fldChar w:fldCharType="end"/>
        </w:r>
      </w:hyperlink>
      <w:r>
        <w:t>). During periods of landscape-wide outbreak, the mean SC-PDSI was greater (i.e., wetter) than during quiescent periods (mean SC-</w:t>
      </w:r>
      <w:proofErr w:type="spellStart"/>
      <w:r>
        <w:t>PDSI</w:t>
      </w:r>
      <w:r>
        <w:rPr>
          <w:vertAlign w:val="subscript"/>
        </w:rPr>
        <w:t>outbreak</w:t>
      </w:r>
      <w:proofErr w:type="spellEnd"/>
      <w:r>
        <w:t xml:space="preserve"> = 1; mean SC-</w:t>
      </w:r>
      <w:proofErr w:type="spellStart"/>
      <w:r>
        <w:lastRenderedPageBreak/>
        <w:t>PDSI</w:t>
      </w:r>
      <w:r>
        <w:rPr>
          <w:vertAlign w:val="subscript"/>
        </w:rPr>
        <w:t>quiescent</w:t>
      </w:r>
      <w:proofErr w:type="spellEnd"/>
      <w:r>
        <w:t xml:space="preserve"> = -0.26; t = 3.98; p = 0). These results were supported by superposed epoch analyses conducted using the landscape-wide record (Fig. </w:t>
      </w:r>
      <w:hyperlink w:anchor="FigSEARegional">
        <w:r w:rsidR="00C1738A">
          <w:fldChar w:fldCharType="begin"/>
        </w:r>
        <w:r w:rsidR="00C1738A">
          <w:instrText xml:space="preserve"> REF FigSEARegional \h</w:instrText>
        </w:r>
        <w:r w:rsidR="00C1738A">
          <w:fldChar w:fldCharType="separate"/>
        </w:r>
        <w:r w:rsidR="00C1738A">
          <w:rPr>
            <w:b/>
            <w:noProof/>
          </w:rPr>
          <w:t>6</w:t>
        </w:r>
        <w:r w:rsidR="00C1738A">
          <w:fldChar w:fldCharType="end"/>
        </w:r>
      </w:hyperlink>
      <w:r>
        <w:t xml:space="preserve">) and site-level records (Fig. </w:t>
      </w:r>
      <w:hyperlink w:anchor="FigSEASite">
        <w:r w:rsidR="00C1738A">
          <w:fldChar w:fldCharType="begin"/>
        </w:r>
        <w:r w:rsidR="00C1738A">
          <w:instrText xml:space="preserve"> REF FigSEASite \h</w:instrText>
        </w:r>
        <w:r w:rsidR="00C1738A">
          <w:fldChar w:fldCharType="separate"/>
        </w:r>
        <w:r w:rsidR="00C1738A">
          <w:rPr>
            <w:b/>
            <w:noProof/>
          </w:rPr>
          <w:t>7</w:t>
        </w:r>
        <w:r w:rsidR="00C1738A">
          <w:fldChar w:fldCharType="end"/>
        </w:r>
      </w:hyperlink>
      <w:r>
        <w:t xml:space="preserve">). Here we found that outbreaks were more likely to initiate following periods of drought that were followed by periods of above-average moisture availability. The cessation of landscape-wide outbreak generally coincided with a switch from above average moisture availability to below average moisture availability (Fig. </w:t>
      </w:r>
      <w:hyperlink w:anchor="FigSEARegional">
        <w:r w:rsidR="00C1738A">
          <w:fldChar w:fldCharType="begin"/>
        </w:r>
        <w:r w:rsidR="00C1738A">
          <w:instrText xml:space="preserve"> REF FigSEARegional \h</w:instrText>
        </w:r>
        <w:r w:rsidR="00C1738A">
          <w:fldChar w:fldCharType="separate"/>
        </w:r>
        <w:r w:rsidR="00C1738A">
          <w:rPr>
            <w:b/>
            <w:noProof/>
          </w:rPr>
          <w:t>6</w:t>
        </w:r>
        <w:r w:rsidR="00C1738A">
          <w:fldChar w:fldCharType="end"/>
        </w:r>
      </w:hyperlink>
      <w:r>
        <w:t xml:space="preserve"> and </w:t>
      </w:r>
      <w:hyperlink w:anchor="FigSEASite">
        <w:r w:rsidR="00C1738A">
          <w:fldChar w:fldCharType="begin"/>
        </w:r>
        <w:r w:rsidR="00C1738A">
          <w:instrText xml:space="preserve"> REF FigSEASite \h</w:instrText>
        </w:r>
        <w:r w:rsidR="00C1738A">
          <w:fldChar w:fldCharType="separate"/>
        </w:r>
        <w:r w:rsidR="00C1738A">
          <w:rPr>
            <w:b/>
            <w:noProof/>
          </w:rPr>
          <w:t>7</w:t>
        </w:r>
        <w:r w:rsidR="00C1738A">
          <w:fldChar w:fldCharType="end"/>
        </w:r>
      </w:hyperlink>
      <w:r>
        <w:t>).</w:t>
      </w:r>
    </w:p>
    <w:p w14:paraId="123B3D58" w14:textId="77777777" w:rsidR="00C1738A" w:rsidRDefault="00000000">
      <w:pPr>
        <w:pStyle w:val="Figure"/>
        <w:jc w:val="center"/>
      </w:pPr>
      <w:r>
        <w:rPr>
          <w:noProof/>
        </w:rPr>
        <w:drawing>
          <wp:inline distT="0" distB="0" distL="0" distR="0" wp14:anchorId="2A43DA86" wp14:editId="08232073">
            <wp:extent cx="3200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4" cstate="print"/>
                    <a:stretch>
                      <a:fillRect/>
                    </a:stretch>
                  </pic:blipFill>
                  <pic:spPr bwMode="auto">
                    <a:xfrm>
                      <a:off x="0" y="0"/>
                      <a:ext cx="44450" cy="50800"/>
                    </a:xfrm>
                    <a:prstGeom prst="rect">
                      <a:avLst/>
                    </a:prstGeom>
                    <a:noFill/>
                  </pic:spPr>
                </pic:pic>
              </a:graphicData>
            </a:graphic>
          </wp:inline>
        </w:drawing>
      </w:r>
    </w:p>
    <w:p w14:paraId="05AD16B7" w14:textId="77777777" w:rsidR="00C1738A" w:rsidRDefault="00000000">
      <w:pPr>
        <w:pStyle w:val="ImageCaption"/>
      </w:pPr>
      <w:r>
        <w:rPr>
          <w:b/>
        </w:rPr>
        <w:t xml:space="preserve">Figure </w:t>
      </w:r>
      <w:bookmarkStart w:id="28" w:name="FigSEARegional"/>
      <w:r>
        <w:rPr>
          <w:b/>
        </w:rPr>
        <w:fldChar w:fldCharType="begin"/>
      </w:r>
      <w:r>
        <w:rPr>
          <w:b/>
        </w:rPr>
        <w:instrText>SEQ fig \* Arabic</w:instrText>
      </w:r>
      <w:r>
        <w:rPr>
          <w:b/>
        </w:rPr>
        <w:fldChar w:fldCharType="separate"/>
      </w:r>
      <w:r w:rsidR="00597CF4">
        <w:rPr>
          <w:b/>
          <w:noProof/>
        </w:rPr>
        <w:t>6</w:t>
      </w:r>
      <w:r>
        <w:rPr>
          <w:b/>
        </w:rPr>
        <w:fldChar w:fldCharType="end"/>
      </w:r>
      <w:bookmarkEnd w:id="28"/>
      <w:r>
        <w:rPr>
          <w:b/>
        </w:rPr>
        <w:t xml:space="preserve">: </w:t>
      </w:r>
      <w:r>
        <w:t>Superposed epoch analysis results illustrating the departure from the mean SC-PDSI for the years prior, during, and following landscape-wide outbreak events (n=6) over the 1750-2023 period. Descending bars illustrate a negative association with summer SC-PDSI (i.e., drier conditions), ascending bars show a positive association with summer SC-PDSI (i.e., wetter conditions).</w:t>
      </w:r>
    </w:p>
    <w:p w14:paraId="5C4D115E" w14:textId="77777777" w:rsidR="00C1738A" w:rsidRDefault="00000000">
      <w:r>
        <w:br w:type="page"/>
      </w:r>
    </w:p>
    <w:p w14:paraId="13A02768" w14:textId="77777777" w:rsidR="00C1738A" w:rsidRDefault="00000000">
      <w:pPr>
        <w:pStyle w:val="Figure"/>
        <w:jc w:val="center"/>
      </w:pPr>
      <w:r>
        <w:rPr>
          <w:noProof/>
        </w:rPr>
        <w:lastRenderedPageBreak/>
        <w:drawing>
          <wp:inline distT="0" distB="0" distL="0" distR="0" wp14:anchorId="46A0801E" wp14:editId="165FDC69">
            <wp:extent cx="4572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5" cstate="print"/>
                    <a:stretch>
                      <a:fillRect/>
                    </a:stretch>
                  </pic:blipFill>
                  <pic:spPr bwMode="auto">
                    <a:xfrm>
                      <a:off x="0" y="0"/>
                      <a:ext cx="63500" cy="38100"/>
                    </a:xfrm>
                    <a:prstGeom prst="rect">
                      <a:avLst/>
                    </a:prstGeom>
                    <a:noFill/>
                  </pic:spPr>
                </pic:pic>
              </a:graphicData>
            </a:graphic>
          </wp:inline>
        </w:drawing>
      </w:r>
    </w:p>
    <w:p w14:paraId="0214759C" w14:textId="77777777" w:rsidR="00C1738A" w:rsidRDefault="00000000">
      <w:pPr>
        <w:pStyle w:val="ImageCaption"/>
      </w:pPr>
      <w:r>
        <w:rPr>
          <w:b/>
        </w:rPr>
        <w:t xml:space="preserve">Figure </w:t>
      </w:r>
      <w:bookmarkStart w:id="29" w:name="FigSEASite"/>
      <w:r>
        <w:rPr>
          <w:b/>
        </w:rPr>
        <w:fldChar w:fldCharType="begin"/>
      </w:r>
      <w:r>
        <w:rPr>
          <w:b/>
        </w:rPr>
        <w:instrText>SEQ fig \* Arabic</w:instrText>
      </w:r>
      <w:r>
        <w:rPr>
          <w:b/>
        </w:rPr>
        <w:fldChar w:fldCharType="separate"/>
      </w:r>
      <w:r w:rsidR="00597CF4">
        <w:rPr>
          <w:b/>
          <w:noProof/>
        </w:rPr>
        <w:t>7</w:t>
      </w:r>
      <w:r>
        <w:rPr>
          <w:b/>
        </w:rPr>
        <w:fldChar w:fldCharType="end"/>
      </w:r>
      <w:bookmarkEnd w:id="29"/>
      <w:r>
        <w:rPr>
          <w:b/>
        </w:rPr>
        <w:t xml:space="preserve">: </w:t>
      </w:r>
      <w:r>
        <w:t>Summary of site-level superposed epoch analyses summarizing the association between summer SC-PDSI and outbreak initiation (A) and cessation (B) over the 1750-2023 period (n=57 total outbreaks across the 12 sites and ≥ 3 outbreaks per site). Red descending bars illustrate the number of sites with a statistically significant negative association with summer SC-PDSI (i.e., drier conditions), blue ascending bars show the number of sites with a statistically significant positive association with summer SC-PDSI (i.e., wetter conditions).</w:t>
      </w:r>
    </w:p>
    <w:p w14:paraId="65F09752" w14:textId="77777777" w:rsidR="00C1738A" w:rsidRDefault="00000000" w:rsidP="00597CF4">
      <w:pPr>
        <w:pStyle w:val="BodyText"/>
      </w:pPr>
      <w:r>
        <w:t xml:space="preserve">Our results also suggest that multi-annual variability in moisture availability may be important in driving WSB outbreaks. Specifically, we found that outbreak initiation was preceded by droughts that were on average 1.2 years longer and where the minimum SC-PDSI was 124% lower than drought periods that did not coincide with outbreak initiation events (Fig. </w:t>
      </w:r>
      <w:hyperlink w:anchor="FigPDSIperiods">
        <w:r w:rsidR="00C1738A">
          <w:fldChar w:fldCharType="begin"/>
        </w:r>
        <w:r w:rsidR="00C1738A">
          <w:instrText xml:space="preserve"> REF FigPDSIperiods \h</w:instrText>
        </w:r>
        <w:r w:rsidR="00C1738A">
          <w:fldChar w:fldCharType="separate"/>
        </w:r>
        <w:r w:rsidR="00C1738A">
          <w:rPr>
            <w:b/>
            <w:noProof/>
          </w:rPr>
          <w:t>8</w:t>
        </w:r>
        <w:r w:rsidR="00C1738A">
          <w:fldChar w:fldCharType="end"/>
        </w:r>
      </w:hyperlink>
      <w:r>
        <w:t xml:space="preserve"> and Table S</w:t>
      </w:r>
      <w:hyperlink w:anchor="PDSIperiodstab">
        <w:r w:rsidR="00C1738A">
          <w:fldChar w:fldCharType="begin"/>
        </w:r>
        <w:r w:rsidR="00C1738A">
          <w:instrText xml:space="preserve"> REF PDSIperiodstab \h</w:instrText>
        </w:r>
        <w:r w:rsidR="00C1738A">
          <w:fldChar w:fldCharType="separate"/>
        </w:r>
        <w:r w:rsidR="00C1738A">
          <w:rPr>
            <w:b/>
            <w:noProof/>
          </w:rPr>
          <w:t>4</w:t>
        </w:r>
        <w:r w:rsidR="00C1738A">
          <w:fldChar w:fldCharType="end"/>
        </w:r>
      </w:hyperlink>
      <w:r>
        <w:t>). Further, outbreak initiations were followed by wet periods that were on average 2.7 years longer, 118% wetter, and where the maximum SC-PDSI was 154% wetter than wet periods that did not coincide with outbreak initiation events. Outbreak cessation events were often preceded by wet periods where the maximum SC-PDSI was 117% wetter than wet periods that did not coincide with outbreak cessation events. Further, periods of drought that coincided with outbreak cessation were on average 1.1 year longer and the minimum SC-PDSI was 122% lower than drought periods that did not coincide with outbreak cessation events.</w:t>
      </w:r>
    </w:p>
    <w:p w14:paraId="59EA00BA" w14:textId="77777777" w:rsidR="00C1738A" w:rsidRDefault="00000000">
      <w:r>
        <w:br w:type="page"/>
      </w:r>
    </w:p>
    <w:p w14:paraId="012ACB8C" w14:textId="77777777" w:rsidR="00C1738A" w:rsidRDefault="00000000">
      <w:pPr>
        <w:pStyle w:val="Figure"/>
        <w:jc w:val="center"/>
      </w:pPr>
      <w:r>
        <w:rPr>
          <w:noProof/>
        </w:rPr>
        <w:lastRenderedPageBreak/>
        <w:drawing>
          <wp:inline distT="0" distB="0" distL="0" distR="0" wp14:anchorId="769775FE" wp14:editId="2B9686EA">
            <wp:extent cx="64008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6" cstate="print"/>
                    <a:stretch>
                      <a:fillRect/>
                    </a:stretch>
                  </pic:blipFill>
                  <pic:spPr bwMode="auto">
                    <a:xfrm>
                      <a:off x="0" y="0"/>
                      <a:ext cx="88900" cy="50800"/>
                    </a:xfrm>
                    <a:prstGeom prst="rect">
                      <a:avLst/>
                    </a:prstGeom>
                    <a:noFill/>
                  </pic:spPr>
                </pic:pic>
              </a:graphicData>
            </a:graphic>
          </wp:inline>
        </w:drawing>
      </w:r>
    </w:p>
    <w:p w14:paraId="61CF6385" w14:textId="77777777" w:rsidR="00C1738A" w:rsidRDefault="00000000">
      <w:pPr>
        <w:pStyle w:val="ImageCaption"/>
      </w:pPr>
      <w:r>
        <w:rPr>
          <w:b/>
        </w:rPr>
        <w:t xml:space="preserve">Figure </w:t>
      </w:r>
      <w:bookmarkStart w:id="30" w:name="FigPDSIperiods"/>
      <w:r>
        <w:rPr>
          <w:b/>
        </w:rPr>
        <w:fldChar w:fldCharType="begin"/>
      </w:r>
      <w:r>
        <w:rPr>
          <w:b/>
        </w:rPr>
        <w:instrText>SEQ fig \* Arabic</w:instrText>
      </w:r>
      <w:r>
        <w:rPr>
          <w:b/>
        </w:rPr>
        <w:fldChar w:fldCharType="separate"/>
      </w:r>
      <w:r w:rsidR="00597CF4">
        <w:rPr>
          <w:b/>
          <w:noProof/>
        </w:rPr>
        <w:t>8</w:t>
      </w:r>
      <w:r>
        <w:rPr>
          <w:b/>
        </w:rPr>
        <w:fldChar w:fldCharType="end"/>
      </w:r>
      <w:bookmarkEnd w:id="30"/>
      <w:r>
        <w:rPr>
          <w:b/>
        </w:rPr>
        <w:t xml:space="preserve">: </w:t>
      </w:r>
      <w:r>
        <w:t>Characteristics of the droughts and wet periods coinciding with periods of outbreak and no outbreak over the 1750-2023 period. Boxes differing in color indicate significant (p&lt;0.05) differences between the groups</w:t>
      </w:r>
    </w:p>
    <w:p w14:paraId="6C29BEDB" w14:textId="77777777" w:rsidR="00C1738A" w:rsidRDefault="00000000" w:rsidP="00597CF4">
      <w:pPr>
        <w:pStyle w:val="Heading1"/>
      </w:pPr>
      <w:bookmarkStart w:id="31" w:name="discussion"/>
      <w:bookmarkEnd w:id="18"/>
      <w:bookmarkEnd w:id="27"/>
      <w:r>
        <w:t>Discussion</w:t>
      </w:r>
    </w:p>
    <w:p w14:paraId="188BBF30" w14:textId="77777777" w:rsidR="00C1738A" w:rsidRDefault="00000000" w:rsidP="00597CF4">
      <w:pPr>
        <w:pStyle w:val="FirstParagraph"/>
      </w:pPr>
      <w:r>
        <w:t>Here we combined tree-ring and geospatial data to reconstruct periods of WSB outbreak at 12 sites across northern to central Colorado. We used this dataset to examine the overarching hypothesis that climate variability and the effects of land use are important drivers of WSB outbreak dynamics. We show: (1) WSB outbreaks occur synchronously across sites, suggestive of the combined effects of density-dependent processes and a generalized Moran effect; (2) reduced synchrony of outbreaks following Euro-American colonization may be explained by changes in forest communities due to land use practices; (3) outbreaks were often preceded by periods of drought and sustained by periods of above average moisture availability; (4) outbreak cessation often co-occurred with drought.</w:t>
      </w:r>
    </w:p>
    <w:p w14:paraId="44325001" w14:textId="77777777" w:rsidR="00C1738A" w:rsidRDefault="00000000" w:rsidP="00597CF4">
      <w:pPr>
        <w:pStyle w:val="BodyText"/>
      </w:pPr>
      <w:r>
        <w:lastRenderedPageBreak/>
        <w:t>We identified 8 periods of landscape-wide outbreak, which occurred between 1666 and 2023. These periods correspond with periods of outbreak identified in other dendroecological studies from Colorado (Table S</w:t>
      </w:r>
      <w:hyperlink w:anchor="historytab">
        <w:r w:rsidR="00C1738A">
          <w:fldChar w:fldCharType="begin"/>
        </w:r>
        <w:r w:rsidR="00C1738A">
          <w:instrText xml:space="preserve"> REF historytab \h</w:instrText>
        </w:r>
        <w:r w:rsidR="00C1738A">
          <w:fldChar w:fldCharType="separate"/>
        </w:r>
        <w:r w:rsidR="00C1738A">
          <w:rPr>
            <w:b/>
            <w:noProof/>
          </w:rPr>
          <w:t>5</w:t>
        </w:r>
        <w:r w:rsidR="00C1738A">
          <w:fldChar w:fldCharType="end"/>
        </w:r>
      </w:hyperlink>
      <w:r>
        <w:t>). Furthermore the 1980s outbreak is well documented in observational records from Colorado (</w:t>
      </w:r>
      <w:hyperlink w:anchor="ref-hadleyStandResponseWestern1993">
        <w:r w:rsidR="00C1738A">
          <w:rPr>
            <w:rStyle w:val="Hyperlink"/>
          </w:rPr>
          <w:t>Hadley and Veblen, 1993</w:t>
        </w:r>
      </w:hyperlink>
      <w:r>
        <w:t xml:space="preserve">; </w:t>
      </w:r>
      <w:hyperlink w:anchor="X50cecb246fd80c65ad42065985b700fbdc3d856">
        <w:r w:rsidR="00C1738A">
          <w:rPr>
            <w:rStyle w:val="Hyperlink"/>
          </w:rPr>
          <w:t xml:space="preserve">Weber and </w:t>
        </w:r>
        <w:proofErr w:type="spellStart"/>
        <w:r w:rsidR="00C1738A">
          <w:rPr>
            <w:rStyle w:val="Hyperlink"/>
          </w:rPr>
          <w:t>Schweingruber</w:t>
        </w:r>
        <w:proofErr w:type="spellEnd"/>
        <w:r w:rsidR="00C1738A">
          <w:rPr>
            <w:rStyle w:val="Hyperlink"/>
          </w:rPr>
          <w:t>, 1995</w:t>
        </w:r>
      </w:hyperlink>
      <w:r>
        <w:t>). While our landscape-wide record lacks the 1940s and 1960s outbreaks present in some observational records from Colorado (Table S</w:t>
      </w:r>
      <w:hyperlink w:anchor="historytab">
        <w:r w:rsidR="00C1738A">
          <w:fldChar w:fldCharType="begin"/>
        </w:r>
        <w:r w:rsidR="00C1738A">
          <w:instrText xml:space="preserve"> REF historytab \h</w:instrText>
        </w:r>
        <w:r w:rsidR="00C1738A">
          <w:fldChar w:fldCharType="separate"/>
        </w:r>
        <w:r w:rsidR="00C1738A">
          <w:rPr>
            <w:b/>
            <w:noProof/>
          </w:rPr>
          <w:t>5</w:t>
        </w:r>
        <w:r w:rsidR="00C1738A">
          <w:fldChar w:fldCharType="end"/>
        </w:r>
      </w:hyperlink>
      <w:r>
        <w:t>), these outbreaks were recorded in 25% of our site reconstructions. Overall, we conclude that the agreement between existing tree-ring and observational records confirms that tree-ring data can provide insights into periods of past WSB outbreak, as has been previously reported (</w:t>
      </w:r>
      <w:hyperlink w:anchor="ref-swetnam1989">
        <w:r w:rsidR="00C1738A">
          <w:rPr>
            <w:rStyle w:val="Hyperlink"/>
          </w:rPr>
          <w:t>Swetnam and Lynch, 1989</w:t>
        </w:r>
      </w:hyperlink>
      <w:r>
        <w:t>).</w:t>
      </w:r>
    </w:p>
    <w:p w14:paraId="59341FB6" w14:textId="77777777" w:rsidR="00C1738A" w:rsidRDefault="00000000" w:rsidP="00597CF4">
      <w:pPr>
        <w:pStyle w:val="BodyText"/>
      </w:pPr>
      <w:r>
        <w:t>Across all our sites the mean outbreak duration (10.5 years) was similar to those previously reported in dendroecological studies conducted in interior Pacific Northwest (mean duration: 12 years) (</w:t>
      </w:r>
      <w:hyperlink w:anchor="ref-flower2014">
        <w:r w:rsidR="00C1738A">
          <w:rPr>
            <w:rStyle w:val="Hyperlink"/>
          </w:rPr>
          <w:t>Flower et al., 2014</w:t>
        </w:r>
      </w:hyperlink>
      <w:r>
        <w:t>) and the Colorado Front Range (mean duration: 6.9 years) (</w:t>
      </w:r>
      <w:hyperlink w:anchor="X50cecb246fd80c65ad42065985b700fbdc3d856">
        <w:r w:rsidR="00C1738A">
          <w:rPr>
            <w:rStyle w:val="Hyperlink"/>
          </w:rPr>
          <w:t xml:space="preserve">Weber and </w:t>
        </w:r>
        <w:proofErr w:type="spellStart"/>
        <w:r w:rsidR="00C1738A">
          <w:rPr>
            <w:rStyle w:val="Hyperlink"/>
          </w:rPr>
          <w:t>Schweingruber</w:t>
        </w:r>
        <w:proofErr w:type="spellEnd"/>
        <w:r w:rsidR="00C1738A">
          <w:rPr>
            <w:rStyle w:val="Hyperlink"/>
          </w:rPr>
          <w:t>, 1995</w:t>
        </w:r>
      </w:hyperlink>
      <w:r>
        <w:t>). However, outbreaks in our record were notably shorter than in dendroecological records from central British Columbia (mean duration: 18 years) (</w:t>
      </w:r>
      <w:hyperlink w:anchor="ref-harvey2018">
        <w:r w:rsidR="00C1738A">
          <w:rPr>
            <w:rStyle w:val="Hyperlink"/>
          </w:rPr>
          <w:t>Harvey et al., 2018</w:t>
        </w:r>
      </w:hyperlink>
      <w:r>
        <w:t>) and southwestern Colorado (mean duration: 18.4 years) (</w:t>
      </w:r>
      <w:hyperlink w:anchor="X4e36991cd0640877d9d4abdf77193e4d82669ec">
        <w:r w:rsidR="00C1738A">
          <w:rPr>
            <w:rStyle w:val="Hyperlink"/>
          </w:rPr>
          <w:t>Ryerson et al., 2003</w:t>
        </w:r>
      </w:hyperlink>
      <w:r>
        <w:t>). These differences may reflect geographic variability and differences in tree-ring data collection and processing methods. Collectively this highlights the need for more research that addresses the drivers of outbreak dynamics in space and time, as well as the need for infrastructure and community commitment to sharing dendroecological data, code, and research that integrates multiple studies.</w:t>
      </w:r>
    </w:p>
    <w:p w14:paraId="3FB171CB" w14:textId="77777777" w:rsidR="00C1738A" w:rsidRDefault="00000000" w:rsidP="00597CF4">
      <w:pPr>
        <w:pStyle w:val="BodyText"/>
      </w:pPr>
      <w:r>
        <w:t>We found that WSB outbreak occurs synchronously across northern to central Colorado, consistent with previous dendroecological research (</w:t>
      </w:r>
      <w:hyperlink w:anchor="Xd7af862198f6827620bf67c34344277c6d9b2ea">
        <w:r w:rsidR="00C1738A">
          <w:rPr>
            <w:rStyle w:val="Hyperlink"/>
          </w:rPr>
          <w:t>Ellis and Flower, 2017a</w:t>
        </w:r>
      </w:hyperlink>
      <w:r>
        <w:t xml:space="preserve">; </w:t>
      </w:r>
      <w:hyperlink w:anchor="ref-flower2014">
        <w:r w:rsidR="00C1738A">
          <w:rPr>
            <w:rStyle w:val="Hyperlink"/>
          </w:rPr>
          <w:t>Flower et al., 2014</w:t>
        </w:r>
      </w:hyperlink>
      <w:r>
        <w:t xml:space="preserve">; </w:t>
      </w:r>
      <w:hyperlink w:anchor="X4e36991cd0640877d9d4abdf77193e4d82669ec">
        <w:r w:rsidR="00C1738A">
          <w:rPr>
            <w:rStyle w:val="Hyperlink"/>
          </w:rPr>
          <w:t>Ryerson et al., 2003</w:t>
        </w:r>
      </w:hyperlink>
      <w:r>
        <w:t xml:space="preserve">; </w:t>
      </w:r>
      <w:hyperlink w:anchor="ref-swetnam1993">
        <w:r w:rsidR="00C1738A">
          <w:rPr>
            <w:rStyle w:val="Hyperlink"/>
          </w:rPr>
          <w:t>Swetnam and Lynch, 1993</w:t>
        </w:r>
      </w:hyperlink>
      <w:r>
        <w:t>). For populations of irruptive insects, temporal synchrony may arise from density-dependent processes (e.g., dispersal, predation) and/or generalized Moran effects, where spatial autocorrelation in exogenous drivers, such as climate, leads to synchrony (</w:t>
      </w:r>
      <w:proofErr w:type="spellStart"/>
      <w:r>
        <w:fldChar w:fldCharType="begin"/>
      </w:r>
      <w:r>
        <w:instrText>HYPERLINK \l "X5b93338d3d6852085d1ec8f79ea25a91d04a799" \h</w:instrText>
      </w:r>
      <w:r>
        <w:fldChar w:fldCharType="separate"/>
      </w:r>
      <w:r>
        <w:rPr>
          <w:rStyle w:val="Hyperlink"/>
        </w:rPr>
        <w:t>Liebhold</w:t>
      </w:r>
      <w:proofErr w:type="spellEnd"/>
      <w:r>
        <w:rPr>
          <w:rStyle w:val="Hyperlink"/>
        </w:rPr>
        <w:t xml:space="preserve"> et al., 2004</w:t>
      </w:r>
      <w:r>
        <w:fldChar w:fldCharType="end"/>
      </w:r>
      <w:r>
        <w:t xml:space="preserve">). Here </w:t>
      </w:r>
      <w:r>
        <w:lastRenderedPageBreak/>
        <w:t>we found that both landscape-wide synchrony (0.21) and the spatial scale at which synchrony was statistically significant (≤50 km) were lower than we would expect if climate, acting independently of WSB population dispersal, was the only driver. For instance, across the 12 drought-sensitive ponderosa pine chronologies used to remove climate-trends in host ring-width series, we calculated greater landscape-wide synchrony (0.51) and significant correlations at greater distances (i.e., up to 100 km; Fig. S</w:t>
      </w:r>
      <w:hyperlink w:anchor="FigCovarianceNonHost">
        <w:r w:rsidR="00C1738A">
          <w:fldChar w:fldCharType="begin"/>
        </w:r>
        <w:r w:rsidR="00C1738A">
          <w:instrText xml:space="preserve"> REF FigCovarianceNonHost \h</w:instrText>
        </w:r>
        <w:r w:rsidR="00C1738A">
          <w:fldChar w:fldCharType="separate"/>
        </w:r>
        <w:r w:rsidR="00C1738A">
          <w:rPr>
            <w:b/>
            <w:noProof/>
          </w:rPr>
          <w:t>4</w:t>
        </w:r>
        <w:r w:rsidR="00C1738A">
          <w:fldChar w:fldCharType="end"/>
        </w:r>
      </w:hyperlink>
      <w:r>
        <w:t>). This is consistent with previous research on contemporary WSB outbreak in British Columbia, which has suggested that dispersal is key in driving the spatiotemporal patterns of WBS outbreaks (</w:t>
      </w:r>
      <w:hyperlink w:anchor="ref-senf2017MultiscaleAnalysisWestern">
        <w:r w:rsidR="00C1738A">
          <w:rPr>
            <w:rStyle w:val="Hyperlink"/>
          </w:rPr>
          <w:t>Senf et al., 2017</w:t>
        </w:r>
      </w:hyperlink>
      <w:r>
        <w:t>). Our records also show that outbreaks can develop concurrently in disjunct populations. For instance, evidence of the 1820s outbreak first appears in the tree-ring record in 1825 at the TI and JP sites, the furthest apart of our sites. While budworms are strong fliers that can disperse hundreds of kilometers in the right weather conditions (</w:t>
      </w:r>
      <w:hyperlink w:anchor="X3f635821c55a45424890682074a2eda50287344">
        <w:r w:rsidR="00C1738A">
          <w:rPr>
            <w:rStyle w:val="Hyperlink"/>
          </w:rPr>
          <w:t>Sturtevant et al., 2013</w:t>
        </w:r>
      </w:hyperlink>
      <w:r>
        <w:t>), most dispersal occurs at much shorter distances (</w:t>
      </w:r>
      <w:proofErr w:type="spellStart"/>
      <w:r>
        <w:t>i.e</w:t>
      </w:r>
      <w:proofErr w:type="spellEnd"/>
      <w:r>
        <w:t>, &lt;15 km) (</w:t>
      </w:r>
      <w:hyperlink w:anchor="ref-senf2017MultiscaleAnalysisWestern">
        <w:r w:rsidR="00C1738A">
          <w:rPr>
            <w:rStyle w:val="Hyperlink"/>
          </w:rPr>
          <w:t>Senf et al., 2017</w:t>
        </w:r>
      </w:hyperlink>
      <w:r>
        <w:t>). Thus both dispersal and a generalized Moran effect are likely important in driving the synchrony of local populations of WSBs (</w:t>
      </w:r>
      <w:hyperlink w:anchor="ref-flower2014">
        <w:r w:rsidR="00C1738A">
          <w:rPr>
            <w:rStyle w:val="Hyperlink"/>
          </w:rPr>
          <w:t>Flower et al., 2014</w:t>
        </w:r>
      </w:hyperlink>
      <w:r>
        <w:t xml:space="preserve">; </w:t>
      </w:r>
      <w:hyperlink w:anchor="ref-senf2017MultiscaleAnalysisWestern">
        <w:r w:rsidR="00C1738A">
          <w:rPr>
            <w:rStyle w:val="Hyperlink"/>
          </w:rPr>
          <w:t>Senf et al., 2017</w:t>
        </w:r>
      </w:hyperlink>
      <w:r>
        <w:t>).</w:t>
      </w:r>
    </w:p>
    <w:p w14:paraId="15674912" w14:textId="77777777" w:rsidR="00C1738A" w:rsidRDefault="00000000" w:rsidP="00597CF4">
      <w:pPr>
        <w:pStyle w:val="BodyText"/>
      </w:pPr>
      <w:r>
        <w:t xml:space="preserve">We found that some attributes of outbreaks dynamics differed during the period prior to and after Euro-American colonization. During the 1750-1849 period, outbreaks were longer, more severe, and more synchronous across the study area. For example, a long quiescent period lacking landscape-wide outbreaks from 1910-1980 is a conspicuous feature of the period following Euro-American colonization. Nonetheless, one of the most synchronous, widespread, and severe outbreaks in our record occurred in the 1990s, when 8 out of 12 sites were affected. Collectively this suggests that Euro-American colonization may have been initially associated with a period of lower severity outbreaks that occurred less synchronously across the study area. This period was followed by a period where outbreak dynamics were more </w:t>
      </w:r>
      <w:proofErr w:type="gramStart"/>
      <w:r>
        <w:t>similar to</w:t>
      </w:r>
      <w:proofErr w:type="gramEnd"/>
      <w:r>
        <w:t xml:space="preserve"> dynamics prior to Euro-American colonization. This pattern, which has been previously reported for the Southwest (</w:t>
      </w:r>
      <w:hyperlink w:anchor="ref-swetnam1993">
        <w:r w:rsidR="00C1738A">
          <w:rPr>
            <w:rStyle w:val="Hyperlink"/>
          </w:rPr>
          <w:t>Swetnam and Lynch, 1993</w:t>
        </w:r>
      </w:hyperlink>
      <w:r>
        <w:t xml:space="preserve">), may have occurred because of </w:t>
      </w:r>
      <w:r>
        <w:lastRenderedPageBreak/>
        <w:t>changes in landscape-level availability of host trees (</w:t>
      </w:r>
      <w:hyperlink w:anchor="ref-hadleyStandResponseWestern1993">
        <w:r w:rsidR="00C1738A">
          <w:rPr>
            <w:rStyle w:val="Hyperlink"/>
          </w:rPr>
          <w:t>Hadley and Veblen, 1993</w:t>
        </w:r>
      </w:hyperlink>
      <w:r>
        <w:t xml:space="preserve">; </w:t>
      </w:r>
      <w:hyperlink w:anchor="ref-senf2017MultiscaleAnalysisWestern">
        <w:r w:rsidR="00C1738A">
          <w:rPr>
            <w:rStyle w:val="Hyperlink"/>
          </w:rPr>
          <w:t>Senf et al., 2017</w:t>
        </w:r>
      </w:hyperlink>
      <w:r>
        <w:t>). Greater landscape-wide host availability can increase probability and severity of local WSB outbreak, independent of stand susceptibility, by influencing the potential for dispersing WSBs to arrive at the focal stand (</w:t>
      </w:r>
      <w:hyperlink w:anchor="ref-howe2024BudwormsBeetlesWildfire">
        <w:r w:rsidR="00C1738A">
          <w:rPr>
            <w:rStyle w:val="Hyperlink"/>
          </w:rPr>
          <w:t>Howe et al., 2024</w:t>
        </w:r>
      </w:hyperlink>
      <w:r>
        <w:t xml:space="preserve">;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xml:space="preserve">; </w:t>
      </w:r>
      <w:hyperlink w:anchor="ref-senf2017MultiscaleAnalysisWestern">
        <w:r w:rsidR="00C1738A">
          <w:rPr>
            <w:rStyle w:val="Hyperlink"/>
          </w:rPr>
          <w:t>Senf et al., 2017</w:t>
        </w:r>
      </w:hyperlink>
      <w:r>
        <w:t>). Across our study area, initial logging and burning reduced host availability in the early 20th century (</w:t>
      </w:r>
      <w:hyperlink w:anchor="ref-veblen1991ColoradoFrontRange">
        <w:r w:rsidR="00C1738A">
          <w:rPr>
            <w:rStyle w:val="Hyperlink"/>
          </w:rPr>
          <w:t>Veblen and Lorenz, 1991</w:t>
        </w:r>
      </w:hyperlink>
      <w:r>
        <w:t>). Many, if not most, of the Douglas-fir dominated stands in our study area originated after widespread burning in the second half of the 19th century (</w:t>
      </w:r>
      <w:hyperlink w:anchor="X6dd892ea2bf182e47770bba44f3a630cba57348">
        <w:r w:rsidR="00C1738A">
          <w:rPr>
            <w:rStyle w:val="Hyperlink"/>
          </w:rPr>
          <w:t>Sherriff and Veblen, 2007</w:t>
        </w:r>
      </w:hyperlink>
      <w:r>
        <w:t>). Thus, during the 1910-1980 quiescent period much of the study area would have been too young to be highly susceptible to WSB outbreak. However, during the late-20th century further development of multi-storied structures and increased host abundance coincident with continued absence of wildfire may have promoted an increase in susceptibility to WSB outbreak across the study area (</w:t>
      </w:r>
      <w:hyperlink w:anchor="ref-hadleyStandResponseWestern1993">
        <w:r w:rsidR="00C1738A">
          <w:rPr>
            <w:rStyle w:val="Hyperlink"/>
          </w:rPr>
          <w:t>Hadley and Veblen, 1993</w:t>
        </w:r>
      </w:hyperlink>
      <w:r>
        <w:t xml:space="preserve">; </w:t>
      </w:r>
      <w:hyperlink w:anchor="ref-rodman2019WildfireActivityLand">
        <w:r w:rsidR="00C1738A">
          <w:rPr>
            <w:rStyle w:val="Hyperlink"/>
          </w:rPr>
          <w:t>Rodman et al., 2019</w:t>
        </w:r>
      </w:hyperlink>
      <w:r>
        <w:t>). Consequently, considering the history land-use practices is critical to understanding temporal and spatial patterns of WSB outbreaks.</w:t>
      </w:r>
    </w:p>
    <w:p w14:paraId="366B0697" w14:textId="77777777" w:rsidR="00C1738A" w:rsidRDefault="00000000" w:rsidP="00597CF4">
      <w:pPr>
        <w:pStyle w:val="BodyText"/>
      </w:pPr>
      <w:r>
        <w:t xml:space="preserve">Nonetheless, we note that concurrent changes in land-use practices and climate can limit our ability to detect the effects of changes in land-use practices on forest ecosystems. For example, </w:t>
      </w:r>
      <w:proofErr w:type="spellStart"/>
      <w:r>
        <w:t>Schoennagel</w:t>
      </w:r>
      <w:proofErr w:type="spellEnd"/>
      <w:r>
        <w:t xml:space="preserve"> et al. (</w:t>
      </w:r>
      <w:hyperlink w:anchor="X1ee8372f9b42854b51bfddc05c18c0d9a83cf4c">
        <w:r w:rsidR="00C1738A">
          <w:rPr>
            <w:rStyle w:val="Hyperlink"/>
          </w:rPr>
          <w:t>2007</w:t>
        </w:r>
      </w:hyperlink>
      <w:r>
        <w:t>) found that over 50% of the fires recorded in the upper montane zone of the Colorado Front Range from 1750-1989 burned in a 41 year period (1850-1890), which coincided with a multidecadal period of drought and widespread mining activity. Here, we found a prolonged period of landscape-wide WSB quiescence in the century following extensive Euro-American colonization. While summer PDSI conditions were similar during the 1750-1849 and 1890-1989 periods (S</w:t>
      </w:r>
      <w:hyperlink w:anchor="FigPDSIt">
        <w:r w:rsidR="00C1738A">
          <w:fldChar w:fldCharType="begin"/>
        </w:r>
        <w:r w:rsidR="00C1738A">
          <w:instrText xml:space="preserve"> REF FigPDSIt \h</w:instrText>
        </w:r>
        <w:r w:rsidR="00C1738A">
          <w:fldChar w:fldCharType="separate"/>
        </w:r>
        <w:r w:rsidR="00C1738A">
          <w:rPr>
            <w:b/>
            <w:noProof/>
          </w:rPr>
          <w:t>6</w:t>
        </w:r>
        <w:r w:rsidR="00C1738A">
          <w:fldChar w:fldCharType="end"/>
        </w:r>
      </w:hyperlink>
      <w:r>
        <w:t>), the period of landscape-wide WSB quiescence was relatively warm and dry, conditions that may have inhibited outbreak.</w:t>
      </w:r>
    </w:p>
    <w:p w14:paraId="42E89A88" w14:textId="77777777" w:rsidR="00C1738A" w:rsidRDefault="00000000" w:rsidP="00597CF4">
      <w:pPr>
        <w:pStyle w:val="BodyText"/>
      </w:pPr>
      <w:r>
        <w:t xml:space="preserve">Our 250 year record shows that WSB outbreaks were more likely to occur during periods of above average moisture availability, consistent with the expectation that greater moisture availability increases </w:t>
      </w:r>
      <w:r>
        <w:lastRenderedPageBreak/>
        <w:t>forage palatability and availability thereby increasing insect population growth rates (</w:t>
      </w:r>
      <w:hyperlink w:anchor="ref-price1991PlantVigorHypothesis">
        <w:r w:rsidR="00C1738A">
          <w:rPr>
            <w:rStyle w:val="Hyperlink"/>
          </w:rPr>
          <w:t>Price, 1991</w:t>
        </w:r>
      </w:hyperlink>
      <w:r>
        <w:t>). Here we document higher SC-PDSI values during years of outbreak, consistent with previous dendroecological research from the Southwest (</w:t>
      </w:r>
      <w:hyperlink w:anchor="X4e36991cd0640877d9d4abdf77193e4d82669ec">
        <w:r w:rsidR="00C1738A">
          <w:rPr>
            <w:rStyle w:val="Hyperlink"/>
          </w:rPr>
          <w:t>Ryerson et al., 2003</w:t>
        </w:r>
      </w:hyperlink>
      <w:r>
        <w:t xml:space="preserve">; </w:t>
      </w:r>
      <w:hyperlink w:anchor="ref-swetnam1993">
        <w:r w:rsidR="00C1738A">
          <w:rPr>
            <w:rStyle w:val="Hyperlink"/>
          </w:rPr>
          <w:t>Swetnam and Lynch, 1993</w:t>
        </w:r>
      </w:hyperlink>
      <w:r>
        <w:t>). We also show that outbreak initiation tended to co-occur with the start of periods of above average moisture availability, as has been reported in the Pacific Northwest (</w:t>
      </w:r>
      <w:hyperlink w:anchor="Xd7af862198f6827620bf67c34344277c6d9b2ea">
        <w:r w:rsidR="00C1738A">
          <w:rPr>
            <w:rStyle w:val="Hyperlink"/>
          </w:rPr>
          <w:t>Ellis and Flower, 2017a</w:t>
        </w:r>
      </w:hyperlink>
      <w:r>
        <w:t xml:space="preserve">; </w:t>
      </w:r>
      <w:hyperlink w:anchor="ref-flower2014">
        <w:r w:rsidR="00C1738A">
          <w:rPr>
            <w:rStyle w:val="Hyperlink"/>
          </w:rPr>
          <w:t>Flower et al., 2014</w:t>
        </w:r>
      </w:hyperlink>
      <w:r>
        <w:t>). Additionally, we show that across our study area, synchronous outbreaks were more likely to occur when periods of increased moisture availability were longer and more extreme. These findings highlight the importance of considering cumulative effects of climate variability on ecological systems (</w:t>
      </w:r>
      <w:hyperlink w:anchor="Xf6ae463a8105ae8fc6c3d1948fe66405168f421">
        <w:r w:rsidR="00C1738A">
          <w:rPr>
            <w:rStyle w:val="Hyperlink"/>
          </w:rPr>
          <w:t>Hartmann et al., 2018</w:t>
        </w:r>
      </w:hyperlink>
      <w:r>
        <w:t>).</w:t>
      </w:r>
    </w:p>
    <w:p w14:paraId="707D3EC7" w14:textId="77777777" w:rsidR="00C1738A" w:rsidRDefault="00000000" w:rsidP="00597CF4">
      <w:pPr>
        <w:pStyle w:val="BodyText"/>
      </w:pPr>
      <w:r>
        <w:t>Our analyses provide support for the idea that drought proceeds WSB outbreaks. Collectively, landscape-wide and site-level superposed epoch analyses suggested a significant relationship existed between outbreak initiation and drought in the preceding one to five years, as has been previously reported in the Pacific Northwest (</w:t>
      </w:r>
      <w:hyperlink w:anchor="Xd7af862198f6827620bf67c34344277c6d9b2ea">
        <w:r w:rsidR="00C1738A">
          <w:rPr>
            <w:rStyle w:val="Hyperlink"/>
          </w:rPr>
          <w:t>Ellis and Flower, 2017a</w:t>
        </w:r>
      </w:hyperlink>
      <w:r>
        <w:t xml:space="preserve">; </w:t>
      </w:r>
      <w:hyperlink w:anchor="ref-flower2014">
        <w:r w:rsidR="00C1738A">
          <w:rPr>
            <w:rStyle w:val="Hyperlink"/>
          </w:rPr>
          <w:t>Flower et al., 2014</w:t>
        </w:r>
      </w:hyperlink>
      <w:r>
        <w:t>). The variation in the timing of the inciting drought may emerge due to density-dependent processes and/or a lagged effect of defoliation on radial growth, which may occur because trees can use previously stored carbon for growth (</w:t>
      </w:r>
      <w:hyperlink w:anchor="ref-richardson2015DistributionMixingOld">
        <w:r w:rsidR="00C1738A">
          <w:rPr>
            <w:rStyle w:val="Hyperlink"/>
          </w:rPr>
          <w:t>Richardson et al., 2015</w:t>
        </w:r>
      </w:hyperlink>
      <w:r>
        <w:t>). Indeed, dendroecological studies of ongoing outbreaks show that the effect of defoliation on radial growth often lag defoliation by one to three years (</w:t>
      </w:r>
      <w:hyperlink w:anchor="ref-alfaroTreeMortalityRadial1982">
        <w:r w:rsidR="00C1738A">
          <w:rPr>
            <w:rStyle w:val="Hyperlink"/>
          </w:rPr>
          <w:t>Alfaro et al., 1982</w:t>
        </w:r>
      </w:hyperlink>
      <w:r>
        <w:t xml:space="preserve">; </w:t>
      </w:r>
      <w:hyperlink w:anchor="ref-swetnam1985">
        <w:r w:rsidR="00C1738A">
          <w:rPr>
            <w:rStyle w:val="Hyperlink"/>
          </w:rPr>
          <w:t>Swetnam, 1985</w:t>
        </w:r>
      </w:hyperlink>
      <w:r>
        <w:t>).</w:t>
      </w:r>
    </w:p>
    <w:p w14:paraId="0FDE3D4D" w14:textId="77777777" w:rsidR="00C1738A" w:rsidRDefault="00000000" w:rsidP="00597CF4">
      <w:pPr>
        <w:pStyle w:val="BodyText"/>
      </w:pPr>
      <w:r>
        <w:t>Once outbreaks begin, our results suggest that above average moisture conditions are important for sustaining outbreaks, consistent with Huberty and Denno’s (</w:t>
      </w:r>
      <w:hyperlink w:anchor="ref-huberty2004PlantWaterStress">
        <w:r w:rsidR="00C1738A">
          <w:rPr>
            <w:rStyle w:val="Hyperlink"/>
          </w:rPr>
          <w:t>2004</w:t>
        </w:r>
      </w:hyperlink>
      <w:r>
        <w:t xml:space="preserve">) </w:t>
      </w:r>
      <w:r>
        <w:rPr>
          <w:i/>
          <w:iCs/>
        </w:rPr>
        <w:t>pulsed stress hypothesis</w:t>
      </w:r>
      <w:r>
        <w:t>. Additional moisture likely allows trees to allocate more carbon to more production of new foliage (</w:t>
      </w:r>
      <w:hyperlink w:anchor="ref-gower1992CarbonDynamicsRocky">
        <w:r w:rsidR="00C1738A">
          <w:rPr>
            <w:rStyle w:val="Hyperlink"/>
          </w:rPr>
          <w:t>Gower et al., 1992</w:t>
        </w:r>
      </w:hyperlink>
      <w:r>
        <w:t>), which can increase the survival rates of WSB larvae (</w:t>
      </w:r>
      <w:hyperlink w:anchor="ref-nealis2009RiskDispersalWestern">
        <w:r w:rsidR="00C1738A">
          <w:rPr>
            <w:rStyle w:val="Hyperlink"/>
          </w:rPr>
          <w:t xml:space="preserve">Nealis and </w:t>
        </w:r>
        <w:proofErr w:type="spellStart"/>
        <w:r w:rsidR="00C1738A">
          <w:rPr>
            <w:rStyle w:val="Hyperlink"/>
          </w:rPr>
          <w:t>Régnière</w:t>
        </w:r>
        <w:proofErr w:type="spellEnd"/>
        <w:r w:rsidR="00C1738A">
          <w:rPr>
            <w:rStyle w:val="Hyperlink"/>
          </w:rPr>
          <w:t>, 2009</w:t>
        </w:r>
      </w:hyperlink>
      <w:r>
        <w:t xml:space="preserve">). We also find that outbreak cessation often co-occurred with a transition from above average moisture availability to </w:t>
      </w:r>
      <w:r>
        <w:lastRenderedPageBreak/>
        <w:t>drought, consistent with previous work from the interior Pacific Northwest (</w:t>
      </w:r>
      <w:hyperlink w:anchor="Xd7af862198f6827620bf67c34344277c6d9b2ea">
        <w:r w:rsidR="00C1738A">
          <w:rPr>
            <w:rStyle w:val="Hyperlink"/>
          </w:rPr>
          <w:t>Ellis and Flower, 2017a</w:t>
        </w:r>
      </w:hyperlink>
      <w:r>
        <w:t>). Ellis and Flower (</w:t>
      </w:r>
      <w:hyperlink w:anchor="Xd7af862198f6827620bf67c34344277c6d9b2ea">
        <w:r w:rsidR="00C1738A">
          <w:rPr>
            <w:rStyle w:val="Hyperlink"/>
          </w:rPr>
          <w:t>Ellis and Flower, 2017a</w:t>
        </w:r>
      </w:hyperlink>
      <w:r>
        <w:t>) concluded that prolonged wet periods rather than the transition to droughts contributed to outbreak cessation. Cool and wet conditions in the spring can decrease overwintering survival and subsequent foraging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and prolonged reductions in survival early during the WSB life cycle can contribute to population reductions. However, here we found that the wet periods coincident with outbreak cessation were of average duration. Instead, our data suggests that drought events may facilitate outbreak collapse by decreasing forage production and/or increasing the rates that dormant budworms deplete glycogen reserves, which may cause significant mortality (</w:t>
      </w:r>
      <w:hyperlink w:anchor="ref-nealis2016WhyWesternSpruce">
        <w:r w:rsidR="00C1738A">
          <w:rPr>
            <w:rStyle w:val="Hyperlink"/>
          </w:rPr>
          <w:t xml:space="preserve">Nealis and </w:t>
        </w:r>
        <w:proofErr w:type="spellStart"/>
        <w:r w:rsidR="00C1738A">
          <w:rPr>
            <w:rStyle w:val="Hyperlink"/>
          </w:rPr>
          <w:t>Régnière</w:t>
        </w:r>
        <w:proofErr w:type="spellEnd"/>
        <w:r w:rsidR="00C1738A">
          <w:rPr>
            <w:rStyle w:val="Hyperlink"/>
          </w:rPr>
          <w:t>, 2016</w:t>
        </w:r>
      </w:hyperlink>
      <w:r>
        <w:t xml:space="preserve">;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Indeed, Thomson et al. (</w:t>
      </w:r>
      <w:hyperlink w:anchor="ref-thomson1984RelatingWeatherOutbreaks">
        <w:r w:rsidR="00C1738A">
          <w:rPr>
            <w:rStyle w:val="Hyperlink"/>
          </w:rPr>
          <w:t>1984</w:t>
        </w:r>
      </w:hyperlink>
      <w:r>
        <w:t>) reported warm temperatures in the late summer as the primary factors driving the collapse of two outbreaks British Columbia.</w:t>
      </w:r>
    </w:p>
    <w:p w14:paraId="5BE260C1" w14:textId="77777777" w:rsidR="00C1738A" w:rsidRDefault="00000000" w:rsidP="00597CF4">
      <w:pPr>
        <w:pStyle w:val="BodyText"/>
      </w:pPr>
      <w:r>
        <w:t>While overall we found that both outbreak initiation and cessation co-occurred with drought, not all outbreaks followed this pattern. This variable effect of drought on outbreak dynamics may exist because the drought sensitivity of the WSB-Douglas fir system varies (</w:t>
      </w:r>
      <w:hyperlink w:anchor="ref-harvey2018">
        <w:r w:rsidR="00C1738A">
          <w:rPr>
            <w:rStyle w:val="Hyperlink"/>
          </w:rPr>
          <w:t>Harvey et al., 2018</w:t>
        </w:r>
      </w:hyperlink>
      <w:r>
        <w:t xml:space="preserve">; </w:t>
      </w:r>
      <w:hyperlink w:anchor="ref-xuDroughtMoistureAvailability2019">
        <w:r w:rsidR="00C1738A">
          <w:rPr>
            <w:rStyle w:val="Hyperlink"/>
          </w:rPr>
          <w:t>Xu et al., 2019</w:t>
        </w:r>
      </w:hyperlink>
      <w:r>
        <w:t>). For instance, during the period of landscape-wide quiescence from 1910-1980, the sites that experienced local outbreaks were on average more productive than sites that did not (mean 1981-2010 actual evapotranspiration was 508 and 467 mm yr</w:t>
      </w:r>
      <w:r>
        <w:rPr>
          <w:vertAlign w:val="superscript"/>
        </w:rPr>
        <w:t>-1</w:t>
      </w:r>
      <w:r>
        <w:t xml:space="preserve"> for sites with and without outbreak, respectively; Table </w:t>
      </w:r>
      <w:hyperlink w:anchor="outbreaksummary">
        <w:r w:rsidR="00C1738A">
          <w:fldChar w:fldCharType="begin"/>
        </w:r>
        <w:r w:rsidR="00C1738A">
          <w:instrText xml:space="preserve"> REF outbreaksummary \h</w:instrText>
        </w:r>
        <w:r w:rsidR="00C1738A">
          <w:fldChar w:fldCharType="separate"/>
        </w:r>
        <w:r w:rsidR="00C1738A">
          <w:rPr>
            <w:b/>
            <w:noProof/>
          </w:rPr>
          <w:t>1</w:t>
        </w:r>
        <w:r w:rsidR="00C1738A">
          <w:fldChar w:fldCharType="end"/>
        </w:r>
      </w:hyperlink>
      <w:r>
        <w:t>). At these less productive sites, the concurrent prolonged drought conditions may have limited the production of palatable forage and thus WSB outbreak. This finding is consistent with Xu et al.’s (</w:t>
      </w:r>
      <w:hyperlink w:anchor="ref-xuDroughtMoistureAvailability2019">
        <w:r w:rsidR="00C1738A">
          <w:rPr>
            <w:rStyle w:val="Hyperlink"/>
          </w:rPr>
          <w:t>2019</w:t>
        </w:r>
      </w:hyperlink>
      <w:r>
        <w:t>) observations of drought positively influencing spatiotemporal patterns of WSB outbreak only at the more productive Douglas-fir forests in the Western US. Future research is necessary to understand how drought may influence WSB outbreak dynamics across gradients of productivity.</w:t>
      </w:r>
    </w:p>
    <w:p w14:paraId="16A6A548" w14:textId="77777777" w:rsidR="00C1738A" w:rsidRDefault="00000000" w:rsidP="00597CF4">
      <w:pPr>
        <w:pStyle w:val="BodyText"/>
      </w:pPr>
      <w:r>
        <w:lastRenderedPageBreak/>
        <w:t>Our study is limited by its annual resolution and the correlation among seasonal climate variables known to influence different stages of the WSB life cycle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Here we assessed the effect of climate variability on WSB outbreak dynamics using summer SC-PDSI, which is highly correlated with other climate variables that may also influence WSB outbreak dynamics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For instance, in the WSB-Douglas fir system, drought commonly co-occurs with warm spring temperatures, which may positively affect WSB population growth rates by limiting mortality due to freezing or destruction of food supplies (</w:t>
      </w:r>
      <w:hyperlink w:anchor="ref-fellinWesternSpruceBudworm1982">
        <w:r w:rsidR="00C1738A">
          <w:rPr>
            <w:rStyle w:val="Hyperlink"/>
          </w:rPr>
          <w:t>Fellin and Dewey, 1982</w:t>
        </w:r>
      </w:hyperlink>
      <w:r>
        <w:t xml:space="preserve">; </w:t>
      </w:r>
      <w:hyperlink w:anchor="ref-nealis2021EcologyOutbreakPopulations">
        <w:r w:rsidR="00C1738A">
          <w:rPr>
            <w:rStyle w:val="Hyperlink"/>
          </w:rPr>
          <w:t xml:space="preserve">Nealis and </w:t>
        </w:r>
        <w:proofErr w:type="spellStart"/>
        <w:r w:rsidR="00C1738A">
          <w:rPr>
            <w:rStyle w:val="Hyperlink"/>
          </w:rPr>
          <w:t>Régnière</w:t>
        </w:r>
        <w:proofErr w:type="spellEnd"/>
        <w:r w:rsidR="00C1738A">
          <w:rPr>
            <w:rStyle w:val="Hyperlink"/>
          </w:rPr>
          <w:t>, 2021</w:t>
        </w:r>
      </w:hyperlink>
      <w:r>
        <w:t>). Thus, the positive effect of drought on outbreak initiation identified here may in part reflect the positive effects of warm spring temperatures.</w:t>
      </w:r>
    </w:p>
    <w:p w14:paraId="121F747B" w14:textId="77777777" w:rsidR="00C1738A" w:rsidRDefault="00000000" w:rsidP="00597CF4">
      <w:pPr>
        <w:pStyle w:val="BodyText"/>
      </w:pPr>
      <w:r>
        <w:t>This study highlights the role of broad-scale drivers in WSB outbreak dynamics, which has several important implications for understanding the ecology and management of WSB outbreak dynamics. First, forest management practices aimed at mitigating the effects of WSB, must consider landscape-wide and landscape-scale processes. Here we attribute the early to mid 1900s quiescent period in our landscape-wide WSB record to a broad-scale reduction in host availability due to Euro-American land-use practices, including logging and widespread anthropogenic fires during the relatively dry second half of the 19th century. From this we suggest that assessment of the likelihood of WSB outbreak and the efficacy of potential mitigation effort to enhance stand resistance to outbreak must consider stand structures across the surrounding landscape. In that context, the potential success of any management objectives should consider the effects of large fires in altering landscape- to regional-scale forest susceptibility to WSB outbreak. For example, the extensive fires in 2020 in our study area have significantly reduced the extent of Douglas fir-dominated stands susceptible to WSB. Based on our results linking changes in WSB to past land-use practices, the 2020 fires may provide an opportunity to explore their potential benefits as a nature-based solution to adaptation to climate change impacts (</w:t>
      </w:r>
      <w:hyperlink w:anchor="X6f4166e0fdc3ccca1240652d681ee28987e852d">
        <w:r w:rsidR="00C1738A">
          <w:rPr>
            <w:rStyle w:val="Hyperlink"/>
          </w:rPr>
          <w:t xml:space="preserve">Baker </w:t>
        </w:r>
        <w:r w:rsidR="00C1738A">
          <w:rPr>
            <w:rStyle w:val="Hyperlink"/>
          </w:rPr>
          <w:lastRenderedPageBreak/>
          <w:t>et al., 2023</w:t>
        </w:r>
      </w:hyperlink>
      <w:r>
        <w:t>). Likewise, our results are highly relevant to management discussions framed in terms of emulating natural disturbances to promote heterogeneity at multiple scales (</w:t>
      </w:r>
      <w:hyperlink w:anchor="X02a03063ff5f535a5585b7cdf52f4b38c391165">
        <w:r w:rsidR="00C1738A">
          <w:rPr>
            <w:rStyle w:val="Hyperlink"/>
          </w:rPr>
          <w:t>DeRose and Long, 2014</w:t>
        </w:r>
      </w:hyperlink>
      <w:r>
        <w:t xml:space="preserve">; </w:t>
      </w:r>
      <w:hyperlink w:anchor="X67853bb16df47998daad391762a96fda32eef40">
        <w:r w:rsidR="00C1738A">
          <w:rPr>
            <w:rStyle w:val="Hyperlink"/>
          </w:rPr>
          <w:t>Windmuller-Campione et al., 2021</w:t>
        </w:r>
      </w:hyperlink>
      <w:r>
        <w:t>). Second, we find that outbreaks were strongly linked to climate variability. Consequently future changes in climate, which are forecasted to include increases in the intensity and frequency of drought across the Southwest (</w:t>
      </w:r>
      <w:hyperlink w:anchor="ref-usgcrp2023FifthNationalClimate">
        <w:r w:rsidR="00C1738A">
          <w:rPr>
            <w:rStyle w:val="Hyperlink"/>
          </w:rPr>
          <w:t>USGCRP, 2023</w:t>
        </w:r>
      </w:hyperlink>
      <w:r>
        <w:t>), are likely to alter spatial and temporal patterns of WSB outbreak. While previous work from the Pacific Northwest has suggested that climate change may increase the likelihood of WSB outbreaks (</w:t>
      </w:r>
      <w:hyperlink w:anchor="X7d31310359f8aeff087bd73b0bfde8ae5ebcecb">
        <w:r w:rsidR="00C1738A">
          <w:rPr>
            <w:rStyle w:val="Hyperlink"/>
          </w:rPr>
          <w:t>Ellis and Flower, 2017b</w:t>
        </w:r>
      </w:hyperlink>
      <w:r>
        <w:t xml:space="preserve">; </w:t>
      </w:r>
      <w:hyperlink w:anchor="ref-flower2014">
        <w:r w:rsidR="00C1738A">
          <w:rPr>
            <w:rStyle w:val="Hyperlink"/>
          </w:rPr>
          <w:t>Flower et al., 2014</w:t>
        </w:r>
      </w:hyperlink>
      <w:r>
        <w:t>), the association between outbreak continuation an above-average moisture availability that we observed here suggests that future warming and drying may inhibit outbreaks, particularly at drier locations. Collectively, this highlights the need for forest managers to plan for uncertainty by adopting adaptive management practices (</w:t>
      </w:r>
      <w:hyperlink w:anchor="ref-millar2016ClimateChangeForests">
        <w:r w:rsidR="00C1738A">
          <w:rPr>
            <w:rStyle w:val="Hyperlink"/>
          </w:rPr>
          <w:t>Millar et al., 2016</w:t>
        </w:r>
      </w:hyperlink>
      <w:r>
        <w:t>).</w:t>
      </w:r>
    </w:p>
    <w:p w14:paraId="5BC4446F" w14:textId="77777777" w:rsidR="00C1738A" w:rsidRDefault="00000000" w:rsidP="00597CF4">
      <w:pPr>
        <w:pStyle w:val="Heading1"/>
      </w:pPr>
      <w:bookmarkStart w:id="32" w:name="acknowledgements"/>
      <w:bookmarkEnd w:id="31"/>
      <w:r>
        <w:t>Acknowledgements</w:t>
      </w:r>
    </w:p>
    <w:p w14:paraId="1382478B" w14:textId="77777777" w:rsidR="00C1738A" w:rsidRDefault="00000000" w:rsidP="00597CF4">
      <w:pPr>
        <w:pStyle w:val="FirstParagraph"/>
      </w:pPr>
      <w:r>
        <w:t>This research was supported by the USDA National Institute of Food and Agriculture, McIntire-Stennis project COL00520, accession number 7002894. Additionally, we would like to thank Colorado State University and the Colorado Mountain Club for supporting O. Santiago. For research assistance we thank L. Daniels, K. Farley, M. Gonzalez, S. Sibold, S. Shimek, and J. Smith.</w:t>
      </w:r>
    </w:p>
    <w:p w14:paraId="07FF6495" w14:textId="77777777" w:rsidR="00C1738A" w:rsidRDefault="00000000" w:rsidP="00597CF4">
      <w:pPr>
        <w:pStyle w:val="Heading1"/>
      </w:pPr>
      <w:bookmarkStart w:id="33" w:name="references"/>
      <w:bookmarkEnd w:id="32"/>
      <w:r>
        <w:t>References</w:t>
      </w:r>
    </w:p>
    <w:p w14:paraId="6BC26DBC" w14:textId="77777777" w:rsidR="00C1738A" w:rsidRDefault="00000000">
      <w:pPr>
        <w:pStyle w:val="Bibliography"/>
      </w:pPr>
      <w:bookmarkStart w:id="34" w:name="ref-abatzoglouWestWideDrought2017"/>
      <w:bookmarkStart w:id="35" w:name="refs"/>
      <w:proofErr w:type="spellStart"/>
      <w:r>
        <w:t>Abatzoglou</w:t>
      </w:r>
      <w:proofErr w:type="spellEnd"/>
      <w:r>
        <w:t xml:space="preserve">, J.T., McEvoy, D.J., Redmond, K.T., 2017. The west wide drought tracker: Drought monitoring at fine spatial scales. Bulletin of the American Meteorological Society 98, 1815–1820. </w:t>
      </w:r>
      <w:hyperlink r:id="rId17">
        <w:r w:rsidR="00C1738A">
          <w:rPr>
            <w:rStyle w:val="Hyperlink"/>
          </w:rPr>
          <w:t>https://doi.org/10.1175/BAMS-D-16-0193.1</w:t>
        </w:r>
      </w:hyperlink>
    </w:p>
    <w:p w14:paraId="1CF8BBB0" w14:textId="77777777" w:rsidR="00C1738A" w:rsidRDefault="00000000">
      <w:pPr>
        <w:pStyle w:val="Bibliography"/>
      </w:pPr>
      <w:bookmarkStart w:id="36" w:name="ref-akaikeInformationTheoryExtension1973"/>
      <w:bookmarkEnd w:id="34"/>
      <w:r>
        <w:t>Akaike, H., 1973. Information theory and an extension of the maximum likelihood principle, in: Petrov, B.N., Csáki, F. (Eds.</w:t>
      </w:r>
      <w:proofErr w:type="gramStart"/>
      <w:r>
        <w:t>),.</w:t>
      </w:r>
      <w:proofErr w:type="gramEnd"/>
      <w:r>
        <w:t xml:space="preserve"> </w:t>
      </w:r>
      <w:proofErr w:type="spellStart"/>
      <w:r>
        <w:t>Academiai</w:t>
      </w:r>
      <w:proofErr w:type="spellEnd"/>
      <w:r>
        <w:t xml:space="preserve"> </w:t>
      </w:r>
      <w:proofErr w:type="spellStart"/>
      <w:r>
        <w:t>Kiado</w:t>
      </w:r>
      <w:proofErr w:type="spellEnd"/>
      <w:r>
        <w:t>, Budapest, Hungary, pp. 267–281.</w:t>
      </w:r>
    </w:p>
    <w:p w14:paraId="0D45021E" w14:textId="77777777" w:rsidR="00C1738A" w:rsidRDefault="00000000">
      <w:pPr>
        <w:pStyle w:val="Bibliography"/>
      </w:pPr>
      <w:bookmarkStart w:id="37" w:name="ref-alfaroPeriodicityWesternSpruce2014"/>
      <w:bookmarkEnd w:id="36"/>
      <w:r>
        <w:t xml:space="preserve">Alfaro, R.I., Berg, J., Axelson, J., 2014. Periodicity of western spruce budworm in southern British Columbia, Canada. Forest Ecology and Management 315, 72–79. </w:t>
      </w:r>
      <w:hyperlink r:id="rId18">
        <w:r w:rsidR="00C1738A">
          <w:rPr>
            <w:rStyle w:val="Hyperlink"/>
          </w:rPr>
          <w:t>https://doi.org/10.1016/j.foreco.2013.12.026</w:t>
        </w:r>
      </w:hyperlink>
    </w:p>
    <w:p w14:paraId="2B6EEEB3" w14:textId="77777777" w:rsidR="00C1738A" w:rsidRDefault="00000000">
      <w:pPr>
        <w:pStyle w:val="Bibliography"/>
      </w:pPr>
      <w:bookmarkStart w:id="38" w:name="ref-alfaro1992"/>
      <w:bookmarkEnd w:id="37"/>
      <w:r>
        <w:lastRenderedPageBreak/>
        <w:t xml:space="preserve">Alfaro, R.I., </w:t>
      </w:r>
      <w:proofErr w:type="spellStart"/>
      <w:r>
        <w:t>Maclauchlan</w:t>
      </w:r>
      <w:proofErr w:type="spellEnd"/>
      <w:r>
        <w:t xml:space="preserve">, L.E., 1992. A method to calculate the losses caused by western spruce budworm in uneven-aged Douglas fir forests of British Columbia. Forest Ecology and Management 55, 295–313. </w:t>
      </w:r>
      <w:hyperlink r:id="rId19">
        <w:r w:rsidR="00C1738A">
          <w:rPr>
            <w:rStyle w:val="Hyperlink"/>
          </w:rPr>
          <w:t>https://doi.org/10.1016/0378-1127(92)90107-K</w:t>
        </w:r>
      </w:hyperlink>
    </w:p>
    <w:p w14:paraId="59C80C89" w14:textId="77777777" w:rsidR="00C1738A" w:rsidRDefault="00000000">
      <w:pPr>
        <w:pStyle w:val="Bibliography"/>
      </w:pPr>
      <w:bookmarkStart w:id="39" w:name="ref-alfaroTreeMortalityRadial1982"/>
      <w:bookmarkEnd w:id="38"/>
      <w:r>
        <w:t xml:space="preserve">Alfaro, R.I., Sickle, G.A.V., Thomson, A.J., </w:t>
      </w:r>
      <w:proofErr w:type="spellStart"/>
      <w:r>
        <w:t>Wegwitz</w:t>
      </w:r>
      <w:proofErr w:type="spellEnd"/>
      <w:r>
        <w:t xml:space="preserve">, E., 1982. Tree mortality and radial growth losses caused by the western spruce budworm in a Douglas-fir stand in British Columbia. Canadian Journal of Forest Research 12, 780–787. </w:t>
      </w:r>
      <w:hyperlink r:id="rId20">
        <w:r w:rsidR="00C1738A">
          <w:rPr>
            <w:rStyle w:val="Hyperlink"/>
          </w:rPr>
          <w:t>https://doi.org/10.1139/x82-117</w:t>
        </w:r>
      </w:hyperlink>
    </w:p>
    <w:p w14:paraId="6A95D6DB" w14:textId="77777777" w:rsidR="00C1738A" w:rsidRDefault="00000000">
      <w:pPr>
        <w:pStyle w:val="Bibliography"/>
      </w:pPr>
      <w:bookmarkStart w:id="40" w:name="X6f4166e0fdc3ccca1240652d681ee28987e852d"/>
      <w:bookmarkEnd w:id="39"/>
      <w:r>
        <w:t xml:space="preserve">Baker, W.L., Hanson, C.T., DellaSala, D.A., 2023. Harnessing Natural Disturbances: A Nature-Based Solution for Restoring and Adapting Dry Forests in the Western USA to Climate Change. Fire 6, 428. </w:t>
      </w:r>
      <w:hyperlink r:id="rId21">
        <w:r w:rsidR="00C1738A">
          <w:rPr>
            <w:rStyle w:val="Hyperlink"/>
          </w:rPr>
          <w:t>https://doi.org/10.3390/fire6110428</w:t>
        </w:r>
      </w:hyperlink>
    </w:p>
    <w:p w14:paraId="11608FC4" w14:textId="77777777" w:rsidR="00C1738A" w:rsidRDefault="00000000">
      <w:pPr>
        <w:pStyle w:val="Bibliography"/>
      </w:pPr>
      <w:bookmarkStart w:id="41" w:name="ref-bale2002"/>
      <w:bookmarkEnd w:id="40"/>
      <w:r>
        <w:t xml:space="preserve">Bale, J.S., Masters, G.J., Hodkinson, I.D., Awmack, C., </w:t>
      </w:r>
      <w:proofErr w:type="spellStart"/>
      <w:r>
        <w:t>Bezemer</w:t>
      </w:r>
      <w:proofErr w:type="spellEnd"/>
      <w:r>
        <w:t xml:space="preserve">, T.M., Brown, V.K., Butterfield, J., Buse, A., Coulson, J.C., Farrar, J., Good, J.E.G., Harrington, R., Hartley, S., Jones, T.H., Lindroth, R.L., Press, M.C., </w:t>
      </w:r>
      <w:proofErr w:type="spellStart"/>
      <w:r>
        <w:t>Symrnioudis</w:t>
      </w:r>
      <w:proofErr w:type="spellEnd"/>
      <w:r>
        <w:t xml:space="preserve">, I., Watt, A.D., Whittaker, J.B., 2002. Herbivory in global climate change research: direct effects of rising temperature on insect herbivores. Global Change Biology 8, 1–16. </w:t>
      </w:r>
      <w:hyperlink r:id="rId22">
        <w:r w:rsidR="00C1738A">
          <w:rPr>
            <w:rStyle w:val="Hyperlink"/>
          </w:rPr>
          <w:t>https://doi.org/10.1046/j.1365-2486.2002.00451.x</w:t>
        </w:r>
      </w:hyperlink>
    </w:p>
    <w:p w14:paraId="4077FD83" w14:textId="77777777" w:rsidR="00C1738A" w:rsidRDefault="00000000">
      <w:pPr>
        <w:pStyle w:val="Bibliography"/>
      </w:pPr>
      <w:bookmarkStart w:id="42" w:name="ref-bjornstadNcfSpatialNonparametric2020"/>
      <w:bookmarkEnd w:id="41"/>
      <w:r>
        <w:t xml:space="preserve">Bjørnstad, O.N., 2020. </w:t>
      </w:r>
      <w:hyperlink r:id="rId23">
        <w:proofErr w:type="spellStart"/>
        <w:r w:rsidR="00C1738A">
          <w:rPr>
            <w:rStyle w:val="Hyperlink"/>
          </w:rPr>
          <w:t>ncf</w:t>
        </w:r>
        <w:proofErr w:type="spellEnd"/>
        <w:r w:rsidR="00C1738A">
          <w:rPr>
            <w:rStyle w:val="Hyperlink"/>
          </w:rPr>
          <w:t>: Spatial nonparametric covariance functions</w:t>
        </w:r>
      </w:hyperlink>
      <w:r>
        <w:t>.</w:t>
      </w:r>
    </w:p>
    <w:p w14:paraId="564563FA" w14:textId="77777777" w:rsidR="00C1738A" w:rsidRDefault="00000000">
      <w:pPr>
        <w:pStyle w:val="Bibliography"/>
      </w:pPr>
      <w:bookmarkStart w:id="43" w:name="Xa25a0da32b67c9c2c929cd1fee4c26837a1e453"/>
      <w:bookmarkEnd w:id="42"/>
      <w:r>
        <w:t xml:space="preserve">Bjørnstad, O.N., Falck, W., 2001. </w:t>
      </w:r>
      <w:hyperlink r:id="rId24">
        <w:r w:rsidR="00C1738A">
          <w:rPr>
            <w:rStyle w:val="Hyperlink"/>
          </w:rPr>
          <w:t>Nonparametric spatial covariance functions: Estimation and testing</w:t>
        </w:r>
      </w:hyperlink>
      <w:r>
        <w:t>. Environmental and Ecological Statistics 8, 5370.</w:t>
      </w:r>
    </w:p>
    <w:p w14:paraId="3F196269" w14:textId="77777777" w:rsidR="00C1738A" w:rsidRDefault="00000000">
      <w:pPr>
        <w:pStyle w:val="Bibliography"/>
      </w:pPr>
      <w:bookmarkStart w:id="44" w:name="ref-brookesWesternSpruceBudworm1987"/>
      <w:bookmarkEnd w:id="43"/>
      <w:r>
        <w:t xml:space="preserve">Brookes, M.H., Campbell, R.W., Colbert, J.J., Mitchell, R. G., Stark, R.W., 1987. </w:t>
      </w:r>
      <w:hyperlink r:id="rId25">
        <w:r w:rsidR="00C1738A">
          <w:rPr>
            <w:rStyle w:val="Hyperlink"/>
          </w:rPr>
          <w:t>Western spruce budworm</w:t>
        </w:r>
      </w:hyperlink>
      <w:r>
        <w:t>. Washington, D.C.</w:t>
      </w:r>
    </w:p>
    <w:p w14:paraId="4BE121E6" w14:textId="77777777" w:rsidR="00C1738A" w:rsidRDefault="00000000">
      <w:pPr>
        <w:pStyle w:val="Bibliography"/>
      </w:pPr>
      <w:bookmarkStart w:id="45" w:name="ref-bunn2008"/>
      <w:bookmarkEnd w:id="44"/>
      <w:r>
        <w:t>Bunn, A.G., 2008. A dendrochronology program library in R (</w:t>
      </w:r>
      <w:proofErr w:type="spellStart"/>
      <w:r>
        <w:t>dplR</w:t>
      </w:r>
      <w:proofErr w:type="spellEnd"/>
      <w:r>
        <w:t xml:space="preserve">). </w:t>
      </w:r>
      <w:proofErr w:type="spellStart"/>
      <w:r>
        <w:t>Dendrochronologia</w:t>
      </w:r>
      <w:proofErr w:type="spellEnd"/>
      <w:r>
        <w:t xml:space="preserve"> 26, 115–124. </w:t>
      </w:r>
      <w:hyperlink r:id="rId26">
        <w:r w:rsidR="00C1738A">
          <w:rPr>
            <w:rStyle w:val="Hyperlink"/>
          </w:rPr>
          <w:t>https://doi.org/10.1016/j.dendro.2008.01.002</w:t>
        </w:r>
      </w:hyperlink>
    </w:p>
    <w:p w14:paraId="16DE4089" w14:textId="77777777" w:rsidR="00C1738A" w:rsidRDefault="00000000">
      <w:pPr>
        <w:pStyle w:val="Bibliography"/>
      </w:pPr>
      <w:bookmarkStart w:id="46" w:name="ref-bunn2024DplRDendrochronologyProgram"/>
      <w:bookmarkEnd w:id="45"/>
      <w:r>
        <w:t xml:space="preserve">Bunn, A.G., Korpela, M., Campelo, F., </w:t>
      </w:r>
      <w:proofErr w:type="spellStart"/>
      <w:r>
        <w:t>Mérian</w:t>
      </w:r>
      <w:proofErr w:type="spellEnd"/>
      <w:r>
        <w:t xml:space="preserve">, P., Qeadan, F., Zang, C., 2024. </w:t>
      </w:r>
      <w:hyperlink r:id="rId27">
        <w:proofErr w:type="spellStart"/>
        <w:r w:rsidR="00C1738A">
          <w:rPr>
            <w:rStyle w:val="Hyperlink"/>
          </w:rPr>
          <w:t>dplR</w:t>
        </w:r>
        <w:proofErr w:type="spellEnd"/>
        <w:r w:rsidR="00C1738A">
          <w:rPr>
            <w:rStyle w:val="Hyperlink"/>
          </w:rPr>
          <w:t>: Dendrochronology program library in R</w:t>
        </w:r>
      </w:hyperlink>
      <w:r>
        <w:t>.</w:t>
      </w:r>
    </w:p>
    <w:p w14:paraId="675E8249" w14:textId="77777777" w:rsidR="00C1738A" w:rsidRDefault="00000000">
      <w:pPr>
        <w:pStyle w:val="Bibliography"/>
      </w:pPr>
      <w:bookmarkStart w:id="47" w:name="ref-campbell1993PopulationDynamicsMajor"/>
      <w:bookmarkEnd w:id="46"/>
      <w:r>
        <w:t>Campbell, R.W., 1993. Population Dynamics of the Major North American Needle-Eating Budworms. Portland, OR.</w:t>
      </w:r>
    </w:p>
    <w:p w14:paraId="2FB92567" w14:textId="77777777" w:rsidR="00C1738A" w:rsidRDefault="00000000">
      <w:pPr>
        <w:pStyle w:val="Bibliography"/>
      </w:pPr>
      <w:bookmarkStart w:id="48" w:name="ref-campbell1987PopulationDynamics"/>
      <w:bookmarkEnd w:id="47"/>
      <w:r>
        <w:t xml:space="preserve">Campbell, R.W., 1987. </w:t>
      </w:r>
      <w:hyperlink r:id="rId28">
        <w:r w:rsidR="00C1738A">
          <w:rPr>
            <w:rStyle w:val="Hyperlink"/>
          </w:rPr>
          <w:t>Population dynamics</w:t>
        </w:r>
      </w:hyperlink>
      <w:r>
        <w:t>, in: Western Spruce Budworm. U.S. Department of Agriculture, Forest Service, pp. 71–88.</w:t>
      </w:r>
    </w:p>
    <w:p w14:paraId="6CDCB60F" w14:textId="77777777" w:rsidR="00C1738A" w:rsidRDefault="00000000">
      <w:pPr>
        <w:pStyle w:val="Bibliography"/>
      </w:pPr>
      <w:bookmarkStart w:id="49" w:name="ref-cook2010"/>
      <w:bookmarkEnd w:id="48"/>
      <w:r>
        <w:t xml:space="preserve">Cook, E.R., Seager, R., Heim, R.R., Vose, R.S., </w:t>
      </w:r>
      <w:proofErr w:type="spellStart"/>
      <w:r>
        <w:t>Herweijer</w:t>
      </w:r>
      <w:proofErr w:type="spellEnd"/>
      <w:r>
        <w:t xml:space="preserve">, C., Woodhouse, C., 2010. Megadroughts in North America: Placing IPCC projections of hydroclimatic change in a long-term </w:t>
      </w:r>
      <w:proofErr w:type="spellStart"/>
      <w:r>
        <w:t>palaeoclimate</w:t>
      </w:r>
      <w:proofErr w:type="spellEnd"/>
      <w:r>
        <w:t xml:space="preserve"> context. Journal of Quaternary Science 25, 48–61. </w:t>
      </w:r>
      <w:hyperlink r:id="rId29">
        <w:r w:rsidR="00C1738A">
          <w:rPr>
            <w:rStyle w:val="Hyperlink"/>
          </w:rPr>
          <w:t>https://doi.org/10.1002/jqs.1303</w:t>
        </w:r>
      </w:hyperlink>
    </w:p>
    <w:p w14:paraId="6A414EE3" w14:textId="77777777" w:rsidR="00C1738A" w:rsidRDefault="00000000">
      <w:pPr>
        <w:pStyle w:val="Bibliography"/>
      </w:pPr>
      <w:bookmarkStart w:id="50" w:name="X7db0d6f7f890ec65277028525b93937036459d1"/>
      <w:bookmarkEnd w:id="49"/>
      <w:r>
        <w:t>Daly, C., Gibson, W.P., Taylor, G.H., Johnson, G.L., Pasteris, P., 2002. A knowledge-based approach to the statistical mapping of climate. Climate research 22, 99113.</w:t>
      </w:r>
    </w:p>
    <w:p w14:paraId="667C5AD1" w14:textId="77777777" w:rsidR="00C1738A" w:rsidRDefault="00000000">
      <w:pPr>
        <w:pStyle w:val="Bibliography"/>
      </w:pPr>
      <w:bookmarkStart w:id="51" w:name="X02a03063ff5f535a5585b7cdf52f4b38c391165"/>
      <w:bookmarkEnd w:id="50"/>
      <w:r>
        <w:t xml:space="preserve">DeRose, R.J., Long, J.N., 2014. Resistance and resilience: A conceptual framework for silviculture. Forest Science 60, 1205–1212. </w:t>
      </w:r>
      <w:hyperlink r:id="rId30">
        <w:r w:rsidR="00C1738A">
          <w:rPr>
            <w:rStyle w:val="Hyperlink"/>
          </w:rPr>
          <w:t>https://doi.org/10.5849/forsci.13-507</w:t>
        </w:r>
      </w:hyperlink>
    </w:p>
    <w:p w14:paraId="4BB4E389" w14:textId="77777777" w:rsidR="00C1738A" w:rsidRDefault="00000000">
      <w:pPr>
        <w:pStyle w:val="Bibliography"/>
      </w:pPr>
      <w:bookmarkStart w:id="52" w:name="ref-dymond2010FutureSpruceBudworm"/>
      <w:bookmarkEnd w:id="51"/>
      <w:r>
        <w:t xml:space="preserve">Dymond, C.C., Neilson, E.T., Stinson, G., Porter, K., MacLean, D.A., Gray, D.R., Campagna, M., Kurz, W.A., 2010. Future spruce budworm outbreak may create a carbon source in eastern Canadian forests. Ecosystems 13, 917–931. </w:t>
      </w:r>
      <w:hyperlink r:id="rId31">
        <w:r w:rsidR="00C1738A">
          <w:rPr>
            <w:rStyle w:val="Hyperlink"/>
          </w:rPr>
          <w:t>https://doi.org/10.1007/s10021-010-9364-z</w:t>
        </w:r>
      </w:hyperlink>
    </w:p>
    <w:p w14:paraId="7589CFEA" w14:textId="77777777" w:rsidR="00C1738A" w:rsidRDefault="00000000">
      <w:pPr>
        <w:pStyle w:val="Bibliography"/>
      </w:pPr>
      <w:bookmarkStart w:id="53" w:name="Xd7af862198f6827620bf67c34344277c6d9b2ea"/>
      <w:bookmarkEnd w:id="52"/>
      <w:r>
        <w:t xml:space="preserve">Ellis, T.M., Flower, A., 2017a. A </w:t>
      </w:r>
      <w:proofErr w:type="spellStart"/>
      <w:r>
        <w:t>multicentury</w:t>
      </w:r>
      <w:proofErr w:type="spellEnd"/>
      <w:r>
        <w:t xml:space="preserve"> dendrochronological reconstruction of western spruce budworm outbreaks in the Okanogan Highlands, northeastern Washington. Canadian Journal of Forest Research 47, 12661277.</w:t>
      </w:r>
    </w:p>
    <w:p w14:paraId="42FA3958" w14:textId="77777777" w:rsidR="00C1738A" w:rsidRDefault="00000000">
      <w:pPr>
        <w:pStyle w:val="Bibliography"/>
      </w:pPr>
      <w:bookmarkStart w:id="54" w:name="X7d31310359f8aeff087bd73b0bfde8ae5ebcecb"/>
      <w:bookmarkEnd w:id="53"/>
      <w:r>
        <w:t xml:space="preserve">Ellis, T.M., Flower, A., 2017b. A </w:t>
      </w:r>
      <w:proofErr w:type="spellStart"/>
      <w:r>
        <w:t>multicentury</w:t>
      </w:r>
      <w:proofErr w:type="spellEnd"/>
      <w:r>
        <w:t xml:space="preserve"> dendrochronological reconstruction of western spruce budworm outbreaks in the </w:t>
      </w:r>
      <w:proofErr w:type="spellStart"/>
      <w:r>
        <w:t>okanogan</w:t>
      </w:r>
      <w:proofErr w:type="spellEnd"/>
      <w:r>
        <w:t xml:space="preserve"> highlands, northeastern </w:t>
      </w:r>
      <w:proofErr w:type="spellStart"/>
      <w:r>
        <w:t>washington</w:t>
      </w:r>
      <w:proofErr w:type="spellEnd"/>
      <w:r>
        <w:t>. Canadian Journal of Forest Research 47, 12661277.</w:t>
      </w:r>
    </w:p>
    <w:p w14:paraId="1476D00B" w14:textId="77777777" w:rsidR="00C1738A" w:rsidRDefault="00000000">
      <w:pPr>
        <w:pStyle w:val="Bibliography"/>
      </w:pPr>
      <w:bookmarkStart w:id="55" w:name="ref-engen2005GeneralizationsMoranEffect"/>
      <w:bookmarkEnd w:id="54"/>
      <w:r>
        <w:lastRenderedPageBreak/>
        <w:t xml:space="preserve">Engen, S., Sæther, B.-E., 2005. Generalizations of the </w:t>
      </w:r>
      <w:proofErr w:type="spellStart"/>
      <w:r>
        <w:t>moran</w:t>
      </w:r>
      <w:proofErr w:type="spellEnd"/>
      <w:r>
        <w:t xml:space="preserve"> effect explaining spatial synchrony in population fluctuations. The American Naturalist 166, 603–612. </w:t>
      </w:r>
      <w:hyperlink r:id="rId32">
        <w:r w:rsidR="00C1738A">
          <w:rPr>
            <w:rStyle w:val="Hyperlink"/>
          </w:rPr>
          <w:t>https://doi.org/10.1086/491690</w:t>
        </w:r>
      </w:hyperlink>
    </w:p>
    <w:p w14:paraId="2D17FF21" w14:textId="77777777" w:rsidR="00C1738A" w:rsidRDefault="00000000">
      <w:pPr>
        <w:pStyle w:val="Bibliography"/>
      </w:pPr>
      <w:bookmarkStart w:id="56" w:name="ref-fellinWesternSpruceBudworm1982"/>
      <w:bookmarkEnd w:id="55"/>
      <w:r>
        <w:t>Fellin, D.G., Dewey, J.E., 1982. Western spruce budworm. Washington, D.C.</w:t>
      </w:r>
    </w:p>
    <w:p w14:paraId="0CA35342" w14:textId="77777777" w:rsidR="00C1738A" w:rsidRDefault="00000000">
      <w:pPr>
        <w:pStyle w:val="Bibliography"/>
      </w:pPr>
      <w:bookmarkStart w:id="57" w:name="ref-flower2016"/>
      <w:bookmarkEnd w:id="56"/>
      <w:r>
        <w:t xml:space="preserve">Flower, A., 2016. Three centuries of synchronous forest defoliator outbreaks in Western North America. PLOS ONE 11, e0164737. </w:t>
      </w:r>
      <w:hyperlink r:id="rId33">
        <w:r w:rsidR="00C1738A">
          <w:rPr>
            <w:rStyle w:val="Hyperlink"/>
          </w:rPr>
          <w:t>https://doi.org/10.1371/journal.pone.0164737</w:t>
        </w:r>
      </w:hyperlink>
    </w:p>
    <w:p w14:paraId="70BDBC47" w14:textId="77777777" w:rsidR="00C1738A" w:rsidRDefault="00000000">
      <w:pPr>
        <w:pStyle w:val="Bibliography"/>
      </w:pPr>
      <w:bookmarkStart w:id="58" w:name="ref-flower2014"/>
      <w:bookmarkEnd w:id="57"/>
      <w:r>
        <w:t xml:space="preserve">Flower, A., Gavin, D.G., Heyerdahl, E.K., Parsons, R.A., Cohn, G.M., 2014. Drought-triggered western spruce budworm outbreaks in the interior pacific northwest: A multi-century dendrochronological record. Forest Ecology and Management 324, 1627. </w:t>
      </w:r>
      <w:hyperlink r:id="rId34">
        <w:r w:rsidR="00C1738A">
          <w:rPr>
            <w:rStyle w:val="Hyperlink"/>
          </w:rPr>
          <w:t>https://doi.org/10.1016/j.foreco.2014.03.042</w:t>
        </w:r>
      </w:hyperlink>
    </w:p>
    <w:p w14:paraId="39ECDD90" w14:textId="77777777" w:rsidR="00C1738A" w:rsidRDefault="00000000">
      <w:pPr>
        <w:pStyle w:val="Bibliography"/>
      </w:pPr>
      <w:bookmarkStart w:id="59" w:name="ref-gao2018DynamicResponsesTreering"/>
      <w:bookmarkEnd w:id="58"/>
      <w:r>
        <w:t xml:space="preserve">Gao, S., Liu, R., Zhou, T., Fang, W., Yi, C., Lu, R., Zhao, X., Luo, H., 2018. Dynamic responses of tree-ring growth to multiple dimensions of drought. Global Change Biology 24, 5380–5390. </w:t>
      </w:r>
      <w:hyperlink r:id="rId35">
        <w:r w:rsidR="00C1738A">
          <w:rPr>
            <w:rStyle w:val="Hyperlink"/>
          </w:rPr>
          <w:t>https://doi.org/10.1111/gcb.14367</w:t>
        </w:r>
      </w:hyperlink>
    </w:p>
    <w:p w14:paraId="4EFCBB32" w14:textId="77777777" w:rsidR="00C1738A" w:rsidRDefault="00000000">
      <w:pPr>
        <w:pStyle w:val="Bibliography"/>
      </w:pPr>
      <w:bookmarkStart w:id="60" w:name="ref-gavin2010K1DAnalysisSynchrony"/>
      <w:bookmarkEnd w:id="59"/>
      <w:r>
        <w:t xml:space="preserve">Gavin, D.G., 2010. </w:t>
      </w:r>
      <w:hyperlink r:id="rId36">
        <w:r w:rsidR="00C1738A">
          <w:rPr>
            <w:rStyle w:val="Hyperlink"/>
          </w:rPr>
          <w:t>K1D: Analysis of synchrony of events at one or multiple sites using the Ripley K function</w:t>
        </w:r>
      </w:hyperlink>
      <w:r>
        <w:t>.</w:t>
      </w:r>
    </w:p>
    <w:p w14:paraId="50A65DDB" w14:textId="77777777" w:rsidR="00C1738A" w:rsidRDefault="00000000">
      <w:pPr>
        <w:pStyle w:val="Bibliography"/>
      </w:pPr>
      <w:bookmarkStart w:id="61" w:name="ref-gavinWeakClimaticControl2006"/>
      <w:bookmarkEnd w:id="60"/>
      <w:r>
        <w:t xml:space="preserve">Gavin, D.G., Hu, F.S., </w:t>
      </w:r>
      <w:proofErr w:type="spellStart"/>
      <w:r>
        <w:t>Lertzman</w:t>
      </w:r>
      <w:proofErr w:type="spellEnd"/>
      <w:r>
        <w:t xml:space="preserve">, K., Corbett, P., 2006. Weak climatic control of stand-scale fire history during the late Holocene. Ecology 87, 1722–1732. </w:t>
      </w:r>
      <w:hyperlink r:id="rId37">
        <w:r w:rsidR="00C1738A">
          <w:rPr>
            <w:rStyle w:val="Hyperlink"/>
          </w:rPr>
          <w:t>https://doi.org/10.1890/0012-9658(2006)87[1722:WCCOSF]2.0.CO;2</w:t>
        </w:r>
      </w:hyperlink>
    </w:p>
    <w:p w14:paraId="196B7B98" w14:textId="77777777" w:rsidR="00C1738A" w:rsidRDefault="00000000">
      <w:pPr>
        <w:pStyle w:val="Bibliography"/>
      </w:pPr>
      <w:bookmarkStart w:id="62" w:name="ref-gely2020HowHerbivorousInsects"/>
      <w:bookmarkEnd w:id="61"/>
      <w:proofErr w:type="spellStart"/>
      <w:r>
        <w:t>Gely</w:t>
      </w:r>
      <w:proofErr w:type="spellEnd"/>
      <w:r>
        <w:t xml:space="preserve">, C., Laurance, S.G.W., Stork, N.E., 2020. How do herbivorous insects respond to drought stress in trees? Biological Reviews 95, 434–448. </w:t>
      </w:r>
      <w:hyperlink r:id="rId38">
        <w:r w:rsidR="00C1738A">
          <w:rPr>
            <w:rStyle w:val="Hyperlink"/>
          </w:rPr>
          <w:t>https://doi.org/10.1111/brv.12571</w:t>
        </w:r>
      </w:hyperlink>
    </w:p>
    <w:p w14:paraId="4B713250" w14:textId="77777777" w:rsidR="00C1738A" w:rsidRDefault="00000000">
      <w:pPr>
        <w:pStyle w:val="Bibliography"/>
      </w:pPr>
      <w:bookmarkStart w:id="63" w:name="X21b2ecc1e0272d09484ab795650687cc4cd999b"/>
      <w:bookmarkEnd w:id="62"/>
      <w:r>
        <w:t xml:space="preserve">Gouhier, T.C., Guichard, F., 2014. Synchrony: quantifying variability in space and time. Methods in Ecology and Evolution 5, 524–533. </w:t>
      </w:r>
      <w:hyperlink r:id="rId39">
        <w:r w:rsidR="00C1738A">
          <w:rPr>
            <w:rStyle w:val="Hyperlink"/>
          </w:rPr>
          <w:t>https://doi.org/10.1111/2041-210X.12188</w:t>
        </w:r>
      </w:hyperlink>
    </w:p>
    <w:p w14:paraId="50A3F476" w14:textId="77777777" w:rsidR="00C1738A" w:rsidRDefault="00000000">
      <w:pPr>
        <w:pStyle w:val="Bibliography"/>
      </w:pPr>
      <w:bookmarkStart w:id="64" w:name="ref-gower1992CarbonDynamicsRocky"/>
      <w:bookmarkEnd w:id="63"/>
      <w:r>
        <w:t xml:space="preserve">Gower, S.T., Vogt, K.A., Grier, C.C., 1992. Carbon Dynamics of Rocky Mountain Douglas-Fir: Influence of Water and Nutrient Availability. Ecological Monographs 62, 43–65. </w:t>
      </w:r>
      <w:hyperlink r:id="rId40">
        <w:r w:rsidR="00C1738A">
          <w:rPr>
            <w:rStyle w:val="Hyperlink"/>
          </w:rPr>
          <w:t>https://doi.org/10.2307/2937170</w:t>
        </w:r>
      </w:hyperlink>
    </w:p>
    <w:p w14:paraId="3CE6450F" w14:textId="77777777" w:rsidR="00C1738A" w:rsidRDefault="00000000">
      <w:pPr>
        <w:pStyle w:val="Bibliography"/>
      </w:pPr>
      <w:bookmarkStart w:id="65" w:name="ref-graybill2002NOAAWDSPaleoclimatologyc"/>
      <w:bookmarkEnd w:id="64"/>
      <w:r>
        <w:t xml:space="preserve">Graybill, D.A., 2002. NOAA/WDS Paleoclimatology - Graybill - Turkey Creek Bluff - PIPO - ITRDB CO548. </w:t>
      </w:r>
      <w:hyperlink r:id="rId41">
        <w:r w:rsidR="00C1738A">
          <w:rPr>
            <w:rStyle w:val="Hyperlink"/>
          </w:rPr>
          <w:t>https://doi.org/10.25921/79K5-WM65</w:t>
        </w:r>
      </w:hyperlink>
    </w:p>
    <w:p w14:paraId="68F42365" w14:textId="77777777" w:rsidR="00C1738A" w:rsidRDefault="00000000">
      <w:pPr>
        <w:pStyle w:val="Bibliography"/>
      </w:pPr>
      <w:bookmarkStart w:id="66" w:name="ref-guiterman2020"/>
      <w:bookmarkEnd w:id="65"/>
      <w:r>
        <w:t xml:space="preserve">Guiterman, C.H., Lynch, A.M., Axelson, J.N., 2020. </w:t>
      </w:r>
      <w:proofErr w:type="spellStart"/>
      <w:r>
        <w:t>dfoliatR</w:t>
      </w:r>
      <w:proofErr w:type="spellEnd"/>
      <w:r>
        <w:t xml:space="preserve">: An R package for detection and analysis of insect defoliation signals in tree rings. </w:t>
      </w:r>
      <w:proofErr w:type="spellStart"/>
      <w:r>
        <w:t>Dendrochronologia</w:t>
      </w:r>
      <w:proofErr w:type="spellEnd"/>
      <w:r>
        <w:t xml:space="preserve"> 63, 125750. </w:t>
      </w:r>
      <w:hyperlink r:id="rId42">
        <w:r w:rsidR="00C1738A">
          <w:rPr>
            <w:rStyle w:val="Hyperlink"/>
          </w:rPr>
          <w:t>https://doi.org/10.1016/j.dendro.2020.125750</w:t>
        </w:r>
      </w:hyperlink>
    </w:p>
    <w:p w14:paraId="78FEB673" w14:textId="77777777" w:rsidR="00C1738A" w:rsidRDefault="00000000">
      <w:pPr>
        <w:pStyle w:val="Bibliography"/>
      </w:pPr>
      <w:bookmarkStart w:id="67" w:name="ref-hadleyStandResponseWestern1993"/>
      <w:bookmarkEnd w:id="66"/>
      <w:r>
        <w:t xml:space="preserve">Hadley, K.S., Veblen, T.T., 1993. Stand response to western spruce budworm and Douglas-fir bark beetle outbreaks, Colorado Front Range. Canadian Journal of Forest Research 23, 479–491. </w:t>
      </w:r>
      <w:hyperlink r:id="rId43">
        <w:r w:rsidR="00C1738A">
          <w:rPr>
            <w:rStyle w:val="Hyperlink"/>
          </w:rPr>
          <w:t>https://doi.org/10.1139/x93-066</w:t>
        </w:r>
      </w:hyperlink>
    </w:p>
    <w:p w14:paraId="5EAA5508" w14:textId="77777777" w:rsidR="00C1738A" w:rsidRDefault="00000000">
      <w:pPr>
        <w:pStyle w:val="Bibliography"/>
      </w:pPr>
      <w:bookmarkStart w:id="68" w:name="ref-hamann2021ClimateChangeAlters"/>
      <w:bookmarkEnd w:id="67"/>
      <w:r>
        <w:t xml:space="preserve">Hamann, E., Blevins, C., Franks, S.J., Jameel, M.I., Anderson, J.T., 2021. Climate change alters plant-herbivore interactions. New Phytologist 229, 1894–1910. </w:t>
      </w:r>
      <w:hyperlink r:id="rId44">
        <w:r w:rsidR="00C1738A">
          <w:rPr>
            <w:rStyle w:val="Hyperlink"/>
          </w:rPr>
          <w:t>https://doi.org/10.1111/nph.17036</w:t>
        </w:r>
      </w:hyperlink>
    </w:p>
    <w:p w14:paraId="478D0C77" w14:textId="77777777" w:rsidR="00C1738A" w:rsidRDefault="00000000">
      <w:pPr>
        <w:pStyle w:val="Bibliography"/>
      </w:pPr>
      <w:bookmarkStart w:id="69" w:name="ref-hansen2020MoranEffectRevisited"/>
      <w:bookmarkEnd w:id="68"/>
      <w:r>
        <w:t xml:space="preserve">Hansen, B.B., Grøtan, V., Herfindal, I., Lee, A.M., 2020. The Moran effect revisited: spatial population synchrony under global warming. </w:t>
      </w:r>
      <w:proofErr w:type="spellStart"/>
      <w:r>
        <w:t>Ecography</w:t>
      </w:r>
      <w:proofErr w:type="spellEnd"/>
      <w:r>
        <w:t xml:space="preserve"> 43, 1591–1602. https://doi.org/</w:t>
      </w:r>
      <w:hyperlink r:id="rId45">
        <w:r w:rsidR="00C1738A">
          <w:rPr>
            <w:rStyle w:val="Hyperlink"/>
          </w:rPr>
          <w:t>https://doi.org/10.1111/ecog.04962</w:t>
        </w:r>
      </w:hyperlink>
    </w:p>
    <w:p w14:paraId="0924150A" w14:textId="77777777" w:rsidR="00C1738A" w:rsidRDefault="00000000">
      <w:pPr>
        <w:pStyle w:val="Bibliography"/>
      </w:pPr>
      <w:bookmarkStart w:id="70" w:name="Xf6ae463a8105ae8fc6c3d1948fe66405168f421"/>
      <w:bookmarkEnd w:id="69"/>
      <w:r>
        <w:t xml:space="preserve">Hartmann, H., Moura, C.F., Anderegg, W.R.L., Ruehr, N.K., Salmon, Y., Allen, C.D., Arndt, S.K., Breshears, D.D., Davi, H., Galbraith, D., </w:t>
      </w:r>
      <w:proofErr w:type="spellStart"/>
      <w:r>
        <w:t>Ruthrof</w:t>
      </w:r>
      <w:proofErr w:type="spellEnd"/>
      <w:r>
        <w:t xml:space="preserve">, K.X., Wunder, J., Adams, H.D., Bloemen, J., </w:t>
      </w:r>
      <w:proofErr w:type="spellStart"/>
      <w:r>
        <w:t>Cailleret</w:t>
      </w:r>
      <w:proofErr w:type="spellEnd"/>
      <w:r>
        <w:t xml:space="preserve">, M., Cobb, R., Gessler, A., Grams, T.E.E., Jansen, S., Kautz, M., Lloret, F., O’Brien, M., 2018. Research frontiers for improving our understanding of drought-induced tree and forest mortality. New Phytologist 218, 15–28. </w:t>
      </w:r>
      <w:hyperlink r:id="rId46">
        <w:r w:rsidR="00C1738A">
          <w:rPr>
            <w:rStyle w:val="Hyperlink"/>
          </w:rPr>
          <w:t>https://doi.org/10.1111/nph.15048</w:t>
        </w:r>
      </w:hyperlink>
    </w:p>
    <w:p w14:paraId="4847D203" w14:textId="77777777" w:rsidR="00C1738A" w:rsidRDefault="00000000">
      <w:pPr>
        <w:pStyle w:val="Bibliography"/>
      </w:pPr>
      <w:bookmarkStart w:id="71" w:name="ref-harvey2018"/>
      <w:bookmarkEnd w:id="70"/>
      <w:r>
        <w:lastRenderedPageBreak/>
        <w:t xml:space="preserve">Harvey, J.E., Axelson, J.N., Smith, D.J., 2018. Disturbance-climate relationships between wildfire and western spruce budworm in interior British Columbia. Ecosphere 9, e02126. </w:t>
      </w:r>
      <w:hyperlink r:id="rId47">
        <w:r w:rsidR="00C1738A">
          <w:rPr>
            <w:rStyle w:val="Hyperlink"/>
          </w:rPr>
          <w:t>https://doi.org/10.1002/ecs2.2126</w:t>
        </w:r>
      </w:hyperlink>
    </w:p>
    <w:p w14:paraId="06508B78" w14:textId="77777777" w:rsidR="00C1738A" w:rsidRDefault="00000000">
      <w:pPr>
        <w:pStyle w:val="Bibliography"/>
      </w:pPr>
      <w:bookmarkStart w:id="72" w:name="ref-herms1992DilemmaPlantsGrow"/>
      <w:bookmarkEnd w:id="71"/>
      <w:r>
        <w:t>Herms, D.A., Mattson, W.J., 1992. The dilemma of plants: To grow or defend. The Quarterly Review of Biology 67, 283–335.</w:t>
      </w:r>
    </w:p>
    <w:p w14:paraId="5B032DEB" w14:textId="77777777" w:rsidR="00C1738A" w:rsidRDefault="00000000">
      <w:pPr>
        <w:pStyle w:val="Bibliography"/>
      </w:pPr>
      <w:bookmarkStart w:id="73" w:name="Xa8e7b4496a2b14799f3080f3ed2c3fc6e02c2a8"/>
      <w:bookmarkEnd w:id="72"/>
      <w:r>
        <w:t xml:space="preserve">Hessburg, P.F., Miller, C.L., </w:t>
      </w:r>
      <w:proofErr w:type="spellStart"/>
      <w:r>
        <w:t>Povak</w:t>
      </w:r>
      <w:proofErr w:type="spellEnd"/>
      <w:r>
        <w:t xml:space="preserve">, N.A., Taylor, A.H., Higuera, P.E., Prichard, S.J., North, M.P., Collins, B.M., Hurteau, M.D., Larson, A.J., Allen, C.D., Stephens, S.L., Huerta, H.R., Rumann, C.S., Daniels, L.D., </w:t>
      </w:r>
      <w:proofErr w:type="spellStart"/>
      <w:r>
        <w:t>Gedalof</w:t>
      </w:r>
      <w:proofErr w:type="spellEnd"/>
      <w:r>
        <w:t xml:space="preserve">, Z., Gray, R.W., Kane, V.R., Churchill, D.J., Hagmann, R.K., Spies, T.A., Parks, S.A., Cansler, C.A., Belote, R.T., Veblen, T.T., Battaglia, M.A., Hoffman, C., Skinner, C.N., Safford, H.D., 2019. Climate, environment, and disturbance history govern resilience of western North American forests. Frontiers in Ecology and Evolution 7. </w:t>
      </w:r>
      <w:hyperlink r:id="rId48">
        <w:r w:rsidR="00C1738A">
          <w:rPr>
            <w:rStyle w:val="Hyperlink"/>
          </w:rPr>
          <w:t>https://doi.org/10.3389/fevo.2019.00239</w:t>
        </w:r>
      </w:hyperlink>
    </w:p>
    <w:p w14:paraId="24057A79" w14:textId="77777777" w:rsidR="00C1738A" w:rsidRDefault="00000000">
      <w:pPr>
        <w:pStyle w:val="Bibliography"/>
      </w:pPr>
      <w:bookmarkStart w:id="74" w:name="ref-howe2024BudwormsBeetlesWildfire"/>
      <w:bookmarkEnd w:id="73"/>
      <w:r>
        <w:t xml:space="preserve">Howe, M., Hart, S.J., Trowbridge, A.M., 2024. Budworms, beetles and wildfire: Disturbance interactions influence the likelihood of insect-caused disturbances at a subcontinental scale. Journal of Ecology 112, 2567–2584. </w:t>
      </w:r>
      <w:hyperlink r:id="rId49">
        <w:r w:rsidR="00C1738A">
          <w:rPr>
            <w:rStyle w:val="Hyperlink"/>
          </w:rPr>
          <w:t>https://doi.org/10.1111/1365-2745.14408</w:t>
        </w:r>
      </w:hyperlink>
    </w:p>
    <w:p w14:paraId="01382F3B" w14:textId="77777777" w:rsidR="00C1738A" w:rsidRDefault="00000000">
      <w:pPr>
        <w:pStyle w:val="Bibliography"/>
      </w:pPr>
      <w:bookmarkStart w:id="75" w:name="ref-huberty2004PlantWaterStress"/>
      <w:bookmarkEnd w:id="74"/>
      <w:r>
        <w:t xml:space="preserve">Huberty, A.F., Denno, R.F., 2004. Plant water stress and its consequences for herbivorous insects: A new synthesis. Ecology 85, 1383–1398. </w:t>
      </w:r>
      <w:hyperlink r:id="rId50">
        <w:r w:rsidR="00C1738A">
          <w:rPr>
            <w:rStyle w:val="Hyperlink"/>
          </w:rPr>
          <w:t>https://doi.org/10.1890/03-0352</w:t>
        </w:r>
      </w:hyperlink>
    </w:p>
    <w:p w14:paraId="6378918B" w14:textId="77777777" w:rsidR="00C1738A" w:rsidRDefault="00000000">
      <w:pPr>
        <w:pStyle w:val="Bibliography"/>
      </w:pPr>
      <w:bookmarkStart w:id="76" w:name="ref-huckaby2001LandscapePatternsMontane"/>
      <w:bookmarkEnd w:id="75"/>
      <w:r>
        <w:t xml:space="preserve">Huckaby, L.S., Kaufmann, M.R., Stoker, J.M., Fornwalt, P.J., 2001. </w:t>
      </w:r>
      <w:hyperlink r:id="rId51">
        <w:r w:rsidR="00C1738A">
          <w:rPr>
            <w:rStyle w:val="Hyperlink"/>
          </w:rPr>
          <w:t>Landscape patterns of montane forest age structure relative to fire history at Cheesman Lake in the Colorado Front Range</w:t>
        </w:r>
      </w:hyperlink>
      <w:r>
        <w:t>, in: Vance, R.K., Edminster, C.B., Covington, W.W., Blake, J.A. (Eds.</w:t>
      </w:r>
      <w:proofErr w:type="gramStart"/>
      <w:r>
        <w:t>),.</w:t>
      </w:r>
      <w:proofErr w:type="gramEnd"/>
      <w:r>
        <w:t xml:space="preserve"> U.S. Department of Agriculture, Forest Service, Rocky Mountain Research Station, Ogden, UT, pp. 19–27.</w:t>
      </w:r>
    </w:p>
    <w:p w14:paraId="23747AA9" w14:textId="77777777" w:rsidR="00C1738A" w:rsidRDefault="00000000">
      <w:pPr>
        <w:pStyle w:val="Bibliography"/>
      </w:pPr>
      <w:bookmarkStart w:id="77" w:name="ref-johnson1975OutbreaksWesternSpruce"/>
      <w:bookmarkEnd w:id="76"/>
      <w:r>
        <w:t>Johnson, P.C., 1975. Outbreaks of the western spruce budworm in the American northern Rocky Mountain area from 1922 through 1971. Ogden, UT.</w:t>
      </w:r>
    </w:p>
    <w:p w14:paraId="46925952" w14:textId="77777777" w:rsidR="00C1738A" w:rsidRDefault="00000000">
      <w:pPr>
        <w:pStyle w:val="Bibliography"/>
      </w:pPr>
      <w:bookmarkStart w:id="78" w:name="ref-kannenberg2019DroughtLegaciesAre"/>
      <w:bookmarkEnd w:id="77"/>
      <w:r>
        <w:t xml:space="preserve">Kannenberg, S.A., Maxwell, J.T., Pederson, N., </w:t>
      </w:r>
      <w:proofErr w:type="spellStart"/>
      <w:r>
        <w:t>D’Orangeville</w:t>
      </w:r>
      <w:proofErr w:type="spellEnd"/>
      <w:r>
        <w:t xml:space="preserve">, L., Ficklin, D.L., Phillips, R.P., 2019. Drought legacies are dependent on water table depth, wood anatomy and drought timing across the eastern US. Ecology Letters 22, 119–127. </w:t>
      </w:r>
      <w:hyperlink r:id="rId52">
        <w:r w:rsidR="00C1738A">
          <w:rPr>
            <w:rStyle w:val="Hyperlink"/>
          </w:rPr>
          <w:t>https://doi.org/10.1111/ele.13173</w:t>
        </w:r>
      </w:hyperlink>
    </w:p>
    <w:p w14:paraId="777973E8" w14:textId="77777777" w:rsidR="00C1738A" w:rsidRDefault="00000000">
      <w:pPr>
        <w:pStyle w:val="Bibliography"/>
      </w:pPr>
      <w:bookmarkStart w:id="79" w:name="ref-kendall1970RankCorrelationMethods"/>
      <w:bookmarkEnd w:id="78"/>
      <w:r>
        <w:t>Kendall, M.G., 1970. Rank correlation methods, 4th edition. ed. Griffin, London, UK.</w:t>
      </w:r>
    </w:p>
    <w:p w14:paraId="09607250" w14:textId="77777777" w:rsidR="00C1738A" w:rsidRDefault="00000000">
      <w:pPr>
        <w:pStyle w:val="Bibliography"/>
      </w:pPr>
      <w:bookmarkStart w:id="80" w:name="ref-liebhold2012"/>
      <w:bookmarkEnd w:id="79"/>
      <w:proofErr w:type="spellStart"/>
      <w:r>
        <w:t>Liebhold</w:t>
      </w:r>
      <w:proofErr w:type="spellEnd"/>
      <w:r>
        <w:t xml:space="preserve">, A.M., 2012. Forest pest management in a changing world. International Journal of Pest Management 58, 289–295. </w:t>
      </w:r>
      <w:hyperlink r:id="rId53">
        <w:r w:rsidR="00C1738A">
          <w:rPr>
            <w:rStyle w:val="Hyperlink"/>
          </w:rPr>
          <w:t>https://doi.org/10.1080/09670874.2012.678405</w:t>
        </w:r>
      </w:hyperlink>
    </w:p>
    <w:p w14:paraId="540E113F" w14:textId="77777777" w:rsidR="00C1738A" w:rsidRDefault="00000000">
      <w:pPr>
        <w:pStyle w:val="Bibliography"/>
      </w:pPr>
      <w:bookmarkStart w:id="81" w:name="X5b93338d3d6852085d1ec8f79ea25a91d04a799"/>
      <w:bookmarkEnd w:id="80"/>
      <w:proofErr w:type="spellStart"/>
      <w:r>
        <w:t>Liebhold</w:t>
      </w:r>
      <w:proofErr w:type="spellEnd"/>
      <w:r>
        <w:t xml:space="preserve">, A., Sork, V., Peltonen, M., Koenig, W., Bjørnstad, O.N., Westfall, R., Elkinton, J., Knops, J.M.H., 2004. Within-population spatial synchrony in mast seeding of North American oaks. Oikos 104, 156–164. </w:t>
      </w:r>
      <w:hyperlink r:id="rId54">
        <w:r w:rsidR="00C1738A">
          <w:rPr>
            <w:rStyle w:val="Hyperlink"/>
          </w:rPr>
          <w:t>https://doi.org/10.1111/j.0030-1299.2004.12722.x</w:t>
        </w:r>
      </w:hyperlink>
    </w:p>
    <w:p w14:paraId="3AB881D7" w14:textId="77777777" w:rsidR="00C1738A" w:rsidRDefault="00000000">
      <w:pPr>
        <w:pStyle w:val="Bibliography"/>
      </w:pPr>
      <w:bookmarkStart w:id="82" w:name="ref-loreau2008SpeciesSynchronyIts"/>
      <w:bookmarkEnd w:id="81"/>
      <w:proofErr w:type="spellStart"/>
      <w:r>
        <w:t>Loreau</w:t>
      </w:r>
      <w:proofErr w:type="spellEnd"/>
      <w:r>
        <w:t xml:space="preserve">, M., </w:t>
      </w:r>
      <w:proofErr w:type="spellStart"/>
      <w:r>
        <w:t>Mazancourt</w:t>
      </w:r>
      <w:proofErr w:type="spellEnd"/>
      <w:r>
        <w:t xml:space="preserve">, C. de, 2008. Species synchrony and its drivers: neutral and nonneutral community dynamics in fluctuating environments. The American Naturalist 172. </w:t>
      </w:r>
      <w:hyperlink r:id="rId55">
        <w:r w:rsidR="00C1738A">
          <w:rPr>
            <w:rStyle w:val="Hyperlink"/>
          </w:rPr>
          <w:t>https://doi.org/10.1086/589746</w:t>
        </w:r>
      </w:hyperlink>
    </w:p>
    <w:p w14:paraId="5359FAC8" w14:textId="77777777" w:rsidR="00C1738A" w:rsidRDefault="00000000">
      <w:pPr>
        <w:pStyle w:val="Bibliography"/>
      </w:pPr>
      <w:bookmarkStart w:id="83" w:name="ref-loughAssessmentPossibleEffects1987"/>
      <w:bookmarkEnd w:id="82"/>
      <w:r>
        <w:t xml:space="preserve">Lough, J.M., Fritts, H.C., 1987. An assessment of the possible effects of volcanic eruptions on North American climate using tree-ring data, 1602 to 1900 A.D. Climatic Change 10, 219–239. </w:t>
      </w:r>
      <w:hyperlink r:id="rId56">
        <w:r w:rsidR="00C1738A">
          <w:rPr>
            <w:rStyle w:val="Hyperlink"/>
          </w:rPr>
          <w:t>https://doi.org/10.1007/BF00143903</w:t>
        </w:r>
      </w:hyperlink>
    </w:p>
    <w:p w14:paraId="3DF6B727" w14:textId="77777777" w:rsidR="00C1738A" w:rsidRDefault="00000000">
      <w:pPr>
        <w:pStyle w:val="Bibliography"/>
      </w:pPr>
      <w:bookmarkStart w:id="84" w:name="ref-lukas2014ClimateChangeColorado"/>
      <w:bookmarkEnd w:id="83"/>
      <w:r>
        <w:t xml:space="preserve">Lukas, J., </w:t>
      </w:r>
      <w:proofErr w:type="spellStart"/>
      <w:r>
        <w:t>Barsugli</w:t>
      </w:r>
      <w:proofErr w:type="spellEnd"/>
      <w:r>
        <w:t xml:space="preserve">, J., </w:t>
      </w:r>
      <w:proofErr w:type="spellStart"/>
      <w:r>
        <w:t>Doesken</w:t>
      </w:r>
      <w:proofErr w:type="spellEnd"/>
      <w:r>
        <w:t>, N., Rangwala, I., Wolter, K., 2014. Climate change in Colorado: A synthesis to support water resources management and adaptation. University of Colorado, Boulder, Colorado.</w:t>
      </w:r>
    </w:p>
    <w:p w14:paraId="3CDD2D9B" w14:textId="77777777" w:rsidR="00C1738A" w:rsidRDefault="00000000">
      <w:pPr>
        <w:pStyle w:val="Bibliography"/>
      </w:pPr>
      <w:bookmarkStart w:id="85" w:name="ref-lv2022ProlongedDroughtDuration"/>
      <w:bookmarkEnd w:id="84"/>
      <w:proofErr w:type="spellStart"/>
      <w:r>
        <w:lastRenderedPageBreak/>
        <w:t>Lv</w:t>
      </w:r>
      <w:proofErr w:type="spellEnd"/>
      <w:r>
        <w:t xml:space="preserve">, P., Rademacher, T., Huang, X., Zhang, B., Zhang, X., 2022. Prolonged drought duration, not intensity, reduces growth recovery and prevents compensatory growth of oak trees. Agricultural and Forest Meteorology 326, 109183. </w:t>
      </w:r>
      <w:hyperlink r:id="rId57">
        <w:r w:rsidR="00C1738A">
          <w:rPr>
            <w:rStyle w:val="Hyperlink"/>
          </w:rPr>
          <w:t>https://doi.org/10.1016/j.agrformet.2022.109183</w:t>
        </w:r>
      </w:hyperlink>
    </w:p>
    <w:p w14:paraId="0C2B765E" w14:textId="77777777" w:rsidR="00C1738A" w:rsidRDefault="00000000">
      <w:pPr>
        <w:pStyle w:val="Bibliography"/>
      </w:pPr>
      <w:bookmarkStart w:id="86" w:name="X6af38eeb64f61a0c366318340b9daf63e666521"/>
      <w:bookmarkEnd w:id="85"/>
      <w:proofErr w:type="spellStart"/>
      <w:r>
        <w:t>Maclauchlan</w:t>
      </w:r>
      <w:proofErr w:type="spellEnd"/>
      <w:r>
        <w:t>, L., Brooks, J.E., 2009. Influence of past forestry practices on western spruce budworm defoliation and associated impacts in southern British Columbia. Journal of Ecosystems and Management 10.</w:t>
      </w:r>
    </w:p>
    <w:p w14:paraId="7A68AC91" w14:textId="77777777" w:rsidR="00C1738A" w:rsidRDefault="00000000">
      <w:pPr>
        <w:pStyle w:val="Bibliography"/>
      </w:pPr>
      <w:bookmarkStart w:id="87" w:name="ref-meigs2015"/>
      <w:bookmarkEnd w:id="86"/>
      <w:r>
        <w:t xml:space="preserve">Meigs, G.W., Kennedy, R.E., Gray, A.N., Gregory, M.J., 2015. Spatiotemporal dynamics of recent mountain pine beetle and western spruce budworm outbreaks across the pacific northwest region, USA. Forest Ecology and Management 339, 71–86. </w:t>
      </w:r>
      <w:hyperlink r:id="rId58">
        <w:r w:rsidR="00C1738A">
          <w:rPr>
            <w:rStyle w:val="Hyperlink"/>
          </w:rPr>
          <w:t>https://doi.org/10.1016/j.foreco.2014.11.030</w:t>
        </w:r>
      </w:hyperlink>
    </w:p>
    <w:p w14:paraId="1CB12E44" w14:textId="77777777" w:rsidR="00C1738A" w:rsidRDefault="00000000">
      <w:pPr>
        <w:pStyle w:val="Bibliography"/>
      </w:pPr>
      <w:bookmarkStart w:id="88" w:name="ref-millar2016ClimateChangeForests"/>
      <w:bookmarkEnd w:id="87"/>
      <w:r>
        <w:t xml:space="preserve">Millar, C.I., Stephenson, N.L., Stephens, S.L., 2016. Climate change and forests of the future: Managing in the face of uncertainty. Ecological Applications 2145–2151. </w:t>
      </w:r>
      <w:hyperlink r:id="rId59">
        <w:r w:rsidR="00C1738A">
          <w:rPr>
            <w:rStyle w:val="Hyperlink"/>
          </w:rPr>
          <w:t>https://doi.org/10.1890/06-1715.1@10.1002/(ISSN)1939-5582(CAT)SpecialCollection(VI)VirtualIssue</w:t>
        </w:r>
      </w:hyperlink>
    </w:p>
    <w:p w14:paraId="54489648" w14:textId="77777777" w:rsidR="00C1738A" w:rsidRDefault="00000000">
      <w:pPr>
        <w:pStyle w:val="Bibliography"/>
      </w:pPr>
      <w:bookmarkStart w:id="89" w:name="ref-moran1953StatisticalAnalsisCanadian"/>
      <w:bookmarkEnd w:id="88"/>
      <w:r>
        <w:t xml:space="preserve">Moran, P.A.P., 1953. The statistical analysis of the Canadian lynx cycle. 1. Structure and prediction. Australian Journal of Zoology 1, 163–173. </w:t>
      </w:r>
      <w:hyperlink r:id="rId60">
        <w:r w:rsidR="00C1738A">
          <w:rPr>
            <w:rStyle w:val="Hyperlink"/>
          </w:rPr>
          <w:t>https://doi.org/10.1071/zo9530163</w:t>
        </w:r>
      </w:hyperlink>
    </w:p>
    <w:p w14:paraId="7FBA2F1B" w14:textId="77777777" w:rsidR="00C1738A" w:rsidRDefault="00000000">
      <w:pPr>
        <w:pStyle w:val="Bibliography"/>
      </w:pPr>
      <w:bookmarkStart w:id="90" w:name="ref-mtbsprojectMTBSDataAccess2022"/>
      <w:bookmarkEnd w:id="89"/>
      <w:r>
        <w:t xml:space="preserve">MTBS Project, 2022. </w:t>
      </w:r>
      <w:hyperlink r:id="rId61">
        <w:r w:rsidR="00C1738A">
          <w:rPr>
            <w:rStyle w:val="Hyperlink"/>
          </w:rPr>
          <w:t>MTBS data access: Burned area boundaries dataset</w:t>
        </w:r>
      </w:hyperlink>
      <w:r>
        <w:t>.</w:t>
      </w:r>
    </w:p>
    <w:p w14:paraId="24AE0EAE" w14:textId="77777777" w:rsidR="00C1738A" w:rsidRDefault="00000000">
      <w:pPr>
        <w:pStyle w:val="Bibliography"/>
      </w:pPr>
      <w:bookmarkStart w:id="91" w:name="ref-nealis2016WhyWesternSpruce"/>
      <w:bookmarkEnd w:id="90"/>
      <w:r>
        <w:t xml:space="preserve">Nealis, V.G., </w:t>
      </w:r>
      <w:proofErr w:type="spellStart"/>
      <w:r>
        <w:t>Régnière</w:t>
      </w:r>
      <w:proofErr w:type="spellEnd"/>
      <w:r>
        <w:t xml:space="preserve">, J., 2016. Why western spruce budworms travel so far for the winter. Ecological Entomology 41, 633–641. </w:t>
      </w:r>
      <w:hyperlink r:id="rId62">
        <w:r w:rsidR="00C1738A">
          <w:rPr>
            <w:rStyle w:val="Hyperlink"/>
          </w:rPr>
          <w:t>https://doi.org/10.1111/een.12336</w:t>
        </w:r>
      </w:hyperlink>
    </w:p>
    <w:p w14:paraId="4475E408" w14:textId="77777777" w:rsidR="00C1738A" w:rsidRDefault="00000000">
      <w:pPr>
        <w:pStyle w:val="Bibliography"/>
      </w:pPr>
      <w:bookmarkStart w:id="92" w:name="ref-nealis2009RiskDispersalWestern"/>
      <w:bookmarkEnd w:id="91"/>
      <w:r>
        <w:t xml:space="preserve">Nealis, V.G., </w:t>
      </w:r>
      <w:proofErr w:type="spellStart"/>
      <w:r>
        <w:t>Régnière</w:t>
      </w:r>
      <w:proofErr w:type="spellEnd"/>
      <w:r>
        <w:t xml:space="preserve">, J., 2009. Risk of dispersal in western spruce budworm. Agricultural and Forest Entomology 11, 213–223. </w:t>
      </w:r>
      <w:hyperlink r:id="rId63">
        <w:r w:rsidR="00C1738A">
          <w:rPr>
            <w:rStyle w:val="Hyperlink"/>
          </w:rPr>
          <w:t>https://doi.org/10.1111/j.1461-9563.2008.00414.x</w:t>
        </w:r>
      </w:hyperlink>
    </w:p>
    <w:p w14:paraId="79B9D0EF" w14:textId="77777777" w:rsidR="00C1738A" w:rsidRDefault="00000000">
      <w:pPr>
        <w:pStyle w:val="Bibliography"/>
      </w:pPr>
      <w:bookmarkStart w:id="93" w:name="ref-nealis2021EcologyOutbreakPopulations"/>
      <w:bookmarkEnd w:id="92"/>
      <w:r>
        <w:t xml:space="preserve">Nealis, V., </w:t>
      </w:r>
      <w:proofErr w:type="spellStart"/>
      <w:r>
        <w:t>Régnière</w:t>
      </w:r>
      <w:proofErr w:type="spellEnd"/>
      <w:r>
        <w:t xml:space="preserve">, J., 2021. Ecology of outbreak populations of the western spruce budworm. Ecosphere 12. </w:t>
      </w:r>
      <w:hyperlink r:id="rId64">
        <w:r w:rsidR="00C1738A">
          <w:rPr>
            <w:rStyle w:val="Hyperlink"/>
          </w:rPr>
          <w:t>https://doi.org/10.1002/ecs2.3667</w:t>
        </w:r>
      </w:hyperlink>
    </w:p>
    <w:p w14:paraId="68914C58" w14:textId="77777777" w:rsidR="00C1738A" w:rsidRDefault="00000000">
      <w:pPr>
        <w:pStyle w:val="Bibliography"/>
      </w:pPr>
      <w:bookmarkStart w:id="94" w:name="ref-palmer1965"/>
      <w:bookmarkEnd w:id="93"/>
      <w:r>
        <w:t>Palmer, W.C., 1965. Meteorologic drought.</w:t>
      </w:r>
    </w:p>
    <w:p w14:paraId="292ABEFC" w14:textId="77777777" w:rsidR="00C1738A" w:rsidRDefault="00000000">
      <w:pPr>
        <w:pStyle w:val="Bibliography"/>
      </w:pPr>
      <w:bookmarkStart w:id="95" w:name="X890f4b861f5dcf0d292507f27b52e047d75ee71"/>
      <w:bookmarkEnd w:id="94"/>
      <w:r>
        <w:t xml:space="preserve">Patrick, C.J., McCluney, K.E., Ruhi, A., Gregory, A., Sabo, J., Thorp, J.H., 2021. Multi-scale biodiversity drives temporal variability in macrosystems. Frontiers in Ecology and the Environment 19, 47–56. </w:t>
      </w:r>
      <w:hyperlink r:id="rId65">
        <w:r w:rsidR="00C1738A">
          <w:rPr>
            <w:rStyle w:val="Hyperlink"/>
          </w:rPr>
          <w:t>https://doi.org/10.1002/fee.2297</w:t>
        </w:r>
      </w:hyperlink>
    </w:p>
    <w:p w14:paraId="67ED9C6A" w14:textId="77777777" w:rsidR="00C1738A" w:rsidRDefault="00000000">
      <w:pPr>
        <w:pStyle w:val="Bibliography"/>
      </w:pPr>
      <w:bookmarkStart w:id="96" w:name="ref-nlme"/>
      <w:bookmarkEnd w:id="95"/>
      <w:r>
        <w:t xml:space="preserve">Pinheiro, J., Bates, D., R Core Team, 2022. </w:t>
      </w:r>
      <w:hyperlink r:id="rId66">
        <w:proofErr w:type="spellStart"/>
        <w:r w:rsidR="00C1738A">
          <w:rPr>
            <w:rStyle w:val="Hyperlink"/>
          </w:rPr>
          <w:t>nlme</w:t>
        </w:r>
        <w:proofErr w:type="spellEnd"/>
        <w:r w:rsidR="00C1738A">
          <w:rPr>
            <w:rStyle w:val="Hyperlink"/>
          </w:rPr>
          <w:t>: Linear and nonlinear mixed effects models</w:t>
        </w:r>
      </w:hyperlink>
      <w:r>
        <w:t>.</w:t>
      </w:r>
    </w:p>
    <w:p w14:paraId="21968AAB" w14:textId="77777777" w:rsidR="00C1738A" w:rsidRDefault="00000000">
      <w:pPr>
        <w:pStyle w:val="Bibliography"/>
      </w:pPr>
      <w:bookmarkStart w:id="97" w:name="ref-price1991PlantVigorHypothesis"/>
      <w:bookmarkEnd w:id="96"/>
      <w:r>
        <w:t xml:space="preserve">Price, P.W., 1991. The plant vigor hypothesis and herbivore attack. Oikos 62, 244–251. </w:t>
      </w:r>
      <w:hyperlink r:id="rId67">
        <w:r w:rsidR="00C1738A">
          <w:rPr>
            <w:rStyle w:val="Hyperlink"/>
          </w:rPr>
          <w:t>https://doi.org/10.2307/3545270</w:t>
        </w:r>
      </w:hyperlink>
    </w:p>
    <w:p w14:paraId="275274C6" w14:textId="77777777" w:rsidR="00C1738A" w:rsidRDefault="00000000">
      <w:pPr>
        <w:pStyle w:val="Bibliography"/>
      </w:pPr>
      <w:bookmarkStart w:id="98" w:name="ref-prismclimategroup2021"/>
      <w:bookmarkEnd w:id="97"/>
      <w:r>
        <w:t xml:space="preserve">PRISM Climate Group, 2021. </w:t>
      </w:r>
      <w:hyperlink r:id="rId68">
        <w:r w:rsidR="00C1738A">
          <w:rPr>
            <w:rStyle w:val="Hyperlink"/>
          </w:rPr>
          <w:t xml:space="preserve">Monthly 30-year climate </w:t>
        </w:r>
        <w:proofErr w:type="spellStart"/>
        <w:r w:rsidR="00C1738A">
          <w:rPr>
            <w:rStyle w:val="Hyperlink"/>
          </w:rPr>
          <w:t>normals</w:t>
        </w:r>
        <w:proofErr w:type="spellEnd"/>
        <w:r w:rsidR="00C1738A">
          <w:rPr>
            <w:rStyle w:val="Hyperlink"/>
          </w:rPr>
          <w:t xml:space="preserve"> (1981-2010)</w:t>
        </w:r>
      </w:hyperlink>
      <w:r>
        <w:t>.</w:t>
      </w:r>
    </w:p>
    <w:p w14:paraId="2156A1AE" w14:textId="77777777" w:rsidR="00C1738A" w:rsidRDefault="00000000">
      <w:pPr>
        <w:pStyle w:val="Bibliography"/>
      </w:pPr>
      <w:bookmarkStart w:id="99" w:name="ref-purvesFinescaleSpatialStructure2002"/>
      <w:bookmarkEnd w:id="98"/>
      <w:r>
        <w:t xml:space="preserve">Purves, D.W., Law, R., 2002. Fine-scale spatial structure in a grassland community: quantifying the plant’s-eye view. Journal of Ecology 90, 121–129. </w:t>
      </w:r>
      <w:hyperlink r:id="rId69">
        <w:r w:rsidR="00C1738A">
          <w:rPr>
            <w:rStyle w:val="Hyperlink"/>
          </w:rPr>
          <w:t>https://doi.org/10.1046/j.0022-0477.2001.00652.x</w:t>
        </w:r>
      </w:hyperlink>
    </w:p>
    <w:p w14:paraId="13854A35" w14:textId="77777777" w:rsidR="00C1738A" w:rsidRDefault="00000000">
      <w:pPr>
        <w:pStyle w:val="Bibliography"/>
      </w:pPr>
      <w:bookmarkStart w:id="100" w:name="ref-rcoreteam2022"/>
      <w:bookmarkEnd w:id="99"/>
      <w:r>
        <w:t xml:space="preserve">R Core Team, 2022. </w:t>
      </w:r>
      <w:hyperlink r:id="rId70">
        <w:r w:rsidR="00C1738A">
          <w:rPr>
            <w:rStyle w:val="Hyperlink"/>
          </w:rPr>
          <w:t>R: A language and environment for statistical computing</w:t>
        </w:r>
      </w:hyperlink>
      <w:r>
        <w:t>. R Foundation for Statistical Computing, Vienna, Austria.</w:t>
      </w:r>
    </w:p>
    <w:p w14:paraId="7B7C9D5B" w14:textId="77777777" w:rsidR="00C1738A" w:rsidRDefault="00000000">
      <w:pPr>
        <w:pStyle w:val="Bibliography"/>
      </w:pPr>
      <w:bookmarkStart w:id="101" w:name="ref-richardson2015DistributionMixingOld"/>
      <w:bookmarkEnd w:id="100"/>
      <w:r>
        <w:t xml:space="preserve">Richardson, A.D., Carbone, M.S., Huggett, B.A., Furze, M.E., </w:t>
      </w:r>
      <w:proofErr w:type="spellStart"/>
      <w:r>
        <w:t>Czimczik</w:t>
      </w:r>
      <w:proofErr w:type="spellEnd"/>
      <w:r>
        <w:t xml:space="preserve">, C.I., Walker, J.C., Xu, X., Schaberg, P.G., Murakami, P., 2015. Distribution and mixing of old and new nonstructural carbon in two temperate trees. New Phytologist 206, 590–597. </w:t>
      </w:r>
      <w:hyperlink r:id="rId71">
        <w:r w:rsidR="00C1738A">
          <w:rPr>
            <w:rStyle w:val="Hyperlink"/>
          </w:rPr>
          <w:t>https://doi.org/10.1111/nph.13273</w:t>
        </w:r>
      </w:hyperlink>
    </w:p>
    <w:p w14:paraId="76AD9E8C" w14:textId="77777777" w:rsidR="00C1738A" w:rsidRDefault="00000000">
      <w:pPr>
        <w:pStyle w:val="Bibliography"/>
      </w:pPr>
      <w:bookmarkStart w:id="102" w:name="ref-rodman2019WildfireActivityLand"/>
      <w:bookmarkEnd w:id="101"/>
      <w:r>
        <w:t xml:space="preserve">Rodman, K.C., Veblen, T.T., Saraceni, S., Chapman, T.B., 2019. Wildfire activity and land use drove 20th-century changes in forest cover in the Colorado front range. Ecosphere 10, e02594. </w:t>
      </w:r>
      <w:hyperlink r:id="rId72">
        <w:r w:rsidR="00C1738A">
          <w:rPr>
            <w:rStyle w:val="Hyperlink"/>
          </w:rPr>
          <w:t>https://doi.org/10.1002/ecs2.2594</w:t>
        </w:r>
      </w:hyperlink>
    </w:p>
    <w:p w14:paraId="7DA84FAD" w14:textId="77777777" w:rsidR="00C1738A" w:rsidRDefault="00000000">
      <w:pPr>
        <w:pStyle w:val="Bibliography"/>
      </w:pPr>
      <w:bookmarkStart w:id="103" w:name="ref-rodman2020DataChangingClimatea"/>
      <w:bookmarkEnd w:id="102"/>
      <w:r>
        <w:t xml:space="preserve">Rodman, K., Veblen, T., Battaglia, M., Chambers, M., Fornwalt, P., Holden, Z., Kolb, T., Ouzts, J., Rother, M., 2020. Data from: A changing climate is snuffing out post-fire recovery in montane forests. </w:t>
      </w:r>
      <w:hyperlink r:id="rId73">
        <w:r w:rsidR="00C1738A">
          <w:rPr>
            <w:rStyle w:val="Hyperlink"/>
          </w:rPr>
          <w:t>https://doi.org/10.5061/DRYAD.QZ612JMB7</w:t>
        </w:r>
      </w:hyperlink>
    </w:p>
    <w:p w14:paraId="3D059290" w14:textId="77777777" w:rsidR="00C1738A" w:rsidRDefault="00000000">
      <w:pPr>
        <w:pStyle w:val="Bibliography"/>
      </w:pPr>
      <w:bookmarkStart w:id="104" w:name="ref-royama1984"/>
      <w:bookmarkEnd w:id="103"/>
      <w:r>
        <w:lastRenderedPageBreak/>
        <w:t xml:space="preserve">Royama, T., 1984. Population dynamics of the spruce budworm </w:t>
      </w:r>
      <w:r>
        <w:rPr>
          <w:i/>
          <w:iCs/>
        </w:rPr>
        <w:t xml:space="preserve">Choristoneura </w:t>
      </w:r>
      <w:proofErr w:type="spellStart"/>
      <w:r>
        <w:rPr>
          <w:i/>
          <w:iCs/>
        </w:rPr>
        <w:t>fumiferana</w:t>
      </w:r>
      <w:proofErr w:type="spellEnd"/>
      <w:r>
        <w:t xml:space="preserve">. Ecological Monographs 54, 429–462. </w:t>
      </w:r>
      <w:hyperlink r:id="rId74">
        <w:r w:rsidR="00C1738A">
          <w:rPr>
            <w:rStyle w:val="Hyperlink"/>
          </w:rPr>
          <w:t>https://doi.org/10.2307/1942595</w:t>
        </w:r>
      </w:hyperlink>
    </w:p>
    <w:p w14:paraId="19D47BC0" w14:textId="77777777" w:rsidR="00C1738A" w:rsidRDefault="00000000">
      <w:pPr>
        <w:pStyle w:val="Bibliography"/>
      </w:pPr>
      <w:bookmarkStart w:id="105" w:name="X4e36991cd0640877d9d4abdf77193e4d82669ec"/>
      <w:bookmarkEnd w:id="104"/>
      <w:r>
        <w:t>Ryerson, D.E., Swetnam, T.W., Lynch, A.M., 2003. A tree-ring reconstruction of western spruce budworm outbreaks in the San Juan Mountains, Colorado, USA. Canadian Journal of Forest Research 33, 10101028.</w:t>
      </w:r>
    </w:p>
    <w:p w14:paraId="079C3BA3" w14:textId="77777777" w:rsidR="00C1738A" w:rsidRDefault="00000000">
      <w:pPr>
        <w:pStyle w:val="Bibliography"/>
      </w:pPr>
      <w:bookmarkStart w:id="106" w:name="X1ee8372f9b42854b51bfddc05c18c0d9a83cf4c"/>
      <w:bookmarkEnd w:id="105"/>
      <w:proofErr w:type="spellStart"/>
      <w:r>
        <w:t>Schoennagel</w:t>
      </w:r>
      <w:proofErr w:type="spellEnd"/>
      <w:r>
        <w:t xml:space="preserve">, T., Veblen, T.T., Kulakowski, D., Holz, A., 2007. Multidecadal climate variability and climate interactions affect subalpine fire occurrence, western Colorado (USA). Ecology 88, 2891–2902. </w:t>
      </w:r>
      <w:hyperlink r:id="rId75">
        <w:r w:rsidR="00C1738A">
          <w:rPr>
            <w:rStyle w:val="Hyperlink"/>
          </w:rPr>
          <w:t>https://doi.org/10.1890/06-1860.1</w:t>
        </w:r>
      </w:hyperlink>
    </w:p>
    <w:p w14:paraId="0FA88940" w14:textId="77777777" w:rsidR="00C1738A" w:rsidRDefault="00000000">
      <w:pPr>
        <w:pStyle w:val="Bibliography"/>
      </w:pPr>
      <w:bookmarkStart w:id="107" w:name="ref-senf2017MultiscaleAnalysisWestern"/>
      <w:bookmarkEnd w:id="106"/>
      <w:r>
        <w:t xml:space="preserve">Senf, C., Campbell, E.M., </w:t>
      </w:r>
      <w:proofErr w:type="spellStart"/>
      <w:r>
        <w:t>Pflugmacher</w:t>
      </w:r>
      <w:proofErr w:type="spellEnd"/>
      <w:r>
        <w:t xml:space="preserve">, D., </w:t>
      </w:r>
      <w:proofErr w:type="spellStart"/>
      <w:r>
        <w:t>Wulder</w:t>
      </w:r>
      <w:proofErr w:type="spellEnd"/>
      <w:r>
        <w:t>, M.A., Hostert, P., 2017. A multi-scale analysis of western spruce budworm outbreak dynamics. Landscape ecology 32, 501514.</w:t>
      </w:r>
    </w:p>
    <w:p w14:paraId="4FA61618" w14:textId="77777777" w:rsidR="00C1738A" w:rsidRDefault="00000000">
      <w:pPr>
        <w:pStyle w:val="Bibliography"/>
      </w:pPr>
      <w:bookmarkStart w:id="108" w:name="ref-senf2016UsingLandsatAssess"/>
      <w:bookmarkEnd w:id="107"/>
      <w:r>
        <w:t xml:space="preserve">Senf, C., </w:t>
      </w:r>
      <w:proofErr w:type="spellStart"/>
      <w:r>
        <w:t>Wulder</w:t>
      </w:r>
      <w:proofErr w:type="spellEnd"/>
      <w:r>
        <w:t xml:space="preserve">, M.A., Campbell, E.M., Hostert, P., 2016. Using Landsat to Assess the Relationship Between Spatiotemporal Patterns of Western Spruce Budworm Outbreaks and Regional-Scale Weather Variability. Canadian Journal of Remote Sensing 42, 706–718. </w:t>
      </w:r>
      <w:hyperlink r:id="rId76">
        <w:r w:rsidR="00C1738A">
          <w:rPr>
            <w:rStyle w:val="Hyperlink"/>
          </w:rPr>
          <w:t>https://doi.org/10.1080/07038992.2016.1220828</w:t>
        </w:r>
      </w:hyperlink>
    </w:p>
    <w:p w14:paraId="31AA7940" w14:textId="77777777" w:rsidR="00C1738A" w:rsidRDefault="00000000">
      <w:pPr>
        <w:pStyle w:val="Bibliography"/>
      </w:pPr>
      <w:bookmarkStart w:id="109" w:name="X6dd892ea2bf182e47770bba44f3a630cba57348"/>
      <w:bookmarkEnd w:id="108"/>
      <w:r>
        <w:t xml:space="preserve">Sherriff, R.L., Veblen, T.T., 2007. A </w:t>
      </w:r>
      <w:proofErr w:type="gramStart"/>
      <w:r>
        <w:t>spatially-explicit</w:t>
      </w:r>
      <w:proofErr w:type="gramEnd"/>
      <w:r>
        <w:t xml:space="preserve"> reconstruction of historical fire occurrence in the ponderosa pine zone of the Colorado Front Range. Ecosystems 10, 311–323. </w:t>
      </w:r>
      <w:hyperlink r:id="rId77">
        <w:r w:rsidR="00C1738A">
          <w:rPr>
            <w:rStyle w:val="Hyperlink"/>
          </w:rPr>
          <w:t>https://doi.org/10.1007/s10021-007-9022-2</w:t>
        </w:r>
      </w:hyperlink>
    </w:p>
    <w:p w14:paraId="73FA609E" w14:textId="77777777" w:rsidR="00C1738A" w:rsidRDefault="00000000">
      <w:pPr>
        <w:pStyle w:val="Bibliography"/>
      </w:pPr>
      <w:bookmarkStart w:id="110" w:name="ref-speer2010"/>
      <w:bookmarkEnd w:id="109"/>
      <w:r>
        <w:t>Speer, J.H., 2010. Fundamentals of Tree-ring Research. University of Arizona Press, Tucson, AZ.</w:t>
      </w:r>
    </w:p>
    <w:p w14:paraId="67597B77" w14:textId="77777777" w:rsidR="00C1738A" w:rsidRDefault="00000000">
      <w:pPr>
        <w:pStyle w:val="Bibliography"/>
      </w:pPr>
      <w:bookmarkStart w:id="111" w:name="ref-stokes1996"/>
      <w:bookmarkEnd w:id="110"/>
      <w:r>
        <w:t>Stokes, M.A., Smiley, T.L., 1996. An introduction to tree-ring dating. University of Arizona Press.</w:t>
      </w:r>
    </w:p>
    <w:p w14:paraId="6EE27DFD" w14:textId="77777777" w:rsidR="00C1738A" w:rsidRDefault="00000000">
      <w:pPr>
        <w:pStyle w:val="Bibliography"/>
      </w:pPr>
      <w:bookmarkStart w:id="112" w:name="X3f635821c55a45424890682074a2eda50287344"/>
      <w:bookmarkEnd w:id="111"/>
      <w:r>
        <w:t xml:space="preserve">Sturtevant, B.R., </w:t>
      </w:r>
      <w:proofErr w:type="spellStart"/>
      <w:r>
        <w:t>Achtemeier</w:t>
      </w:r>
      <w:proofErr w:type="spellEnd"/>
      <w:r>
        <w:t>, G.L., Charney, J.J., Anderson, D.P., Cooke, B.J., Townsend, P.A., 2013. Long-distance dispersal of spruce budworm (</w:t>
      </w:r>
      <w:r>
        <w:rPr>
          <w:i/>
          <w:iCs/>
        </w:rPr>
        <w:t xml:space="preserve">Choristoneura </w:t>
      </w:r>
      <w:proofErr w:type="spellStart"/>
      <w:r>
        <w:rPr>
          <w:i/>
          <w:iCs/>
        </w:rPr>
        <w:t>fumiferana</w:t>
      </w:r>
      <w:proofErr w:type="spellEnd"/>
      <w:r>
        <w:t xml:space="preserve"> Clemens) in Minnesota (USA) and Ontario (Canada) via the atmospheric pathway. Agricultural and Forest Meteorology 168, 186–200. </w:t>
      </w:r>
      <w:hyperlink r:id="rId78">
        <w:r w:rsidR="00C1738A">
          <w:rPr>
            <w:rStyle w:val="Hyperlink"/>
          </w:rPr>
          <w:t>https://doi.org/10.1016/j.agrformet.2012.09.008</w:t>
        </w:r>
      </w:hyperlink>
    </w:p>
    <w:p w14:paraId="0208331F" w14:textId="77777777" w:rsidR="00C1738A" w:rsidRDefault="00000000">
      <w:pPr>
        <w:pStyle w:val="Bibliography"/>
      </w:pPr>
      <w:bookmarkStart w:id="113" w:name="ref-swetnam1985"/>
      <w:bookmarkEnd w:id="112"/>
      <w:r>
        <w:t>Swetnam, T.W., 1985. Radial growth losses in Douglas-fir and white fir caused by western spruce budworm in northern New Mexico: 1700-1983. Tucson, AZ.</w:t>
      </w:r>
    </w:p>
    <w:p w14:paraId="0F9DE86F" w14:textId="77777777" w:rsidR="00C1738A" w:rsidRDefault="00000000">
      <w:pPr>
        <w:pStyle w:val="Bibliography"/>
      </w:pPr>
      <w:bookmarkStart w:id="114" w:name="ref-swetnam1993"/>
      <w:bookmarkEnd w:id="113"/>
      <w:r>
        <w:t xml:space="preserve">Swetnam, T.W., Lynch, A.M., 1993. </w:t>
      </w:r>
      <w:proofErr w:type="spellStart"/>
      <w:r>
        <w:t>Multicentury</w:t>
      </w:r>
      <w:proofErr w:type="spellEnd"/>
      <w:r>
        <w:t>, regional-scale patterns of western spruce budworm outbreaks. Ecological Monographs 63, 399424.</w:t>
      </w:r>
    </w:p>
    <w:p w14:paraId="37EA9855" w14:textId="77777777" w:rsidR="00C1738A" w:rsidRDefault="00000000">
      <w:pPr>
        <w:pStyle w:val="Bibliography"/>
      </w:pPr>
      <w:bookmarkStart w:id="115" w:name="ref-swetnam1989"/>
      <w:bookmarkEnd w:id="114"/>
      <w:r>
        <w:t>Swetnam, T.W., Lynch, A.M., 1989. A tree-ring reconstruction of western spruce budworm history in the Southern Rocky Mountains. Forest Science 35, 962986.</w:t>
      </w:r>
    </w:p>
    <w:p w14:paraId="3DE2D397" w14:textId="77777777" w:rsidR="00C1738A" w:rsidRDefault="00000000">
      <w:pPr>
        <w:pStyle w:val="Bibliography"/>
      </w:pPr>
      <w:bookmarkStart w:id="116" w:name="ref-thomson1984RelatingWeatherOutbreaks"/>
      <w:bookmarkEnd w:id="115"/>
      <w:r>
        <w:t xml:space="preserve">Thomson, A.J., Shepherd, R.F., Harris, J.W.E., Silversides, R.H., 1984. Relating weather to outbreaks of western spruce budworm, </w:t>
      </w:r>
      <w:r>
        <w:rPr>
          <w:i/>
          <w:iCs/>
        </w:rPr>
        <w:t>Choristoneura occidentalis</w:t>
      </w:r>
      <w:r>
        <w:t xml:space="preserve"> (Lepidoptera: </w:t>
      </w:r>
      <w:proofErr w:type="spellStart"/>
      <w:r>
        <w:t>Tortricidae</w:t>
      </w:r>
      <w:proofErr w:type="spellEnd"/>
      <w:r>
        <w:t xml:space="preserve">), in British Columbia. The Canadian Entomologist 116, 375–381. </w:t>
      </w:r>
      <w:hyperlink r:id="rId79">
        <w:r w:rsidR="00C1738A">
          <w:rPr>
            <w:rStyle w:val="Hyperlink"/>
          </w:rPr>
          <w:t>https://doi.org/10.4039/Ent116375-3</w:t>
        </w:r>
      </w:hyperlink>
    </w:p>
    <w:p w14:paraId="41DC121C" w14:textId="77777777" w:rsidR="00C1738A" w:rsidRDefault="00000000">
      <w:pPr>
        <w:pStyle w:val="Bibliography"/>
      </w:pPr>
      <w:bookmarkStart w:id="117" w:name="Xe07994a759a560b58250ecd1a6458592d9ea6d1"/>
      <w:bookmarkEnd w:id="116"/>
      <w:r>
        <w:t xml:space="preserve">USFS, partners, its, 2020. </w:t>
      </w:r>
      <w:hyperlink r:id="rId80">
        <w:r w:rsidR="00C1738A">
          <w:rPr>
            <w:rStyle w:val="Hyperlink"/>
          </w:rPr>
          <w:t>USDA forest service - aerial survey data download</w:t>
        </w:r>
      </w:hyperlink>
      <w:r>
        <w:t>.</w:t>
      </w:r>
    </w:p>
    <w:p w14:paraId="32AF963D" w14:textId="77777777" w:rsidR="00C1738A" w:rsidRDefault="00000000">
      <w:pPr>
        <w:pStyle w:val="Bibliography"/>
      </w:pPr>
      <w:bookmarkStart w:id="118" w:name="ref-usgcrp2023FifthNationalClimate"/>
      <w:bookmarkEnd w:id="117"/>
      <w:r>
        <w:t xml:space="preserve">USGCRP, 2023. Fifth national climate assessment. </w:t>
      </w:r>
      <w:hyperlink r:id="rId81">
        <w:r w:rsidR="00C1738A">
          <w:rPr>
            <w:rStyle w:val="Hyperlink"/>
          </w:rPr>
          <w:t>https://doi.org/10.7930/NCA5.2023</w:t>
        </w:r>
      </w:hyperlink>
    </w:p>
    <w:p w14:paraId="15236260" w14:textId="77777777" w:rsidR="00C1738A" w:rsidRDefault="00000000">
      <w:pPr>
        <w:pStyle w:val="Bibliography"/>
      </w:pPr>
      <w:bookmarkStart w:id="119" w:name="ref-veblen2005"/>
      <w:bookmarkEnd w:id="118"/>
      <w:r>
        <w:t>Veblen, T.T., Donnegan, J.A., 2005. Historical range of variability for forest vegetation of the national forests of the Colorado Front Range. Boulder, Colorado.</w:t>
      </w:r>
    </w:p>
    <w:p w14:paraId="0981C9E8" w14:textId="77777777" w:rsidR="00C1738A" w:rsidRDefault="00000000">
      <w:pPr>
        <w:pStyle w:val="Bibliography"/>
      </w:pPr>
      <w:bookmarkStart w:id="120" w:name="ref-veblen2000"/>
      <w:bookmarkEnd w:id="119"/>
      <w:r>
        <w:t>Veblen, T.T., Kitzberger, T., Donnegan, J., 2000. Climatic and human influences on fire regimes in ponderosa pine forests in the Colorado Front Range. Ecological Applications 10, 1178–1195. https://doi.org/</w:t>
      </w:r>
      <w:hyperlink r:id="rId82">
        <w:r w:rsidR="00C1738A">
          <w:rPr>
            <w:rStyle w:val="Hyperlink"/>
          </w:rPr>
          <w:t>https://doi.org/10.1890/1051-0761(2000)010[1178:CAHIOF]2.0.CO;2</w:t>
        </w:r>
      </w:hyperlink>
    </w:p>
    <w:p w14:paraId="532B7244" w14:textId="77777777" w:rsidR="00C1738A" w:rsidRDefault="00000000">
      <w:pPr>
        <w:pStyle w:val="Bibliography"/>
      </w:pPr>
      <w:bookmarkStart w:id="121" w:name="ref-veblen1991ColoradoFrontRange"/>
      <w:bookmarkEnd w:id="120"/>
      <w:r>
        <w:t>Veblen, T.T., Lorenz, D.C., 1991. The Colorado Front Range: A century of ecological change. University of Utah Press.</w:t>
      </w:r>
    </w:p>
    <w:p w14:paraId="44CB8241" w14:textId="77777777" w:rsidR="00C1738A" w:rsidRDefault="00000000">
      <w:pPr>
        <w:pStyle w:val="Bibliography"/>
      </w:pPr>
      <w:bookmarkStart w:id="122" w:name="ref-MASS"/>
      <w:bookmarkEnd w:id="121"/>
      <w:r>
        <w:t>Venables, W.N., Ripley, B.D., 2002. Modern applied statistics with S. Springer-Verlag, New York, New York.</w:t>
      </w:r>
    </w:p>
    <w:p w14:paraId="4E50D280" w14:textId="77777777" w:rsidR="00C1738A" w:rsidRDefault="00000000">
      <w:pPr>
        <w:pStyle w:val="Bibliography"/>
      </w:pPr>
      <w:bookmarkStart w:id="123" w:name="X50cecb246fd80c65ad42065985b700fbdc3d856"/>
      <w:bookmarkEnd w:id="122"/>
      <w:r>
        <w:lastRenderedPageBreak/>
        <w:t xml:space="preserve">Weber, U.M., </w:t>
      </w:r>
      <w:proofErr w:type="spellStart"/>
      <w:r>
        <w:t>Schweingruber</w:t>
      </w:r>
      <w:proofErr w:type="spellEnd"/>
      <w:r>
        <w:t>, F.H., 1995. A dendroecological reconstruction of western spruce budworm outbreaks (</w:t>
      </w:r>
      <w:r>
        <w:rPr>
          <w:i/>
          <w:iCs/>
        </w:rPr>
        <w:t>Choristoneura occidentalis</w:t>
      </w:r>
      <w:r>
        <w:t xml:space="preserve">) in the Front Range, Colorado, from 1720 to 1986. Trees 9. </w:t>
      </w:r>
      <w:hyperlink r:id="rId83">
        <w:r w:rsidR="00C1738A">
          <w:rPr>
            <w:rStyle w:val="Hyperlink"/>
          </w:rPr>
          <w:t>https://doi.org/10.1007/BF00195274</w:t>
        </w:r>
      </w:hyperlink>
    </w:p>
    <w:p w14:paraId="0DA85F01" w14:textId="77777777" w:rsidR="00C1738A" w:rsidRDefault="00000000">
      <w:pPr>
        <w:pStyle w:val="Bibliography"/>
      </w:pPr>
      <w:bookmarkStart w:id="124" w:name="ref-weiskopf2020ClimateChangeEffects"/>
      <w:bookmarkEnd w:id="123"/>
      <w:r>
        <w:t xml:space="preserve">Weiskopf, S.R., Rubenstein, M.A., Crozier, L.G., </w:t>
      </w:r>
      <w:proofErr w:type="spellStart"/>
      <w:r>
        <w:t>Gaichas</w:t>
      </w:r>
      <w:proofErr w:type="spellEnd"/>
      <w:r>
        <w:t xml:space="preserve">, S., Griffis, R., </w:t>
      </w:r>
      <w:proofErr w:type="spellStart"/>
      <w:r>
        <w:t>Halofsky</w:t>
      </w:r>
      <w:proofErr w:type="spellEnd"/>
      <w:r>
        <w:t xml:space="preserve">, J.E., Hyde, K.J.W., Morelli, T.L., Morisette, J.T., Muñoz, R.C., Pershing, A.J., Peterson, D.L., Poudel, R., Staudinger, M.D., Sutton-Grier, A.E., Thompson, L., Vose, J., Weltzin, J.F., Whyte, K.P., 2020. Climate change effects on biodiversity, ecosystems, ecosystem services, and natural resource management in the United States. Science of The Total Environment 733, 137782. </w:t>
      </w:r>
      <w:hyperlink r:id="rId84">
        <w:r w:rsidR="00C1738A">
          <w:rPr>
            <w:rStyle w:val="Hyperlink"/>
          </w:rPr>
          <w:t>https://doi.org/10.1016/j.scitotenv.2020.137782</w:t>
        </w:r>
      </w:hyperlink>
    </w:p>
    <w:p w14:paraId="0F516F6D" w14:textId="77777777" w:rsidR="00C1738A" w:rsidRDefault="00000000">
      <w:pPr>
        <w:pStyle w:val="Bibliography"/>
      </w:pPr>
      <w:bookmarkStart w:id="125" w:name="Xbe211468785b51cb9d643c7786f1a37aa08035e"/>
      <w:bookmarkEnd w:id="124"/>
      <w:r>
        <w:t xml:space="preserve">Wells, N., Goddard, S., Hayes, M.J., 2004. A self-calibrating Palmer Drought Severity Index. Journal of Climate 17, 2335–2351. </w:t>
      </w:r>
      <w:hyperlink r:id="rId85">
        <w:r w:rsidR="00C1738A">
          <w:rPr>
            <w:rStyle w:val="Hyperlink"/>
          </w:rPr>
          <w:t>https://doi.org/10.1175/1520-0442(2004)017&lt;2335:ASPDSI&gt;2.0.CO;2</w:t>
        </w:r>
      </w:hyperlink>
    </w:p>
    <w:p w14:paraId="422C55B4" w14:textId="77777777" w:rsidR="00C1738A" w:rsidRDefault="00000000">
      <w:pPr>
        <w:pStyle w:val="Bibliography"/>
      </w:pPr>
      <w:bookmarkStart w:id="126" w:name="X82b5ec8416d78e33a29a762521c2a692b01ddf5"/>
      <w:bookmarkEnd w:id="125"/>
      <w:r>
        <w:t xml:space="preserve">White, T.C.R., 1984. The abundance of invertebrate herbivores in relation to the availability of nitrogen in stressed food plants. </w:t>
      </w:r>
      <w:proofErr w:type="spellStart"/>
      <w:r>
        <w:t>Oecologia</w:t>
      </w:r>
      <w:proofErr w:type="spellEnd"/>
      <w:r>
        <w:t xml:space="preserve"> 63, 90–105. </w:t>
      </w:r>
      <w:hyperlink r:id="rId86">
        <w:r w:rsidR="00C1738A">
          <w:rPr>
            <w:rStyle w:val="Hyperlink"/>
          </w:rPr>
          <w:t>https://doi.org/10.1007/BF00379790</w:t>
        </w:r>
      </w:hyperlink>
    </w:p>
    <w:p w14:paraId="39E0C191" w14:textId="77777777" w:rsidR="00C1738A" w:rsidRDefault="00000000">
      <w:pPr>
        <w:pStyle w:val="Bibliography"/>
      </w:pPr>
      <w:bookmarkStart w:id="127" w:name="ref-wilcox2017AsynchronyLocalCommunities"/>
      <w:bookmarkEnd w:id="126"/>
      <w:r>
        <w:t xml:space="preserve">Wilcox, K.R., Tredennick, A.T., Koerner, S.E., Grman, E., Hallett, L.M., Avolio, M.L., La Pierre, K.J., Houseman, G.R., Isbell, F., Johnson, D.S., Alatalo, J.M., Baldwin, A.H., Bork, E.W., Boughton, E.H., Bowman, W.D., Britton, A.J., Cahill Jr., J.F., Collins, S.L., Du, G., Eskelinen, A., Gough, L., Jentsch, A., Kern, C., Klanderud, K., Knapp, A.K., Kreyling, J., Luo, Y., McLaren, J.R., </w:t>
      </w:r>
      <w:proofErr w:type="spellStart"/>
      <w:r>
        <w:t>Megonigal</w:t>
      </w:r>
      <w:proofErr w:type="spellEnd"/>
      <w:r>
        <w:t xml:space="preserve">, P., Onipchenko, V., </w:t>
      </w:r>
      <w:proofErr w:type="spellStart"/>
      <w:r>
        <w:t>Prevéy</w:t>
      </w:r>
      <w:proofErr w:type="spellEnd"/>
      <w:r>
        <w:t xml:space="preserve">, J., Price, J.N., Robinson, C.H., Sala, O.E., Smith, M.D., </w:t>
      </w:r>
      <w:proofErr w:type="spellStart"/>
      <w:r>
        <w:t>Soudzilovskaia</w:t>
      </w:r>
      <w:proofErr w:type="spellEnd"/>
      <w:r>
        <w:t xml:space="preserve">, N.A., Souza, L., Tilman, D., White, S.R., Xu, Z., </w:t>
      </w:r>
      <w:proofErr w:type="spellStart"/>
      <w:r>
        <w:t>Yahdjian</w:t>
      </w:r>
      <w:proofErr w:type="spellEnd"/>
      <w:r>
        <w:t xml:space="preserve">, L., Yu, Q., Zhang, P., Zhang, Y., 2017. Asynchrony among local communities </w:t>
      </w:r>
      <w:proofErr w:type="spellStart"/>
      <w:r>
        <w:t>stabilises</w:t>
      </w:r>
      <w:proofErr w:type="spellEnd"/>
      <w:r>
        <w:t xml:space="preserve"> ecosystem function of metacommunities. Ecology Letters 20, 1534–1545. </w:t>
      </w:r>
      <w:hyperlink r:id="rId87">
        <w:r w:rsidR="00C1738A">
          <w:rPr>
            <w:rStyle w:val="Hyperlink"/>
          </w:rPr>
          <w:t>https://doi.org/10.1111/ele.12861</w:t>
        </w:r>
      </w:hyperlink>
    </w:p>
    <w:p w14:paraId="7E6EB615" w14:textId="77777777" w:rsidR="00C1738A" w:rsidRDefault="00000000">
      <w:pPr>
        <w:pStyle w:val="Bibliography"/>
      </w:pPr>
      <w:bookmarkStart w:id="128" w:name="X67853bb16df47998daad391762a96fda32eef40"/>
      <w:bookmarkEnd w:id="127"/>
      <w:r>
        <w:t xml:space="preserve">Windmuller-Campione, M.A., DeRose, J., Long, J.N., 2021. Landscape-scale drivers of resistance and resilience to bark beetles: A conceptual susceptibility model. Forests 12, 798. </w:t>
      </w:r>
      <w:hyperlink r:id="rId88">
        <w:r w:rsidR="00C1738A">
          <w:rPr>
            <w:rStyle w:val="Hyperlink"/>
          </w:rPr>
          <w:t>https://doi.org/10.3390/f12060798</w:t>
        </w:r>
      </w:hyperlink>
    </w:p>
    <w:p w14:paraId="784C3EBC" w14:textId="77777777" w:rsidR="00C1738A" w:rsidRDefault="00000000">
      <w:pPr>
        <w:pStyle w:val="Bibliography"/>
      </w:pPr>
      <w:bookmarkStart w:id="129" w:name="ref-woodhouse2006"/>
      <w:bookmarkEnd w:id="128"/>
      <w:r>
        <w:t xml:space="preserve">Woodhouse, C.A., Gray, S.T., Meko, D.M., 2006a. Updated streamflow reconstructions for the Upper Colorado River Basin. Water Resources Research 42. </w:t>
      </w:r>
      <w:hyperlink r:id="rId89">
        <w:r w:rsidR="00C1738A">
          <w:rPr>
            <w:rStyle w:val="Hyperlink"/>
          </w:rPr>
          <w:t>https://doi.org/10.1029/2005WR004455</w:t>
        </w:r>
      </w:hyperlink>
    </w:p>
    <w:p w14:paraId="200F9CEC" w14:textId="77777777" w:rsidR="00C1738A" w:rsidRDefault="00000000">
      <w:pPr>
        <w:pStyle w:val="Bibliography"/>
      </w:pPr>
      <w:bookmarkStart w:id="130" w:name="ref-CO591"/>
      <w:bookmarkEnd w:id="129"/>
      <w:r>
        <w:t xml:space="preserve">Woodhouse, C.A., </w:t>
      </w:r>
      <w:proofErr w:type="spellStart"/>
      <w:r>
        <w:t>Losleben</w:t>
      </w:r>
      <w:proofErr w:type="spellEnd"/>
      <w:r>
        <w:t xml:space="preserve">, M.V., 2006a. NOAA/WDS Paleoclimatology - Woodhouse - Boulder Ridge Road - PIPO - ITRDB CO591. </w:t>
      </w:r>
      <w:hyperlink r:id="rId90">
        <w:r w:rsidR="00C1738A">
          <w:rPr>
            <w:rStyle w:val="Hyperlink"/>
          </w:rPr>
          <w:t>https://doi.org/10.25921/PVQK-VB36</w:t>
        </w:r>
      </w:hyperlink>
    </w:p>
    <w:p w14:paraId="1203CF7F" w14:textId="77777777" w:rsidR="00C1738A" w:rsidRDefault="00000000">
      <w:pPr>
        <w:pStyle w:val="Bibliography"/>
      </w:pPr>
      <w:bookmarkStart w:id="131" w:name="ref-CO601"/>
      <w:bookmarkEnd w:id="130"/>
      <w:r>
        <w:t xml:space="preserve">Woodhouse, C.A., </w:t>
      </w:r>
      <w:proofErr w:type="spellStart"/>
      <w:r>
        <w:t>Losleben</w:t>
      </w:r>
      <w:proofErr w:type="spellEnd"/>
      <w:r>
        <w:t xml:space="preserve">, M.V., 2006b. NOAA/WDS Paleoclimatology - Woodhouse - Eagle Rock - PIPO - ITRDB CO601. </w:t>
      </w:r>
      <w:hyperlink r:id="rId91">
        <w:r w:rsidR="00C1738A">
          <w:rPr>
            <w:rStyle w:val="Hyperlink"/>
          </w:rPr>
          <w:t>https://doi.org/10.25921/PMVY-ZX98</w:t>
        </w:r>
      </w:hyperlink>
    </w:p>
    <w:p w14:paraId="373BF2BC" w14:textId="77777777" w:rsidR="00C1738A" w:rsidRDefault="00000000">
      <w:pPr>
        <w:pStyle w:val="Bibliography"/>
      </w:pPr>
      <w:bookmarkStart w:id="132" w:name="ref-CO602"/>
      <w:bookmarkEnd w:id="131"/>
      <w:r>
        <w:t xml:space="preserve">Woodhouse, C.A., </w:t>
      </w:r>
      <w:proofErr w:type="spellStart"/>
      <w:r>
        <w:t>Losleben</w:t>
      </w:r>
      <w:proofErr w:type="spellEnd"/>
      <w:r>
        <w:t xml:space="preserve">, M.V., 2006c. NOAA/WDS Paleoclimatology - Woodhouse - </w:t>
      </w:r>
      <w:proofErr w:type="spellStart"/>
      <w:r>
        <w:t>Elevenmile</w:t>
      </w:r>
      <w:proofErr w:type="spellEnd"/>
      <w:r>
        <w:t xml:space="preserve"> Reservoir - PIPO - ITRDB CO602. </w:t>
      </w:r>
      <w:hyperlink r:id="rId92">
        <w:r w:rsidR="00C1738A">
          <w:rPr>
            <w:rStyle w:val="Hyperlink"/>
          </w:rPr>
          <w:t>https://doi.org/10.25921/YCHK-ZA37</w:t>
        </w:r>
      </w:hyperlink>
    </w:p>
    <w:p w14:paraId="11DBE799" w14:textId="77777777" w:rsidR="00C1738A" w:rsidRDefault="00000000">
      <w:pPr>
        <w:pStyle w:val="Bibliography"/>
      </w:pPr>
      <w:bookmarkStart w:id="133" w:name="ref-CO669"/>
      <w:bookmarkEnd w:id="132"/>
      <w:r>
        <w:t xml:space="preserve">Woodhouse, C.A., </w:t>
      </w:r>
      <w:proofErr w:type="spellStart"/>
      <w:r>
        <w:t>Losleben</w:t>
      </w:r>
      <w:proofErr w:type="spellEnd"/>
      <w:r>
        <w:t xml:space="preserve">, M.V., </w:t>
      </w:r>
      <w:proofErr w:type="spellStart"/>
      <w:r>
        <w:t>Chowanski</w:t>
      </w:r>
      <w:proofErr w:type="spellEnd"/>
      <w:r>
        <w:t xml:space="preserve">, K., Lukas, J.J., 2019a. NOAA/WDS Paleoclimatology - Woodhouse - Monarch Pass - PIPO - ITRDB CO669. </w:t>
      </w:r>
      <w:hyperlink r:id="rId93">
        <w:r w:rsidR="00C1738A">
          <w:rPr>
            <w:rStyle w:val="Hyperlink"/>
          </w:rPr>
          <w:t>https://doi.org/10.25921/P3RZ-2R66</w:t>
        </w:r>
      </w:hyperlink>
    </w:p>
    <w:p w14:paraId="3C508F21" w14:textId="77777777" w:rsidR="00C1738A" w:rsidRDefault="00000000">
      <w:pPr>
        <w:pStyle w:val="Bibliography"/>
      </w:pPr>
      <w:bookmarkStart w:id="134" w:name="Xa3a5d0b1c1f6b2c37633270462d730d07efb675"/>
      <w:bookmarkEnd w:id="133"/>
      <w:r>
        <w:t xml:space="preserve">Woodhouse, C.A., </w:t>
      </w:r>
      <w:proofErr w:type="spellStart"/>
      <w:r>
        <w:t>Losleben</w:t>
      </w:r>
      <w:proofErr w:type="spellEnd"/>
      <w:r>
        <w:t xml:space="preserve">, M.V., </w:t>
      </w:r>
      <w:proofErr w:type="spellStart"/>
      <w:r>
        <w:t>Chowanski</w:t>
      </w:r>
      <w:proofErr w:type="spellEnd"/>
      <w:r>
        <w:t xml:space="preserve">, K., Lukas, J.J., 2019b. NOAA/WDS Paleoclimatology - Woodhouse - Turkey Creek Update - PIPO - ITRDB CO675. </w:t>
      </w:r>
      <w:hyperlink r:id="rId94">
        <w:r w:rsidR="00C1738A">
          <w:rPr>
            <w:rStyle w:val="Hyperlink"/>
          </w:rPr>
          <w:t>https://doi.org/10.25921/H9PQ-XX61</w:t>
        </w:r>
      </w:hyperlink>
    </w:p>
    <w:p w14:paraId="798FC7D1" w14:textId="77777777" w:rsidR="00C1738A" w:rsidRDefault="00000000">
      <w:pPr>
        <w:pStyle w:val="Bibliography"/>
      </w:pPr>
      <w:bookmarkStart w:id="135" w:name="ref-CO639"/>
      <w:bookmarkEnd w:id="134"/>
      <w:r>
        <w:t xml:space="preserve">Woodhouse, C.A., </w:t>
      </w:r>
      <w:proofErr w:type="spellStart"/>
      <w:r>
        <w:t>Losleben</w:t>
      </w:r>
      <w:proofErr w:type="spellEnd"/>
      <w:r>
        <w:t xml:space="preserve">, M.V., </w:t>
      </w:r>
      <w:proofErr w:type="spellStart"/>
      <w:r>
        <w:t>Chowanski</w:t>
      </w:r>
      <w:proofErr w:type="spellEnd"/>
      <w:r>
        <w:t xml:space="preserve">, K., Lukas, J.J., 2010. NOAA/WDS Paleoclimatology - Woodhouse - Happy Meadows - PIPO - ITRDB CO639. </w:t>
      </w:r>
      <w:hyperlink r:id="rId95">
        <w:r w:rsidR="00C1738A">
          <w:rPr>
            <w:rStyle w:val="Hyperlink"/>
          </w:rPr>
          <w:t>https://doi.org/10.25921/A7T2-YF30</w:t>
        </w:r>
      </w:hyperlink>
    </w:p>
    <w:p w14:paraId="1BF18D2C" w14:textId="77777777" w:rsidR="00C1738A" w:rsidRDefault="00000000">
      <w:pPr>
        <w:pStyle w:val="Bibliography"/>
      </w:pPr>
      <w:bookmarkStart w:id="136" w:name="ref-CO622"/>
      <w:bookmarkEnd w:id="135"/>
      <w:r>
        <w:t xml:space="preserve">Woodhouse, C.A., Lukas, J.J., Huckaby, L., Barger, N., 2006b. NOAA/WDS Paleoclimatology - Woodhouse - Rustic - PIPO - ITRDB CO622. </w:t>
      </w:r>
      <w:hyperlink r:id="rId96">
        <w:r w:rsidR="00C1738A">
          <w:rPr>
            <w:rStyle w:val="Hyperlink"/>
          </w:rPr>
          <w:t>https://doi.org/10.25921/H15V-EB36</w:t>
        </w:r>
      </w:hyperlink>
    </w:p>
    <w:p w14:paraId="1CC18836" w14:textId="77777777" w:rsidR="00C1738A" w:rsidRDefault="00000000">
      <w:pPr>
        <w:pStyle w:val="Bibliography"/>
      </w:pPr>
      <w:bookmarkStart w:id="137" w:name="ref-CO666"/>
      <w:bookmarkEnd w:id="136"/>
      <w:r>
        <w:t xml:space="preserve">Woodhouse, C.A., Lukas, J.J., Kaye, M., 2019c. NOAA/WDS Paleoclimatology - Woodhouse - Johnny Park - PIPO - ITRDB CO666. </w:t>
      </w:r>
      <w:hyperlink r:id="rId97">
        <w:r w:rsidR="00C1738A">
          <w:rPr>
            <w:rStyle w:val="Hyperlink"/>
          </w:rPr>
          <w:t>https://doi.org/10.25921/P9V5-JJ98</w:t>
        </w:r>
      </w:hyperlink>
    </w:p>
    <w:p w14:paraId="47932E13" w14:textId="77777777" w:rsidR="00C1738A" w:rsidRDefault="00000000">
      <w:pPr>
        <w:pStyle w:val="Bibliography"/>
      </w:pPr>
      <w:bookmarkStart w:id="138" w:name="ref-CO596"/>
      <w:bookmarkEnd w:id="137"/>
      <w:r>
        <w:lastRenderedPageBreak/>
        <w:t xml:space="preserve">Woodhouse, C.A., Lukas, J.J., Nepstad-Thornberry, C., 2006c. NOAA/WDS Paleoclimatology - Woodhouse - Crags Hotel - PIPO - ITRDB CO596. </w:t>
      </w:r>
      <w:hyperlink r:id="rId98">
        <w:r w:rsidR="00C1738A">
          <w:rPr>
            <w:rStyle w:val="Hyperlink"/>
          </w:rPr>
          <w:t>https://doi.org/10.25921/ZHYS-9Y86</w:t>
        </w:r>
      </w:hyperlink>
    </w:p>
    <w:p w14:paraId="745B5A0D" w14:textId="77777777" w:rsidR="00C1738A" w:rsidRDefault="00000000">
      <w:pPr>
        <w:pStyle w:val="Bibliography"/>
      </w:pPr>
      <w:bookmarkStart w:id="139" w:name="ref-CO611"/>
      <w:bookmarkEnd w:id="138"/>
      <w:r>
        <w:t xml:space="preserve">Woodhouse, C.A., Lukas, J.J., Nepstad-Thornberry, C., 2006d. NOAA/WDS Paleoclimatology - Woodhouse - Meyer Ranch - PIPO - ITRDB CO611. </w:t>
      </w:r>
      <w:hyperlink r:id="rId99">
        <w:r w:rsidR="00C1738A">
          <w:rPr>
            <w:rStyle w:val="Hyperlink"/>
          </w:rPr>
          <w:t>https://doi.org/10.25921/WYH1-YJ70</w:t>
        </w:r>
      </w:hyperlink>
    </w:p>
    <w:p w14:paraId="6F9AAC0A" w14:textId="77777777" w:rsidR="00C1738A" w:rsidRDefault="00000000">
      <w:pPr>
        <w:pStyle w:val="Bibliography"/>
      </w:pPr>
      <w:bookmarkStart w:id="140" w:name="ref-CO607"/>
      <w:bookmarkEnd w:id="139"/>
      <w:r>
        <w:t xml:space="preserve">Woodhouse, C.A., Lukas, J.J., Wilkinson Kaye, M., 2015. NOAA/WDS Paleoclimatology - Woodhouse - Jamestown - PIPO - ITRDB CO607. </w:t>
      </w:r>
      <w:hyperlink r:id="rId100">
        <w:r w:rsidR="00C1738A">
          <w:rPr>
            <w:rStyle w:val="Hyperlink"/>
          </w:rPr>
          <w:t>https://doi.org/10.25921/QNWC-H995</w:t>
        </w:r>
      </w:hyperlink>
    </w:p>
    <w:p w14:paraId="1BC6FD7C" w14:textId="77777777" w:rsidR="00C1738A" w:rsidRDefault="00000000">
      <w:pPr>
        <w:pStyle w:val="Bibliography"/>
      </w:pPr>
      <w:bookmarkStart w:id="141" w:name="ref-wulf1987SiteStandCharacteristics"/>
      <w:bookmarkEnd w:id="140"/>
      <w:r>
        <w:t>Wulf, N.W., Cates, R.G., 1987. Site and stand characteristics, in: Brookes, M.H., Campbell, R.W., Colbert, J.J., Mitchell, R.G., Stark, R.W. (Eds.), USDA Forest Service Technical Bulletin 1694. U.S. Department of Agriculture, Forest Service, Washington, D.C.</w:t>
      </w:r>
    </w:p>
    <w:p w14:paraId="3BF74FA5" w14:textId="77777777" w:rsidR="00C1738A" w:rsidRDefault="00000000">
      <w:pPr>
        <w:pStyle w:val="Bibliography"/>
      </w:pPr>
      <w:bookmarkStart w:id="142" w:name="ref-xuDroughtMoistureAvailability2019"/>
      <w:bookmarkEnd w:id="141"/>
      <w:r>
        <w:t xml:space="preserve">Xu, B., Hicke, J.A., </w:t>
      </w:r>
      <w:proofErr w:type="spellStart"/>
      <w:r>
        <w:t>Abatzoglou</w:t>
      </w:r>
      <w:proofErr w:type="spellEnd"/>
      <w:r>
        <w:t xml:space="preserve">, J.T., 2019. Drought and moisture availability and recent western spruce budworm outbreaks in the Western United States. Forests 10, 354. </w:t>
      </w:r>
      <w:hyperlink r:id="rId101">
        <w:r w:rsidR="00C1738A">
          <w:rPr>
            <w:rStyle w:val="Hyperlink"/>
          </w:rPr>
          <w:t>https://doi.org/10.3390/f10040354</w:t>
        </w:r>
      </w:hyperlink>
    </w:p>
    <w:p w14:paraId="19B73F5D" w14:textId="77777777" w:rsidR="00C1738A" w:rsidRDefault="00000000">
      <w:pPr>
        <w:pStyle w:val="Bibliography"/>
      </w:pPr>
      <w:bookmarkStart w:id="143" w:name="ref-yamaguchi1991"/>
      <w:bookmarkEnd w:id="142"/>
      <w:r>
        <w:t xml:space="preserve">Yamaguchi, D.K., 1991. A simple method for cross-dating increment cores from living trees. Canadian Journal of Forest Research 21, 414–416. </w:t>
      </w:r>
      <w:hyperlink r:id="rId102">
        <w:r w:rsidR="00C1738A">
          <w:rPr>
            <w:rStyle w:val="Hyperlink"/>
          </w:rPr>
          <w:t>https://doi.org/10.1139/x91-053</w:t>
        </w:r>
      </w:hyperlink>
    </w:p>
    <w:bookmarkEnd w:id="35"/>
    <w:bookmarkEnd w:id="143"/>
    <w:p w14:paraId="2606A522" w14:textId="77777777" w:rsidR="00C1738A" w:rsidRDefault="00000000">
      <w:r>
        <w:br w:type="page"/>
      </w:r>
    </w:p>
    <w:p w14:paraId="67F9D4BA" w14:textId="77777777" w:rsidR="00C1738A" w:rsidRDefault="00000000" w:rsidP="00597CF4">
      <w:pPr>
        <w:pStyle w:val="Heading1"/>
      </w:pPr>
      <w:bookmarkStart w:id="144" w:name="SuppMat"/>
      <w:bookmarkEnd w:id="33"/>
      <w:r>
        <w:lastRenderedPageBreak/>
        <w:t>Supplementary Material</w:t>
      </w:r>
    </w:p>
    <w:p w14:paraId="7662D96E" w14:textId="77777777" w:rsidR="00C1738A" w:rsidRDefault="00C1738A">
      <w:pPr>
        <w:sectPr w:rsidR="00C1738A">
          <w:type w:val="continuous"/>
          <w:pgSz w:w="12240" w:h="15840"/>
          <w:pgMar w:top="1440" w:right="1080" w:bottom="1440" w:left="1080" w:header="720" w:footer="720" w:gutter="0"/>
          <w:cols w:space="720"/>
        </w:sectPr>
      </w:pPr>
    </w:p>
    <w:p w14:paraId="493C4673" w14:textId="77777777" w:rsidR="00C1738A" w:rsidRDefault="00000000">
      <w:pPr>
        <w:pStyle w:val="TableCaption"/>
        <w:keepNext/>
        <w:jc w:val="center"/>
      </w:pPr>
      <w:r>
        <w:rPr>
          <w:b/>
        </w:rPr>
        <w:lastRenderedPageBreak/>
        <w:t xml:space="preserve">Table S </w:t>
      </w:r>
      <w:bookmarkStart w:id="145" w:name="hostmeta"/>
      <w:r>
        <w:rPr>
          <w:b/>
        </w:rPr>
        <w:fldChar w:fldCharType="begin"/>
      </w:r>
      <w:r>
        <w:rPr>
          <w:b/>
        </w:rPr>
        <w:instrText>SEQ supp-tab \* Arabic</w:instrText>
      </w:r>
      <w:r>
        <w:rPr>
          <w:b/>
        </w:rPr>
        <w:fldChar w:fldCharType="separate"/>
      </w:r>
      <w:r w:rsidR="00597CF4">
        <w:rPr>
          <w:b/>
          <w:noProof/>
        </w:rPr>
        <w:t>1</w:t>
      </w:r>
      <w:r>
        <w:rPr>
          <w:b/>
        </w:rPr>
        <w:fldChar w:fldCharType="end"/>
      </w:r>
      <w:bookmarkEnd w:id="145"/>
      <w:r>
        <w:rPr>
          <w:b/>
        </w:rPr>
        <w:t xml:space="preserve">: </w:t>
      </w:r>
      <w:r>
        <w:t>Chronology statistics for host sites.</w:t>
      </w:r>
    </w:p>
    <w:tbl>
      <w:tblPr>
        <w:tblW w:w="5000" w:type="pct"/>
        <w:jc w:val="center"/>
        <w:tblLook w:val="0420" w:firstRow="1" w:lastRow="0" w:firstColumn="0" w:lastColumn="0" w:noHBand="0" w:noVBand="1"/>
      </w:tblPr>
      <w:tblGrid>
        <w:gridCol w:w="862"/>
        <w:gridCol w:w="2360"/>
        <w:gridCol w:w="1093"/>
        <w:gridCol w:w="1187"/>
        <w:gridCol w:w="1347"/>
        <w:gridCol w:w="787"/>
        <w:gridCol w:w="1240"/>
        <w:gridCol w:w="1720"/>
        <w:gridCol w:w="4082"/>
      </w:tblGrid>
      <w:tr w:rsidR="00C1738A" w14:paraId="78ACBB2F"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677C6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Site ID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1D227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Site 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C0D46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Latitude</w:t>
            </w:r>
            <w:r>
              <w:rPr>
                <w:rFonts w:eastAsia="Helvetica" w:hAnsi="Helvetica" w:cs="Helvetica"/>
                <w:color w:val="000000"/>
              </w:rP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22A3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Longitude</w:t>
            </w:r>
            <w:r>
              <w:rPr>
                <w:rFonts w:eastAsia="Helvetica" w:hAnsi="Helvetica" w:cs="Helvetica"/>
                <w:color w:val="000000"/>
              </w:rP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3A914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Chronology</w:t>
            </w:r>
            <w:r>
              <w:rPr>
                <w:rFonts w:eastAsia="Helvetica" w:hAnsi="Helvetica" w:cs="Helvetica"/>
                <w:color w:val="000000"/>
              </w:rPr>
              <w:br/>
              <w:t>length</w:t>
            </w:r>
            <w:r>
              <w:rPr>
                <w:rFonts w:eastAsia="Helvetica" w:hAnsi="Helvetica" w:cs="Helvetica"/>
                <w:color w:val="000000"/>
              </w:rP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3BF4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No.</w:t>
            </w:r>
            <w:r>
              <w:rPr>
                <w:rFonts w:eastAsia="Helvetica" w:hAnsi="Helvetica" w:cs="Helvetica"/>
                <w:color w:val="000000"/>
              </w:rPr>
              <w:br/>
              <w:t>Series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D33D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roofErr w:type="spellStart"/>
            <w:r>
              <w:rPr>
                <w:rFonts w:eastAsia="Helvetica" w:hAnsi="Helvetica" w:cs="Helvetica"/>
                <w:color w:val="000000"/>
              </w:rPr>
              <w:t>Interseries</w:t>
            </w:r>
            <w:proofErr w:type="spellEnd"/>
            <w:r>
              <w:rPr>
                <w:rFonts w:eastAsia="Helvetica" w:hAnsi="Helvetica" w:cs="Helvetica"/>
                <w:color w:val="000000"/>
              </w:rPr>
              <w:br/>
              <w:t>correlation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AE2C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Autocorrelation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49AE3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Contributors</w:t>
            </w:r>
          </w:p>
        </w:tc>
      </w:tr>
      <w:tr w:rsidR="00C1738A" w14:paraId="1C1C08C0"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5E00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134C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Three Island Lake Trail</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393C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40.76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859E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-106.75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E10B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1697-1997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42AD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CB60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0.59</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FF34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592C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 T. Veblen, L. Daniels, and K. A. Farley</w:t>
            </w:r>
          </w:p>
        </w:tc>
      </w:tr>
      <w:tr w:rsidR="00C1738A" w14:paraId="7AAFD36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8734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B18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B809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Boulder County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0652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4D27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B2ED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1734-1998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1DC5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F638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0.65</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1A9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0.64</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ECF3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 T. Veblen and M. Gonzalez</w:t>
            </w:r>
          </w:p>
        </w:tc>
      </w:tr>
      <w:tr w:rsidR="00C1738A" w14:paraId="435560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3A1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B19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B000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Boulder County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D5E7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EDFF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2D8A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1615-1998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D606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8D11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0.55</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A78F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0.79</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F36C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 T. Veblen and M. Gonzalez</w:t>
            </w:r>
          </w:p>
        </w:tc>
      </w:tr>
      <w:tr w:rsidR="00C1738A" w14:paraId="1FF1D79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4062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LJ</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C0D8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Lost Junction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009A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0019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9221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1571-1995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CD2D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0AAA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0.63</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0169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0.64</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EBE9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 W. Shimek and T. T. Veblen</w:t>
            </w:r>
          </w:p>
        </w:tc>
      </w:tr>
      <w:tr w:rsidR="00C1738A" w14:paraId="39E02A5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423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16F6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Sugarloaf Saddle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BB56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C363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7F1F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1594-1995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A1D1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AFA6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0.66</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6509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D6EC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 W. Shimek and T. T. Veblen</w:t>
            </w:r>
          </w:p>
        </w:tc>
      </w:tr>
      <w:tr w:rsidR="00C1738A" w14:paraId="551925F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598E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7F0C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Wild Basin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D86E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CCF4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92A6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1414-2000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C165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2FE6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0.51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6584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4C79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 T. Veblen, M. Gonzalez, and J. S. Sibold</w:t>
            </w:r>
          </w:p>
        </w:tc>
      </w:tr>
      <w:tr w:rsidR="00C1738A" w14:paraId="1A53A9B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1A31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967B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North Inlet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DB01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8B0C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1AC8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1700-2000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3F3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56F3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0.47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8EFD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5066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 T. Veblen, M. Gonzalez, and J. S. Sibold</w:t>
            </w:r>
          </w:p>
        </w:tc>
      </w:tr>
      <w:tr w:rsidR="00C1738A" w14:paraId="6E3FD80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1799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34A1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Summerland Park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EF85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A68E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7B92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1564-2000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675A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BED1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292D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0.76</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4BD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 T. Veblen, M. Gonzalez, and J. S. Sibold</w:t>
            </w:r>
          </w:p>
        </w:tc>
      </w:tr>
      <w:tr w:rsidR="00C1738A" w14:paraId="6B21F7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FDC6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78DD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South Rd. 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89DC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39.16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027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D258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1604-1994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BDB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9A68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0.55</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124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54E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 W. Shimek and T. T. Veblen</w:t>
            </w:r>
          </w:p>
        </w:tc>
      </w:tr>
      <w:tr w:rsidR="00C1738A" w14:paraId="3277FE1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29FD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JP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ABE2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Lost Jeep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E40E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39.09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CAA2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736B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1440-1994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9C61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15D7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C44E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CFAA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 W. Shimek and T. T. Veblen</w:t>
            </w:r>
          </w:p>
        </w:tc>
      </w:tr>
      <w:tr w:rsidR="00C1738A" w14:paraId="51C8B1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B2E5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CA63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 Rd 211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1DFE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39.09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6884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758A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1691-1994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0A30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613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0.66</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12F0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0.58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5555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 W. Shimek and T. T. Veblen</w:t>
            </w:r>
          </w:p>
        </w:tc>
      </w:tr>
      <w:tr w:rsidR="00C1738A" w14:paraId="215AB3FF"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49422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WW</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7BDEA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Wigwam I</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19C2F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39.24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59B28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-105.27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22F0C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1743-1994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7C1FA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D6C18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0.52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CA2D0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F5EF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 W. Shimek and T. T. Veblen</w:t>
            </w:r>
          </w:p>
        </w:tc>
      </w:tr>
    </w:tbl>
    <w:p w14:paraId="2FB8130E" w14:textId="77777777" w:rsidR="00C1738A" w:rsidRDefault="00000000">
      <w:r>
        <w:br w:type="page"/>
      </w:r>
    </w:p>
    <w:p w14:paraId="43BFDC9F" w14:textId="77777777" w:rsidR="00C1738A" w:rsidRDefault="00000000">
      <w:pPr>
        <w:pStyle w:val="TableCaption"/>
        <w:keepNext/>
        <w:jc w:val="center"/>
      </w:pPr>
      <w:r>
        <w:rPr>
          <w:b/>
        </w:rPr>
        <w:lastRenderedPageBreak/>
        <w:t xml:space="preserve">Table S </w:t>
      </w:r>
      <w:bookmarkStart w:id="146" w:name="nonhostmeta"/>
      <w:r>
        <w:rPr>
          <w:b/>
        </w:rPr>
        <w:fldChar w:fldCharType="begin"/>
      </w:r>
      <w:r>
        <w:rPr>
          <w:b/>
        </w:rPr>
        <w:instrText>SEQ supp-tab \* Arabic</w:instrText>
      </w:r>
      <w:r>
        <w:rPr>
          <w:b/>
        </w:rPr>
        <w:fldChar w:fldCharType="separate"/>
      </w:r>
      <w:r w:rsidR="00597CF4">
        <w:rPr>
          <w:b/>
          <w:noProof/>
        </w:rPr>
        <w:t>2</w:t>
      </w:r>
      <w:r>
        <w:rPr>
          <w:b/>
        </w:rPr>
        <w:fldChar w:fldCharType="end"/>
      </w:r>
      <w:bookmarkEnd w:id="146"/>
      <w:r>
        <w:rPr>
          <w:b/>
        </w:rPr>
        <w:t xml:space="preserve">: </w:t>
      </w:r>
      <w:r>
        <w:t>Site and chronology statistics for nonhost sites.</w:t>
      </w:r>
    </w:p>
    <w:tbl>
      <w:tblPr>
        <w:tblW w:w="5000" w:type="pct"/>
        <w:jc w:val="center"/>
        <w:tblLook w:val="0420" w:firstRow="1" w:lastRow="0" w:firstColumn="0" w:lastColumn="0" w:noHBand="0" w:noVBand="1"/>
      </w:tblPr>
      <w:tblGrid>
        <w:gridCol w:w="1267"/>
        <w:gridCol w:w="2135"/>
        <w:gridCol w:w="1093"/>
        <w:gridCol w:w="1187"/>
        <w:gridCol w:w="1347"/>
        <w:gridCol w:w="787"/>
        <w:gridCol w:w="1240"/>
        <w:gridCol w:w="1720"/>
        <w:gridCol w:w="3902"/>
      </w:tblGrid>
      <w:tr w:rsidR="00C1738A" w14:paraId="186C7878"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FA61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Site ID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14850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Site 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3FEC8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Latitude</w:t>
            </w:r>
            <w:r>
              <w:rPr>
                <w:rFonts w:eastAsia="Helvetica" w:hAnsi="Helvetica" w:cs="Helvetica"/>
                <w:color w:val="000000"/>
              </w:rP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61DD7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Longitude</w:t>
            </w:r>
            <w:r>
              <w:rPr>
                <w:rFonts w:eastAsia="Helvetica" w:hAnsi="Helvetica" w:cs="Helvetica"/>
                <w:color w:val="000000"/>
              </w:rP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7A2A0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Chronology</w:t>
            </w:r>
            <w:r>
              <w:rPr>
                <w:rFonts w:eastAsia="Helvetica" w:hAnsi="Helvetica" w:cs="Helvetica"/>
                <w:color w:val="000000"/>
              </w:rPr>
              <w:br/>
              <w:t>length</w:t>
            </w:r>
            <w:r>
              <w:rPr>
                <w:rFonts w:eastAsia="Helvetica" w:hAnsi="Helvetica" w:cs="Helvetica"/>
                <w:color w:val="000000"/>
              </w:rP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BE5F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No.</w:t>
            </w:r>
            <w:r>
              <w:rPr>
                <w:rFonts w:eastAsia="Helvetica" w:hAnsi="Helvetica" w:cs="Helvetica"/>
                <w:color w:val="000000"/>
              </w:rPr>
              <w:br/>
              <w:t>Series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A1822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roofErr w:type="spellStart"/>
            <w:r>
              <w:rPr>
                <w:rFonts w:eastAsia="Helvetica" w:hAnsi="Helvetica" w:cs="Helvetica"/>
                <w:color w:val="000000"/>
              </w:rPr>
              <w:t>Interseries</w:t>
            </w:r>
            <w:proofErr w:type="spellEnd"/>
            <w:r>
              <w:rPr>
                <w:rFonts w:eastAsia="Helvetica" w:hAnsi="Helvetica" w:cs="Helvetica"/>
                <w:color w:val="000000"/>
              </w:rPr>
              <w:br/>
              <w:t>correlation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AFB1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Autocorrelation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4EA06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Reference</w:t>
            </w:r>
          </w:p>
        </w:tc>
      </w:tr>
      <w:tr w:rsidR="00C1738A" w14:paraId="0BEBB128"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6606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CO591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CE38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Boulder Ridge Road</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0730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40.980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A937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-105.670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8ED1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1423-2001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D4F0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E4D3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0.64</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4DFE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E0E6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Woodhouse and </w:t>
            </w:r>
            <w:proofErr w:type="spellStart"/>
            <w:r>
              <w:rPr>
                <w:rFonts w:eastAsia="Helvetica" w:hAnsi="Helvetica" w:cs="Helvetica"/>
                <w:color w:val="000000"/>
              </w:rPr>
              <w:t>Losleben</w:t>
            </w:r>
            <w:proofErr w:type="spellEnd"/>
            <w:r>
              <w:rPr>
                <w:rFonts w:eastAsia="Helvetica" w:hAnsi="Helvetica" w:cs="Helvetica"/>
                <w:color w:val="000000"/>
              </w:rPr>
              <w:t xml:space="preserve"> 2006a</w:t>
            </w:r>
          </w:p>
        </w:tc>
      </w:tr>
      <w:tr w:rsidR="00C1738A" w14:paraId="4704069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80B4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CO596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62C3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Crags Hotel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A158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39.930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827E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F45D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1545-2003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5E8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1A8C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47DF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0.69</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10B8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Woodhouse et al. 2006b</w:t>
            </w:r>
          </w:p>
        </w:tc>
      </w:tr>
      <w:tr w:rsidR="00C1738A" w14:paraId="6E2011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ECDA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CO601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4CCA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Eagle Rock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CBB2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39.380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39B6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D4EF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1401-1998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A3C3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5849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D6B6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F201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Woodhouse and </w:t>
            </w:r>
            <w:proofErr w:type="spellStart"/>
            <w:r>
              <w:rPr>
                <w:rFonts w:eastAsia="Helvetica" w:hAnsi="Helvetica" w:cs="Helvetica"/>
                <w:color w:val="000000"/>
              </w:rPr>
              <w:t>Losleben</w:t>
            </w:r>
            <w:proofErr w:type="spellEnd"/>
            <w:r>
              <w:rPr>
                <w:rFonts w:eastAsia="Helvetica" w:hAnsi="Helvetica" w:cs="Helvetica"/>
                <w:color w:val="000000"/>
              </w:rPr>
              <w:t xml:space="preserve"> 2006b</w:t>
            </w:r>
          </w:p>
        </w:tc>
      </w:tr>
      <w:tr w:rsidR="00C1738A" w14:paraId="10A2163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9310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CO602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9F3B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roofErr w:type="spellStart"/>
            <w:r>
              <w:rPr>
                <w:rFonts w:eastAsia="Helvetica" w:hAnsi="Helvetica" w:cs="Helvetica"/>
                <w:color w:val="000000"/>
              </w:rPr>
              <w:t>Elevenmile</w:t>
            </w:r>
            <w:proofErr w:type="spellEnd"/>
            <w:r>
              <w:rPr>
                <w:rFonts w:eastAsia="Helvetica" w:hAnsi="Helvetica" w:cs="Helvetica"/>
                <w:color w:val="000000"/>
              </w:rPr>
              <w:t xml:space="preserve"> Reservoir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7931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38.870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2AA8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-105.430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3E5D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1401-1998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52DD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B740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021B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A412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Woodhouse and </w:t>
            </w:r>
            <w:proofErr w:type="spellStart"/>
            <w:r>
              <w:rPr>
                <w:rFonts w:eastAsia="Helvetica" w:hAnsi="Helvetica" w:cs="Helvetica"/>
                <w:color w:val="000000"/>
              </w:rPr>
              <w:t>Losleben</w:t>
            </w:r>
            <w:proofErr w:type="spellEnd"/>
            <w:r>
              <w:rPr>
                <w:rFonts w:eastAsia="Helvetica" w:hAnsi="Helvetica" w:cs="Helvetica"/>
                <w:color w:val="000000"/>
              </w:rPr>
              <w:t xml:space="preserve"> 2006c</w:t>
            </w:r>
          </w:p>
        </w:tc>
      </w:tr>
      <w:tr w:rsidR="00C1738A" w14:paraId="2FD7B1D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AF38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CO607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C663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Jamestown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946D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40.130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F3BD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-105.420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74E2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1354-2000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DAD5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FE2E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0.73</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FD0B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0.66</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7DE4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Woodhouse et al. 2015</w:t>
            </w:r>
          </w:p>
        </w:tc>
      </w:tr>
      <w:tr w:rsidR="00C1738A" w14:paraId="3CB9ED1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E9A1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CO611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9358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Meyer Ranch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81E9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39.550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B61C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4329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1553-2002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5B66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273D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0.63</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1E4D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0.68</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472E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Woodhouse et al. 2006c</w:t>
            </w:r>
          </w:p>
        </w:tc>
      </w:tr>
      <w:tr w:rsidR="00C1738A" w14:paraId="579B9D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9D3B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CO622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BE21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Rustic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D07D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40.720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360A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-105.580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FEFC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1436-2002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EDB4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FADF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0.73</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13E1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7A0A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Woodhouse et al. 2006a</w:t>
            </w:r>
          </w:p>
        </w:tc>
      </w:tr>
      <w:tr w:rsidR="00C1738A" w14:paraId="6DFDA53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DFD9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CO639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5BB8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Happy Meadows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9178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39.017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90AF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-105.367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7371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1620-2003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878F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67ED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0.75</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BE9E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0.56</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EB7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Woodhouse et al. 2010</w:t>
            </w:r>
          </w:p>
        </w:tc>
      </w:tr>
      <w:tr w:rsidR="00C1738A" w14:paraId="38A3A46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92F2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CO666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2360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Johnny Park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0262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7E0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-105.433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4E1C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1615-2001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5C74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B265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0.69</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BBEB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1234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Woodhouse et al. 2019c</w:t>
            </w:r>
          </w:p>
        </w:tc>
      </w:tr>
      <w:tr w:rsidR="00C1738A" w14:paraId="516D21C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7BB9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CO669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9EF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Monarch Pass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5415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38.450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9877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-106.383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DE12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1627-1999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36C9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A759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0.52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ED2C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0.83</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A5A0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Woodhouse et al. 2019a</w:t>
            </w:r>
          </w:p>
        </w:tc>
      </w:tr>
      <w:tr w:rsidR="00C1738A" w14:paraId="34DE764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68C1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roofErr w:type="spellStart"/>
            <w:r>
              <w:rPr>
                <w:rFonts w:eastAsia="Helvetica" w:hAnsi="Helvetica" w:cs="Helvetica"/>
                <w:color w:val="000000"/>
              </w:rPr>
              <w:t>DRIcombo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9274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Deer Ridge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5596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40.370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30F7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-105.570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4522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1690-2007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0251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BC06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0.71</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1934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0.63</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BCC6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Veblen et al. 2000; Smith and Veblen 2007</w:t>
            </w:r>
          </w:p>
        </w:tc>
      </w:tr>
      <w:tr w:rsidR="00C1738A" w14:paraId="228237C4"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6D0F7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roofErr w:type="spellStart"/>
            <w:r>
              <w:rPr>
                <w:rFonts w:eastAsia="Helvetica" w:hAnsi="Helvetica" w:cs="Helvetica"/>
                <w:color w:val="000000"/>
              </w:rPr>
              <w:t>TCcombo</w:t>
            </w:r>
            <w:proofErr w:type="spellEnd"/>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F6F12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Turkey Creek Bluff</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8DD2A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38.600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D77C6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-104.870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CC618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1634-2003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C7017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8F0DC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0.79</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=0.05)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FD72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0.62</w:t>
            </w:r>
            <w:r>
              <w:rPr>
                <w:rFonts w:eastAsia="Helvetica" w:hAnsi="Helvetica" w:cs="Helvetica"/>
                <w:color w:val="000000"/>
              </w:rPr>
              <w:br/>
              <w:t>(</w:t>
            </w:r>
            <w:proofErr w:type="spellStart"/>
            <w:r>
              <w:rPr>
                <w:rFonts w:eastAsia="Helvetica" w:hAnsi="Helvetica" w:cs="Helvetica"/>
                <w:color w:val="000000"/>
              </w:rPr>
              <w:t>sd</w:t>
            </w:r>
            <w:proofErr w:type="spellEnd"/>
            <w:r>
              <w:rPr>
                <w:rFonts w:eastAsia="Helvetica" w:hAnsi="Helvetica" w:cs="Helvetica"/>
                <w:color w:val="000000"/>
              </w:rPr>
              <w:t>=0.15)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BD701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Graybill 2002; Woodhouse et al. 2019b</w:t>
            </w:r>
          </w:p>
        </w:tc>
      </w:tr>
    </w:tbl>
    <w:p w14:paraId="78A21505" w14:textId="77777777" w:rsidR="00C1738A" w:rsidRDefault="00C1738A">
      <w:pPr>
        <w:sectPr w:rsidR="00C1738A">
          <w:type w:val="continuous"/>
          <w:pgSz w:w="16838" w:h="11906" w:orient="landscape"/>
          <w:pgMar w:top="1440" w:right="1080" w:bottom="1440" w:left="1080" w:header="720" w:footer="720" w:gutter="0"/>
          <w:cols w:space="720"/>
        </w:sectPr>
      </w:pPr>
    </w:p>
    <w:p w14:paraId="7D0D5135" w14:textId="77777777" w:rsidR="00C1738A" w:rsidRDefault="00000000">
      <w:pPr>
        <w:pStyle w:val="TableCaption"/>
        <w:keepNext/>
        <w:jc w:val="center"/>
      </w:pPr>
      <w:r>
        <w:rPr>
          <w:b/>
        </w:rPr>
        <w:lastRenderedPageBreak/>
        <w:t xml:space="preserve">Table S </w:t>
      </w:r>
      <w:bookmarkStart w:id="147" w:name="colonizationtab"/>
      <w:r>
        <w:rPr>
          <w:b/>
        </w:rPr>
        <w:fldChar w:fldCharType="begin"/>
      </w:r>
      <w:r>
        <w:rPr>
          <w:b/>
        </w:rPr>
        <w:instrText>SEQ supp-tab \* Arabic</w:instrText>
      </w:r>
      <w:r>
        <w:rPr>
          <w:b/>
        </w:rPr>
        <w:fldChar w:fldCharType="separate"/>
      </w:r>
      <w:r w:rsidR="00597CF4">
        <w:rPr>
          <w:b/>
          <w:noProof/>
        </w:rPr>
        <w:t>3</w:t>
      </w:r>
      <w:r>
        <w:rPr>
          <w:b/>
        </w:rPr>
        <w:fldChar w:fldCharType="end"/>
      </w:r>
      <w:bookmarkEnd w:id="147"/>
      <w:r>
        <w:rPr>
          <w:b/>
        </w:rPr>
        <w:t xml:space="preserve">: </w:t>
      </w:r>
      <w:r>
        <w:t>Summary of modelling results testing the effect of Euro-Americans on WSB outbreak dynamics and ecological effects.</w:t>
      </w:r>
    </w:p>
    <w:tbl>
      <w:tblPr>
        <w:tblW w:w="0" w:type="auto"/>
        <w:jc w:val="center"/>
        <w:tblLayout w:type="fixed"/>
        <w:tblLook w:val="0420" w:firstRow="1" w:lastRow="0" w:firstColumn="0" w:lastColumn="0" w:noHBand="0" w:noVBand="1"/>
      </w:tblPr>
      <w:tblGrid>
        <w:gridCol w:w="5190"/>
        <w:gridCol w:w="1490"/>
        <w:gridCol w:w="1110"/>
      </w:tblGrid>
      <w:tr w:rsidR="00C1738A" w14:paraId="2D1E84BE" w14:textId="77777777">
        <w:trPr>
          <w:tblHeader/>
          <w:jc w:val="center"/>
        </w:trPr>
        <w:tc>
          <w:tcPr>
            <w:tcW w:w="51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F149C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Response</w:t>
            </w:r>
          </w:p>
        </w:tc>
        <w:tc>
          <w:tcPr>
            <w:tcW w:w="14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A823F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Coefficient</w:t>
            </w:r>
          </w:p>
        </w:tc>
        <w:tc>
          <w:tcPr>
            <w:tcW w:w="11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7CDC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p value</w:t>
            </w:r>
          </w:p>
        </w:tc>
      </w:tr>
      <w:tr w:rsidR="00C1738A" w14:paraId="05D2C84C" w14:textId="77777777">
        <w:trPr>
          <w:jc w:val="center"/>
        </w:trPr>
        <w:tc>
          <w:tcPr>
            <w:tcW w:w="51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7360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occurrence of years of outbreak</w:t>
            </w:r>
          </w:p>
        </w:tc>
        <w:tc>
          <w:tcPr>
            <w:tcW w:w="14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F9B0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-0.109</w:t>
            </w:r>
          </w:p>
        </w:tc>
        <w:tc>
          <w:tcPr>
            <w:tcW w:w="11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C47F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0.568</w:t>
            </w:r>
          </w:p>
        </w:tc>
      </w:tr>
      <w:tr w:rsidR="00C1738A" w14:paraId="33304BC4" w14:textId="77777777">
        <w:trPr>
          <w:jc w:val="center"/>
        </w:trPr>
        <w:tc>
          <w:tcPr>
            <w:tcW w:w="51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ACA1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duration of outbreak</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80DA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-0.226</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A11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0.035</w:t>
            </w:r>
          </w:p>
        </w:tc>
      </w:tr>
      <w:tr w:rsidR="00C1738A" w14:paraId="66377AB3" w14:textId="77777777">
        <w:trPr>
          <w:jc w:val="center"/>
        </w:trPr>
        <w:tc>
          <w:tcPr>
            <w:tcW w:w="51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76D5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length of quiescent period</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A0FF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0.288</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2AE5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0.161</w:t>
            </w:r>
          </w:p>
        </w:tc>
      </w:tr>
      <w:tr w:rsidR="00C1738A" w14:paraId="7153CF98" w14:textId="77777777">
        <w:trPr>
          <w:jc w:val="center"/>
        </w:trPr>
        <w:tc>
          <w:tcPr>
            <w:tcW w:w="51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143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minimum normalized GSI during outbreak events</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977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0.229</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721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0.041</w:t>
            </w:r>
          </w:p>
        </w:tc>
      </w:tr>
      <w:tr w:rsidR="00C1738A" w14:paraId="187DC780" w14:textId="77777777">
        <w:trPr>
          <w:jc w:val="center"/>
        </w:trPr>
        <w:tc>
          <w:tcPr>
            <w:tcW w:w="51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FE1F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percent of trees defoliated at start of outbreak</w:t>
            </w:r>
          </w:p>
        </w:tc>
        <w:tc>
          <w:tcPr>
            <w:tcW w:w="14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DBD2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-0.087</w:t>
            </w:r>
          </w:p>
        </w:tc>
        <w:tc>
          <w:tcPr>
            <w:tcW w:w="11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6DEF2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center"/>
              <w:rPr>
                <w:rFonts w:eastAsia="Helvetica" w:hAnsi="Helvetica" w:cs="Helvetica"/>
                <w:color w:val="000000"/>
              </w:rPr>
            </w:pPr>
            <w:r>
              <w:rPr>
                <w:rFonts w:eastAsia="Helvetica" w:hAnsi="Helvetica" w:cs="Helvetica"/>
                <w:color w:val="000000"/>
              </w:rPr>
              <w:t>0.115</w:t>
            </w:r>
          </w:p>
        </w:tc>
      </w:tr>
    </w:tbl>
    <w:p w14:paraId="2C5B42C8" w14:textId="77777777" w:rsidR="00C1738A" w:rsidRDefault="00C1738A" w:rsidP="00597CF4">
      <w:pPr>
        <w:pStyle w:val="FirstParagraph"/>
      </w:pPr>
    </w:p>
    <w:p w14:paraId="441DBEDC" w14:textId="77777777" w:rsidR="00C1738A" w:rsidRDefault="00000000">
      <w:pPr>
        <w:pStyle w:val="TableCaption"/>
        <w:keepNext/>
        <w:jc w:val="center"/>
      </w:pPr>
      <w:r>
        <w:rPr>
          <w:b/>
        </w:rPr>
        <w:t xml:space="preserve">Table S </w:t>
      </w:r>
      <w:bookmarkStart w:id="148" w:name="PDSIperiodstab"/>
      <w:r>
        <w:rPr>
          <w:b/>
        </w:rPr>
        <w:fldChar w:fldCharType="begin"/>
      </w:r>
      <w:r>
        <w:rPr>
          <w:b/>
        </w:rPr>
        <w:instrText>SEQ supp-tab \* Arabic</w:instrText>
      </w:r>
      <w:r>
        <w:rPr>
          <w:b/>
        </w:rPr>
        <w:fldChar w:fldCharType="separate"/>
      </w:r>
      <w:r w:rsidR="00597CF4">
        <w:rPr>
          <w:b/>
          <w:noProof/>
        </w:rPr>
        <w:t>4</w:t>
      </w:r>
      <w:r>
        <w:rPr>
          <w:b/>
        </w:rPr>
        <w:fldChar w:fldCharType="end"/>
      </w:r>
      <w:bookmarkEnd w:id="148"/>
      <w:r>
        <w:rPr>
          <w:b/>
        </w:rPr>
        <w:t xml:space="preserve">: </w:t>
      </w:r>
      <w:r>
        <w:t>Results of statistical tests comparing the climate conditions in the dry period prior and wet period coincident outbreak initiation with all periods of above average moisture availability.</w:t>
      </w:r>
    </w:p>
    <w:tbl>
      <w:tblPr>
        <w:tblW w:w="0" w:type="auto"/>
        <w:jc w:val="center"/>
        <w:tblLayout w:type="fixed"/>
        <w:tblLook w:val="0420" w:firstRow="1" w:lastRow="0" w:firstColumn="0" w:lastColumn="0" w:noHBand="0" w:noVBand="1"/>
      </w:tblPr>
      <w:tblGrid>
        <w:gridCol w:w="4829"/>
        <w:gridCol w:w="2137"/>
        <w:gridCol w:w="1490"/>
        <w:gridCol w:w="1110"/>
      </w:tblGrid>
      <w:tr w:rsidR="00C1738A" w14:paraId="13BDF99C" w14:textId="77777777">
        <w:trPr>
          <w:tblHeader/>
          <w:jc w:val="center"/>
        </w:trPr>
        <w:tc>
          <w:tcPr>
            <w:tcW w:w="48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2FCD5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Climate period</w:t>
            </w:r>
          </w:p>
        </w:tc>
        <w:tc>
          <w:tcPr>
            <w:tcW w:w="213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5977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Measure</w:t>
            </w:r>
          </w:p>
        </w:tc>
        <w:tc>
          <w:tcPr>
            <w:tcW w:w="14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F16D2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Coefficient</w:t>
            </w:r>
          </w:p>
        </w:tc>
        <w:tc>
          <w:tcPr>
            <w:tcW w:w="11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F63E3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p value</w:t>
            </w:r>
          </w:p>
        </w:tc>
      </w:tr>
      <w:tr w:rsidR="00C1738A" w14:paraId="6BDF70CE" w14:textId="77777777">
        <w:trPr>
          <w:jc w:val="center"/>
        </w:trPr>
        <w:tc>
          <w:tcPr>
            <w:tcW w:w="48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D948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drought coinciding with outbreak initiation</w:t>
            </w:r>
          </w:p>
        </w:tc>
        <w:tc>
          <w:tcPr>
            <w:tcW w:w="213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834D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duration (years)</w:t>
            </w:r>
          </w:p>
        </w:tc>
        <w:tc>
          <w:tcPr>
            <w:tcW w:w="14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F291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0.42</w:t>
            </w:r>
          </w:p>
        </w:tc>
        <w:tc>
          <w:tcPr>
            <w:tcW w:w="11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8382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0.000</w:t>
            </w:r>
          </w:p>
        </w:tc>
      </w:tr>
      <w:tr w:rsidR="00C1738A" w14:paraId="47E2AE62"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78EF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drought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4646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mean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D3E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0.09</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7667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0.540</w:t>
            </w:r>
          </w:p>
        </w:tc>
      </w:tr>
      <w:tr w:rsidR="00C1738A" w14:paraId="130EFD02"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8C68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drought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6377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extreme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953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-0.65</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E041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0.007</w:t>
            </w:r>
          </w:p>
        </w:tc>
      </w:tr>
      <w:tr w:rsidR="00C1738A" w14:paraId="2F7AC804"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D00B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wet period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1D8F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duration (years)</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CEC5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0.77</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4C94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0.000</w:t>
            </w:r>
          </w:p>
        </w:tc>
      </w:tr>
      <w:tr w:rsidR="00C1738A" w14:paraId="17B7E059"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81AC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wet period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7BED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mean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0748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0.31</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32AA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0.007</w:t>
            </w:r>
          </w:p>
        </w:tc>
      </w:tr>
      <w:tr w:rsidR="00C1738A" w14:paraId="49CE98F8"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6791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wet period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0617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extreme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8D51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1.30</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EE0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0.000</w:t>
            </w:r>
          </w:p>
        </w:tc>
      </w:tr>
      <w:tr w:rsidR="00C1738A" w14:paraId="1B9FAF1B"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F3EA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wet period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28CD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duration (years)</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1F29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0.16</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4669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0.085</w:t>
            </w:r>
          </w:p>
        </w:tc>
      </w:tr>
      <w:tr w:rsidR="00C1738A" w14:paraId="2852417E"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D5DE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wet period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182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mean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32A3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0.10</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86E7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0.375</w:t>
            </w:r>
          </w:p>
        </w:tc>
      </w:tr>
      <w:tr w:rsidR="00C1738A" w14:paraId="4C72A802"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7411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wet period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8B95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extreme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A277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0.41</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93F0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0.024</w:t>
            </w:r>
          </w:p>
        </w:tc>
      </w:tr>
      <w:tr w:rsidR="00C1738A" w14:paraId="3858040F"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439B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drought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78F1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duration (years)</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8CB6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0.38</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1AA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0.000</w:t>
            </w:r>
          </w:p>
        </w:tc>
      </w:tr>
      <w:tr w:rsidR="00C1738A" w14:paraId="5FD82C50"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07E4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drought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A3B6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mean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663D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-0.16</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1257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0.298</w:t>
            </w:r>
          </w:p>
        </w:tc>
      </w:tr>
      <w:tr w:rsidR="00C1738A" w14:paraId="6ACFFB05" w14:textId="77777777">
        <w:trPr>
          <w:jc w:val="center"/>
        </w:trPr>
        <w:tc>
          <w:tcPr>
            <w:tcW w:w="48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28D53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drought coinciding with outbreak cessation</w:t>
            </w:r>
          </w:p>
        </w:tc>
        <w:tc>
          <w:tcPr>
            <w:tcW w:w="213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88D59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extreme SC-PDSI</w:t>
            </w:r>
          </w:p>
        </w:tc>
        <w:tc>
          <w:tcPr>
            <w:tcW w:w="14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7681D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-0.57</w:t>
            </w:r>
          </w:p>
        </w:tc>
        <w:tc>
          <w:tcPr>
            <w:tcW w:w="11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609F6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jc w:val="right"/>
              <w:rPr>
                <w:rFonts w:eastAsia="Helvetica" w:hAnsi="Helvetica" w:cs="Helvetica"/>
                <w:color w:val="000000"/>
              </w:rPr>
            </w:pPr>
            <w:r>
              <w:rPr>
                <w:rFonts w:eastAsia="Helvetica" w:hAnsi="Helvetica" w:cs="Helvetica"/>
                <w:color w:val="000000"/>
              </w:rPr>
              <w:t>0.017</w:t>
            </w:r>
          </w:p>
        </w:tc>
      </w:tr>
    </w:tbl>
    <w:p w14:paraId="47DDEF65" w14:textId="77777777" w:rsidR="00C1738A" w:rsidRDefault="00000000">
      <w:r>
        <w:br w:type="page"/>
      </w:r>
    </w:p>
    <w:p w14:paraId="2835C3D8" w14:textId="77777777" w:rsidR="00C1738A" w:rsidRDefault="00000000">
      <w:pPr>
        <w:pStyle w:val="TableCaption"/>
        <w:keepNext/>
        <w:jc w:val="center"/>
      </w:pPr>
      <w:r>
        <w:rPr>
          <w:b/>
        </w:rPr>
        <w:lastRenderedPageBreak/>
        <w:t xml:space="preserve">Table S </w:t>
      </w:r>
      <w:bookmarkStart w:id="149" w:name="historytab"/>
      <w:r>
        <w:rPr>
          <w:b/>
        </w:rPr>
        <w:fldChar w:fldCharType="begin"/>
      </w:r>
      <w:r>
        <w:rPr>
          <w:b/>
        </w:rPr>
        <w:instrText>SEQ supp-tab \* Arabic</w:instrText>
      </w:r>
      <w:r>
        <w:rPr>
          <w:b/>
        </w:rPr>
        <w:fldChar w:fldCharType="separate"/>
      </w:r>
      <w:r w:rsidR="00597CF4">
        <w:rPr>
          <w:b/>
          <w:noProof/>
        </w:rPr>
        <w:t>5</w:t>
      </w:r>
      <w:r>
        <w:rPr>
          <w:b/>
        </w:rPr>
        <w:fldChar w:fldCharType="end"/>
      </w:r>
      <w:bookmarkEnd w:id="149"/>
      <w:r>
        <w:rPr>
          <w:b/>
        </w:rPr>
        <w:t xml:space="preserve">: </w:t>
      </w:r>
      <w:r>
        <w:t>Published periods of WSB outbreak in Colorado.</w:t>
      </w:r>
    </w:p>
    <w:tbl>
      <w:tblPr>
        <w:tblW w:w="0" w:type="auto"/>
        <w:jc w:val="center"/>
        <w:tblLayout w:type="fixed"/>
        <w:tblLook w:val="0420" w:firstRow="1" w:lastRow="0" w:firstColumn="0" w:lastColumn="0" w:noHBand="0" w:noVBand="1"/>
      </w:tblPr>
      <w:tblGrid>
        <w:gridCol w:w="891"/>
        <w:gridCol w:w="891"/>
        <w:gridCol w:w="1264"/>
        <w:gridCol w:w="2904"/>
        <w:gridCol w:w="3510"/>
      </w:tblGrid>
      <w:tr w:rsidR="00C1738A" w14:paraId="02B5B470" w14:textId="77777777">
        <w:trPr>
          <w:tblHeader/>
          <w:jc w:val="center"/>
        </w:trPr>
        <w:tc>
          <w:tcPr>
            <w:tcW w:w="8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A6FA4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Start</w:t>
            </w:r>
          </w:p>
        </w:tc>
        <w:tc>
          <w:tcPr>
            <w:tcW w:w="8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DB5FB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End</w:t>
            </w:r>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F3A9A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Duration</w:t>
            </w:r>
            <w:r>
              <w:rPr>
                <w:rFonts w:eastAsia="Helvetica" w:hAnsi="Helvetica" w:cs="Helvetica"/>
                <w:color w:val="000000"/>
              </w:rPr>
              <w:br/>
              <w:t>(years)</w:t>
            </w:r>
          </w:p>
        </w:tc>
        <w:tc>
          <w:tcPr>
            <w:tcW w:w="290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BF372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Study area</w:t>
            </w:r>
          </w:p>
        </w:tc>
        <w:tc>
          <w:tcPr>
            <w:tcW w:w="3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B4308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Source</w:t>
            </w:r>
          </w:p>
        </w:tc>
      </w:tr>
      <w:tr w:rsidR="00C1738A" w14:paraId="460BA2F1" w14:textId="77777777">
        <w:trPr>
          <w:jc w:val="center"/>
        </w:trPr>
        <w:tc>
          <w:tcPr>
            <w:tcW w:w="8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7CB90" w14:textId="77777777" w:rsidR="00C1738A" w:rsidRDefault="00C1738A">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
        </w:tc>
        <w:tc>
          <w:tcPr>
            <w:tcW w:w="8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9007F" w14:textId="77777777" w:rsidR="00C1738A" w:rsidRDefault="00C1738A">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4E6E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(years)</w:t>
            </w:r>
          </w:p>
        </w:tc>
        <w:tc>
          <w:tcPr>
            <w:tcW w:w="290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BBCF4" w14:textId="77777777" w:rsidR="00C1738A" w:rsidRDefault="00C1738A">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
        </w:tc>
        <w:tc>
          <w:tcPr>
            <w:tcW w:w="3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CD8F3" w14:textId="77777777" w:rsidR="00C1738A" w:rsidRDefault="00C1738A">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p>
        </w:tc>
      </w:tr>
      <w:tr w:rsidR="00C1738A" w14:paraId="242D732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6C80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1600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6B2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1623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0140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23</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E493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B544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08C964F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7519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1650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2176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1671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976F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21</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55E0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6431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7C9D876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2F86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1671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0426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FA7E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A38B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F9E6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624A1AA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1338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1689</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3385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1703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4F0B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4770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FE6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44AAB55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DF1E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1715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523D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1735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C1C6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9C76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462B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140DA7F9"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C3F7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1720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BCF8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1730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4A42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B55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C0C3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370ECA75"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1B6F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1739</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6AA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1745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C9BE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6</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5C3D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6B73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Weber and </w:t>
            </w:r>
            <w:proofErr w:type="spellStart"/>
            <w:r>
              <w:rPr>
                <w:rFonts w:eastAsia="Helvetica" w:hAnsi="Helvetica" w:cs="Helvetica"/>
                <w:color w:val="000000"/>
              </w:rPr>
              <w:t>Schweingruber</w:t>
            </w:r>
            <w:proofErr w:type="spellEnd"/>
            <w:r>
              <w:rPr>
                <w:rFonts w:eastAsia="Helvetica" w:hAnsi="Helvetica" w:cs="Helvetica"/>
                <w:color w:val="000000"/>
              </w:rPr>
              <w:t xml:space="preserve"> 1995</w:t>
            </w:r>
          </w:p>
        </w:tc>
      </w:tr>
      <w:tr w:rsidR="00C1738A" w14:paraId="499B6C7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9B44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1748</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7115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1765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0295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FC5E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8F99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1359C22D"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E13C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1753</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E31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1778</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670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25</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285E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7F39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60CDE35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B00A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1760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EB6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1770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67A2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8C71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A9B8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13750CAE"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7364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1785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9378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1805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4F13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5BDE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2AC9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03C97CA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43C8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1792</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3EF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1802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46D5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37EF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BAEB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0DA79D1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060B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1794</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605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1801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AC55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254A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5883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Weber and </w:t>
            </w:r>
            <w:proofErr w:type="spellStart"/>
            <w:r>
              <w:rPr>
                <w:rFonts w:eastAsia="Helvetica" w:hAnsi="Helvetica" w:cs="Helvetica"/>
                <w:color w:val="000000"/>
              </w:rPr>
              <w:t>Schweingruber</w:t>
            </w:r>
            <w:proofErr w:type="spellEnd"/>
            <w:r>
              <w:rPr>
                <w:rFonts w:eastAsia="Helvetica" w:hAnsi="Helvetica" w:cs="Helvetica"/>
                <w:color w:val="000000"/>
              </w:rPr>
              <w:t xml:space="preserve"> 1995</w:t>
            </w:r>
          </w:p>
        </w:tc>
      </w:tr>
      <w:tr w:rsidR="00C1738A" w14:paraId="55D4A025"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35A6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1795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FAE0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1819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349F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A186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7B2D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723BF37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0949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1796</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0527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1803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7BC1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7FF7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F95A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6D7FEA8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7FBF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1810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AF7F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1824</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B85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5E56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FB3C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0E3DA075"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5EB3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1821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DFF5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1823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97C5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3868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6F2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60CB701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15CF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1821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7DC2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6749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9</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4121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69D3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430FCFF3"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9473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1825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E607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1846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7EB1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21</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2586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61DB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7EF0B844"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9738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191C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1838</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25EA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6F57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33E7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0B9C4D08"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A02C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8C8A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5C7F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9</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4414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8A9F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Weber and </w:t>
            </w:r>
            <w:proofErr w:type="spellStart"/>
            <w:r>
              <w:rPr>
                <w:rFonts w:eastAsia="Helvetica" w:hAnsi="Helvetica" w:cs="Helvetica"/>
                <w:color w:val="000000"/>
              </w:rPr>
              <w:t>Schweingruber</w:t>
            </w:r>
            <w:proofErr w:type="spellEnd"/>
            <w:r>
              <w:rPr>
                <w:rFonts w:eastAsia="Helvetica" w:hAnsi="Helvetica" w:cs="Helvetica"/>
                <w:color w:val="000000"/>
              </w:rPr>
              <w:t xml:space="preserve"> 1995</w:t>
            </w:r>
          </w:p>
        </w:tc>
      </w:tr>
      <w:tr w:rsidR="00C1738A" w14:paraId="67C5D83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3F48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1834</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81FC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1839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8EFF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5</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B81C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E39A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757B3BC8"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749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1845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6122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1851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256F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6</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E95B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3A8B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Weber and </w:t>
            </w:r>
            <w:proofErr w:type="spellStart"/>
            <w:r>
              <w:rPr>
                <w:rFonts w:eastAsia="Helvetica" w:hAnsi="Helvetica" w:cs="Helvetica"/>
                <w:color w:val="000000"/>
              </w:rPr>
              <w:t>Schweingruber</w:t>
            </w:r>
            <w:proofErr w:type="spellEnd"/>
            <w:r>
              <w:rPr>
                <w:rFonts w:eastAsia="Helvetica" w:hAnsi="Helvetica" w:cs="Helvetica"/>
                <w:color w:val="000000"/>
              </w:rPr>
              <w:t xml:space="preserve"> 1995</w:t>
            </w:r>
          </w:p>
        </w:tc>
      </w:tr>
      <w:tr w:rsidR="00C1738A" w14:paraId="1437F832"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14B5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1848</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305D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1868</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4EC4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8C5A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315C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609CD131"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5BC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1849</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28AF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1876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98C2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39CD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600E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14D28F0D"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1EA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1861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E4B4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1865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9AFA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3F4C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35A0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Weber and </w:t>
            </w:r>
            <w:proofErr w:type="spellStart"/>
            <w:r>
              <w:rPr>
                <w:rFonts w:eastAsia="Helvetica" w:hAnsi="Helvetica" w:cs="Helvetica"/>
                <w:color w:val="000000"/>
              </w:rPr>
              <w:t>Schweingruber</w:t>
            </w:r>
            <w:proofErr w:type="spellEnd"/>
            <w:r>
              <w:rPr>
                <w:rFonts w:eastAsia="Helvetica" w:hAnsi="Helvetica" w:cs="Helvetica"/>
                <w:color w:val="000000"/>
              </w:rPr>
              <w:t xml:space="preserve"> 1995</w:t>
            </w:r>
          </w:p>
        </w:tc>
      </w:tr>
      <w:tr w:rsidR="00C1738A" w14:paraId="4A41C932"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68F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1865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01BC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1872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58AE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EF7A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F371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74A7E81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05A7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1870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B056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1875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C3F6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5</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82DB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F08F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Weber and </w:t>
            </w:r>
            <w:proofErr w:type="spellStart"/>
            <w:r>
              <w:rPr>
                <w:rFonts w:eastAsia="Helvetica" w:hAnsi="Helvetica" w:cs="Helvetica"/>
                <w:color w:val="000000"/>
              </w:rPr>
              <w:t>Schweingruber</w:t>
            </w:r>
            <w:proofErr w:type="spellEnd"/>
            <w:r>
              <w:rPr>
                <w:rFonts w:eastAsia="Helvetica" w:hAnsi="Helvetica" w:cs="Helvetica"/>
                <w:color w:val="000000"/>
              </w:rPr>
              <w:t xml:space="preserve"> 1995</w:t>
            </w:r>
          </w:p>
        </w:tc>
      </w:tr>
      <w:tr w:rsidR="00C1738A" w14:paraId="0894D215"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681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1873</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6262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1881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374C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497E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3E13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16407AD2"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C18D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1881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C63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D610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1175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933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771872C9"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490B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1881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0D92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1898</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7A61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C13B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DB01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03DDA40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8777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1885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BE00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1893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E579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411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42C8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Weber and </w:t>
            </w:r>
            <w:proofErr w:type="spellStart"/>
            <w:r>
              <w:rPr>
                <w:rFonts w:eastAsia="Helvetica" w:hAnsi="Helvetica" w:cs="Helvetica"/>
                <w:color w:val="000000"/>
              </w:rPr>
              <w:t>Schweingruber</w:t>
            </w:r>
            <w:proofErr w:type="spellEnd"/>
            <w:r>
              <w:rPr>
                <w:rFonts w:eastAsia="Helvetica" w:hAnsi="Helvetica" w:cs="Helvetica"/>
                <w:color w:val="000000"/>
              </w:rPr>
              <w:t xml:space="preserve"> 1995</w:t>
            </w:r>
          </w:p>
        </w:tc>
      </w:tr>
      <w:tr w:rsidR="00C1738A" w14:paraId="05D7A8D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B01C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1886</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151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1893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5AA6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83C1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526A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26429794"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5C68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1890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D20B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1910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E301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7504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0561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6C9DF5E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DD4A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1890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7E0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1911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F7E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21</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A7AE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A31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4170A38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F7CA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1903</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DF58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1932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F96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29</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EF2D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67AC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3901FED4"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EEC6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lastRenderedPageBreak/>
              <w:t>1935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F19C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1949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BFD1E"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A595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2389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3569569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9DC2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1936</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0063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1952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BF08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16</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6745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AABA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3D479F34"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C3FB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1938</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52D4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1945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7599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5747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Colorado Front Range</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1B4F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Hadley and Veblen 1992</w:t>
            </w:r>
          </w:p>
        </w:tc>
      </w:tr>
      <w:tr w:rsidR="00C1738A" w14:paraId="3F4A0D4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5EF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1942</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EF1BD"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1969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CA89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B926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C371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5184CE9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C1EC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1942</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69FA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1956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782D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33C5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F6F7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226F44A8"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9D3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1944</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9064"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1946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B096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2</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442F3"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96D9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 xml:space="preserve">Weber and </w:t>
            </w:r>
            <w:proofErr w:type="spellStart"/>
            <w:r>
              <w:rPr>
                <w:rFonts w:eastAsia="Helvetica" w:hAnsi="Helvetica" w:cs="Helvetica"/>
                <w:color w:val="000000"/>
              </w:rPr>
              <w:t>Schweingruber</w:t>
            </w:r>
            <w:proofErr w:type="spellEnd"/>
            <w:r>
              <w:rPr>
                <w:rFonts w:eastAsia="Helvetica" w:hAnsi="Helvetica" w:cs="Helvetica"/>
                <w:color w:val="000000"/>
              </w:rPr>
              <w:t xml:space="preserve"> 1995</w:t>
            </w:r>
          </w:p>
        </w:tc>
      </w:tr>
      <w:tr w:rsidR="00C1738A" w14:paraId="5B66D38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996F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1960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1ECA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1977</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FC75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F08D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2B50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r w:rsidR="00C1738A" w14:paraId="30B60C2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EF9E1"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1972</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4F9E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634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13</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2138F"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50A3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58BBB780"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D90D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1974</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A1298"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83B8A"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11</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113A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Colorado Front Range</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C6E9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Hadley and Veblen 1992</w:t>
            </w:r>
          </w:p>
        </w:tc>
      </w:tr>
      <w:tr w:rsidR="00C1738A" w14:paraId="5DC4FB97"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B942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1977</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555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B8EB0"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DF1B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EFC6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463BFAFE"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AE5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1977</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11B52"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1D8DB"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908A7"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D9FE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Swetnam and Lynch 1989</w:t>
            </w:r>
          </w:p>
        </w:tc>
      </w:tr>
      <w:tr w:rsidR="00C1738A" w14:paraId="5E880BA3" w14:textId="77777777">
        <w:trPr>
          <w:jc w:val="center"/>
        </w:trPr>
        <w:tc>
          <w:tcPr>
            <w:tcW w:w="8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8C43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1984</w:t>
            </w:r>
          </w:p>
        </w:tc>
        <w:tc>
          <w:tcPr>
            <w:tcW w:w="8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2BE83C"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1997</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7954D6"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13</w:t>
            </w:r>
          </w:p>
        </w:tc>
        <w:tc>
          <w:tcPr>
            <w:tcW w:w="290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B86625"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Rio Grande NF, Colorado</w:t>
            </w:r>
          </w:p>
        </w:tc>
        <w:tc>
          <w:tcPr>
            <w:tcW w:w="3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334919" w14:textId="77777777" w:rsidR="00C1738A" w:rsidRDefault="00000000">
            <w:pPr>
              <w:pBdr>
                <w:top w:val="none" w:sz="0" w:space="0" w:color="000000"/>
                <w:left w:val="none" w:sz="0" w:space="0" w:color="000000"/>
                <w:bottom w:val="none" w:sz="0" w:space="0" w:color="000000"/>
                <w:right w:val="none" w:sz="0" w:space="0" w:color="000000"/>
              </w:pBdr>
              <w:spacing w:before="20" w:after="20"/>
              <w:ind w:left="100" w:right="100"/>
              <w:rPr>
                <w:rFonts w:eastAsia="Helvetica" w:hAnsi="Helvetica" w:cs="Helvetica"/>
                <w:color w:val="000000"/>
              </w:rPr>
            </w:pPr>
            <w:r>
              <w:rPr>
                <w:rFonts w:eastAsia="Helvetica" w:hAnsi="Helvetica" w:cs="Helvetica"/>
                <w:color w:val="000000"/>
              </w:rPr>
              <w:t>Ryerson et al. 2003</w:t>
            </w:r>
          </w:p>
        </w:tc>
      </w:tr>
    </w:tbl>
    <w:p w14:paraId="243357F7" w14:textId="77777777" w:rsidR="00C1738A" w:rsidRDefault="00000000">
      <w:r>
        <w:br w:type="page"/>
      </w:r>
    </w:p>
    <w:p w14:paraId="60C259D9" w14:textId="77777777" w:rsidR="00C1738A" w:rsidRDefault="00000000">
      <w:pPr>
        <w:pStyle w:val="Figure"/>
        <w:jc w:val="center"/>
      </w:pPr>
      <w:r>
        <w:rPr>
          <w:noProof/>
        </w:rPr>
        <w:lastRenderedPageBreak/>
        <w:drawing>
          <wp:inline distT="0" distB="0" distL="0" distR="0" wp14:anchorId="48C2793A" wp14:editId="67B18514">
            <wp:extent cx="4096512"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03" cstate="print"/>
                    <a:stretch>
                      <a:fillRect/>
                    </a:stretch>
                  </pic:blipFill>
                  <pic:spPr bwMode="auto">
                    <a:xfrm>
                      <a:off x="0" y="0"/>
                      <a:ext cx="56896" cy="82550"/>
                    </a:xfrm>
                    <a:prstGeom prst="rect">
                      <a:avLst/>
                    </a:prstGeom>
                    <a:noFill/>
                  </pic:spPr>
                </pic:pic>
              </a:graphicData>
            </a:graphic>
          </wp:inline>
        </w:drawing>
      </w:r>
    </w:p>
    <w:p w14:paraId="1AFDBFBD" w14:textId="77777777" w:rsidR="00C1738A" w:rsidRDefault="00000000">
      <w:pPr>
        <w:pStyle w:val="ImageCaption"/>
      </w:pPr>
      <w:r>
        <w:rPr>
          <w:b/>
        </w:rPr>
        <w:t>Figure S</w:t>
      </w:r>
      <w:bookmarkStart w:id="150" w:name="FigPercDefol"/>
      <w:r>
        <w:rPr>
          <w:b/>
        </w:rPr>
        <w:fldChar w:fldCharType="begin"/>
      </w:r>
      <w:r>
        <w:rPr>
          <w:b/>
        </w:rPr>
        <w:instrText>SEQ supp-fig \* Arabic</w:instrText>
      </w:r>
      <w:r>
        <w:rPr>
          <w:b/>
        </w:rPr>
        <w:fldChar w:fldCharType="separate"/>
      </w:r>
      <w:r w:rsidR="00597CF4">
        <w:rPr>
          <w:b/>
          <w:noProof/>
        </w:rPr>
        <w:t>1</w:t>
      </w:r>
      <w:r>
        <w:rPr>
          <w:b/>
        </w:rPr>
        <w:fldChar w:fldCharType="end"/>
      </w:r>
      <w:bookmarkEnd w:id="150"/>
      <w:r>
        <w:rPr>
          <w:b/>
        </w:rPr>
        <w:t xml:space="preserve">: </w:t>
      </w:r>
      <w:r>
        <w:t>Site-level outbreak records expressed as the percent of trees recording an infestation.</w:t>
      </w:r>
    </w:p>
    <w:p w14:paraId="13B16A56" w14:textId="77777777" w:rsidR="00C1738A" w:rsidRDefault="00000000">
      <w:r>
        <w:br w:type="page"/>
      </w:r>
    </w:p>
    <w:p w14:paraId="18493352" w14:textId="77777777" w:rsidR="00C1738A" w:rsidRDefault="00000000">
      <w:pPr>
        <w:pStyle w:val="Figure"/>
        <w:jc w:val="center"/>
      </w:pPr>
      <w:r>
        <w:rPr>
          <w:noProof/>
        </w:rPr>
        <w:lastRenderedPageBreak/>
        <w:drawing>
          <wp:inline distT="0" distB="0" distL="0" distR="0" wp14:anchorId="204B3665" wp14:editId="00728A46">
            <wp:extent cx="4096512"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04" cstate="print"/>
                    <a:stretch>
                      <a:fillRect/>
                    </a:stretch>
                  </pic:blipFill>
                  <pic:spPr bwMode="auto">
                    <a:xfrm>
                      <a:off x="0" y="0"/>
                      <a:ext cx="56896" cy="38100"/>
                    </a:xfrm>
                    <a:prstGeom prst="rect">
                      <a:avLst/>
                    </a:prstGeom>
                    <a:noFill/>
                  </pic:spPr>
                </pic:pic>
              </a:graphicData>
            </a:graphic>
          </wp:inline>
        </w:drawing>
      </w:r>
    </w:p>
    <w:p w14:paraId="4B428E9B" w14:textId="77777777" w:rsidR="00C1738A" w:rsidRDefault="00000000">
      <w:pPr>
        <w:pStyle w:val="ImageCaption"/>
      </w:pPr>
      <w:r>
        <w:rPr>
          <w:b/>
        </w:rPr>
        <w:t>Figure S</w:t>
      </w:r>
      <w:bookmarkStart w:id="151" w:name="FigPairwiseCor"/>
      <w:r>
        <w:rPr>
          <w:b/>
        </w:rPr>
        <w:fldChar w:fldCharType="begin"/>
      </w:r>
      <w:r>
        <w:rPr>
          <w:b/>
        </w:rPr>
        <w:instrText>SEQ supp-fig \* Arabic</w:instrText>
      </w:r>
      <w:r>
        <w:rPr>
          <w:b/>
        </w:rPr>
        <w:fldChar w:fldCharType="separate"/>
      </w:r>
      <w:r w:rsidR="00597CF4">
        <w:rPr>
          <w:b/>
          <w:noProof/>
        </w:rPr>
        <w:t>2</w:t>
      </w:r>
      <w:r>
        <w:rPr>
          <w:b/>
        </w:rPr>
        <w:fldChar w:fldCharType="end"/>
      </w:r>
      <w:bookmarkEnd w:id="151"/>
      <w:r>
        <w:rPr>
          <w:b/>
        </w:rPr>
        <w:t xml:space="preserve">: </w:t>
      </w:r>
      <w:r>
        <w:t>Pairwise Spearman’s correlation between time series of the percent of trees defoliated at each site.</w:t>
      </w:r>
    </w:p>
    <w:p w14:paraId="5365A487" w14:textId="77777777" w:rsidR="00C1738A" w:rsidRDefault="00C1738A" w:rsidP="00597CF4">
      <w:pPr>
        <w:pStyle w:val="BodyText"/>
      </w:pPr>
    </w:p>
    <w:p w14:paraId="7D65AF2C" w14:textId="77777777" w:rsidR="00C1738A" w:rsidRDefault="00000000">
      <w:pPr>
        <w:pStyle w:val="Figure"/>
        <w:jc w:val="center"/>
      </w:pPr>
      <w:r>
        <w:rPr>
          <w:noProof/>
        </w:rPr>
        <w:drawing>
          <wp:inline distT="0" distB="0" distL="0" distR="0" wp14:anchorId="452F6124" wp14:editId="45AE8762">
            <wp:extent cx="64008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05" cstate="print"/>
                    <a:stretch>
                      <a:fillRect/>
                    </a:stretch>
                  </pic:blipFill>
                  <pic:spPr bwMode="auto">
                    <a:xfrm>
                      <a:off x="0" y="0"/>
                      <a:ext cx="88900" cy="38100"/>
                    </a:xfrm>
                    <a:prstGeom prst="rect">
                      <a:avLst/>
                    </a:prstGeom>
                    <a:noFill/>
                  </pic:spPr>
                </pic:pic>
              </a:graphicData>
            </a:graphic>
          </wp:inline>
        </w:drawing>
      </w:r>
    </w:p>
    <w:p w14:paraId="40FE2CE9" w14:textId="77777777" w:rsidR="00C1738A" w:rsidRDefault="00000000">
      <w:pPr>
        <w:pStyle w:val="ImageCaption"/>
      </w:pPr>
      <w:r>
        <w:rPr>
          <w:b/>
        </w:rPr>
        <w:t>Figure S</w:t>
      </w:r>
      <w:bookmarkStart w:id="152" w:name="FigCovarianceTime"/>
      <w:r>
        <w:rPr>
          <w:b/>
        </w:rPr>
        <w:fldChar w:fldCharType="begin"/>
      </w:r>
      <w:r>
        <w:rPr>
          <w:b/>
        </w:rPr>
        <w:instrText>SEQ supp-fig \* Arabic</w:instrText>
      </w:r>
      <w:r>
        <w:rPr>
          <w:b/>
        </w:rPr>
        <w:fldChar w:fldCharType="separate"/>
      </w:r>
      <w:r w:rsidR="00597CF4">
        <w:rPr>
          <w:b/>
          <w:noProof/>
        </w:rPr>
        <w:t>3</w:t>
      </w:r>
      <w:r>
        <w:rPr>
          <w:b/>
        </w:rPr>
        <w:fldChar w:fldCharType="end"/>
      </w:r>
      <w:bookmarkEnd w:id="152"/>
      <w:r>
        <w:rPr>
          <w:b/>
        </w:rPr>
        <w:t xml:space="preserve">: </w:t>
      </w:r>
      <w:r>
        <w:t>Nonparametric spatial covariance function describing the covariance among time series of the percent of trees defoliated at site for the 1750-1995 and the centuries prior to and following extensive Euro-American colonization (1750-1848 and 1890-1989, respectively). Gray shading indicates the 95% confidence interval based on 1,000 bootstrap replications. The dashed horizontal line indicates the average correlation across the study area (landscape-wide synchrony)</w:t>
      </w:r>
    </w:p>
    <w:p w14:paraId="720DBF22" w14:textId="77777777" w:rsidR="00C1738A" w:rsidRDefault="00000000">
      <w:pPr>
        <w:pStyle w:val="Figure"/>
        <w:jc w:val="center"/>
      </w:pPr>
      <w:r>
        <w:rPr>
          <w:noProof/>
        </w:rPr>
        <w:lastRenderedPageBreak/>
        <w:drawing>
          <wp:inline distT="0" distB="0" distL="0" distR="0" wp14:anchorId="538C8FB8" wp14:editId="52726CDF">
            <wp:extent cx="3200400"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06" cstate="print"/>
                    <a:stretch>
                      <a:fillRect/>
                    </a:stretch>
                  </pic:blipFill>
                  <pic:spPr bwMode="auto">
                    <a:xfrm>
                      <a:off x="0" y="0"/>
                      <a:ext cx="44450" cy="30480"/>
                    </a:xfrm>
                    <a:prstGeom prst="rect">
                      <a:avLst/>
                    </a:prstGeom>
                    <a:noFill/>
                  </pic:spPr>
                </pic:pic>
              </a:graphicData>
            </a:graphic>
          </wp:inline>
        </w:drawing>
      </w:r>
    </w:p>
    <w:p w14:paraId="146A690D" w14:textId="77777777" w:rsidR="00C1738A" w:rsidRDefault="00000000">
      <w:pPr>
        <w:pStyle w:val="ImageCaption"/>
      </w:pPr>
      <w:r>
        <w:rPr>
          <w:b/>
        </w:rPr>
        <w:t>Figure S</w:t>
      </w:r>
      <w:bookmarkStart w:id="153" w:name="FigCovarianceNonHost"/>
      <w:r>
        <w:rPr>
          <w:b/>
        </w:rPr>
        <w:fldChar w:fldCharType="begin"/>
      </w:r>
      <w:r>
        <w:rPr>
          <w:b/>
        </w:rPr>
        <w:instrText>SEQ supp-fig \* Arabic</w:instrText>
      </w:r>
      <w:r>
        <w:rPr>
          <w:b/>
        </w:rPr>
        <w:fldChar w:fldCharType="separate"/>
      </w:r>
      <w:r w:rsidR="00597CF4">
        <w:rPr>
          <w:b/>
          <w:noProof/>
        </w:rPr>
        <w:t>4</w:t>
      </w:r>
      <w:r>
        <w:rPr>
          <w:b/>
        </w:rPr>
        <w:fldChar w:fldCharType="end"/>
      </w:r>
      <w:bookmarkEnd w:id="153"/>
      <w:r>
        <w:rPr>
          <w:b/>
        </w:rPr>
        <w:t xml:space="preserve">: </w:t>
      </w:r>
      <w:r>
        <w:t>Nonparametric spatial covariance function describing the covariance among the 12 drought-sensitive ponderosa pine chronologies used to reconstruct WSB histories. Gray shading indicates the 95% confidence interval based on 1,000 bootstrap replications. The dashed horizontal line indicates the average correlation across the study area (landscape-wide synchrony)</w:t>
      </w:r>
    </w:p>
    <w:p w14:paraId="514CC833" w14:textId="77777777" w:rsidR="00C1738A" w:rsidRDefault="00000000">
      <w:pPr>
        <w:pStyle w:val="Figure"/>
        <w:jc w:val="center"/>
      </w:pPr>
      <w:r>
        <w:rPr>
          <w:noProof/>
        </w:rPr>
        <w:lastRenderedPageBreak/>
        <w:drawing>
          <wp:inline distT="0" distB="0" distL="0" distR="0" wp14:anchorId="0AC7777D" wp14:editId="213FAD09">
            <wp:extent cx="3200400"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07" cstate="print"/>
                    <a:stretch>
                      <a:fillRect/>
                    </a:stretch>
                  </pic:blipFill>
                  <pic:spPr bwMode="auto">
                    <a:xfrm>
                      <a:off x="0" y="0"/>
                      <a:ext cx="44450" cy="63500"/>
                    </a:xfrm>
                    <a:prstGeom prst="rect">
                      <a:avLst/>
                    </a:prstGeom>
                    <a:noFill/>
                  </pic:spPr>
                </pic:pic>
              </a:graphicData>
            </a:graphic>
          </wp:inline>
        </w:drawing>
      </w:r>
    </w:p>
    <w:p w14:paraId="09A93A60" w14:textId="77777777" w:rsidR="00C1738A" w:rsidRDefault="00000000">
      <w:pPr>
        <w:pStyle w:val="ImageCaption"/>
      </w:pPr>
      <w:r>
        <w:rPr>
          <w:b/>
        </w:rPr>
        <w:t>Figure S</w:t>
      </w:r>
      <w:bookmarkStart w:id="154" w:name="FigWavelet"/>
      <w:r>
        <w:rPr>
          <w:b/>
        </w:rPr>
        <w:fldChar w:fldCharType="begin"/>
      </w:r>
      <w:r>
        <w:rPr>
          <w:b/>
        </w:rPr>
        <w:instrText>SEQ supp-fig \* Arabic</w:instrText>
      </w:r>
      <w:r>
        <w:rPr>
          <w:b/>
        </w:rPr>
        <w:fldChar w:fldCharType="separate"/>
      </w:r>
      <w:r w:rsidR="00597CF4">
        <w:rPr>
          <w:b/>
          <w:noProof/>
        </w:rPr>
        <w:t>5</w:t>
      </w:r>
      <w:r>
        <w:rPr>
          <w:b/>
        </w:rPr>
        <w:fldChar w:fldCharType="end"/>
      </w:r>
      <w:bookmarkEnd w:id="154"/>
      <w:r>
        <w:rPr>
          <w:b/>
        </w:rPr>
        <w:t xml:space="preserve">: </w:t>
      </w:r>
      <w:r>
        <w:t>The landscape-wide average number of trees defoliated within a site (top) and wavelet power spectrum of this time series. The cross-hatched region represents the cone of influence where zero padding has reduced the variance. The black contours are the 5% significance levels, using a red noise background spectrum.</w:t>
      </w:r>
    </w:p>
    <w:p w14:paraId="3C31334A" w14:textId="77777777" w:rsidR="00C1738A" w:rsidRDefault="00C1738A" w:rsidP="00597CF4">
      <w:pPr>
        <w:pStyle w:val="BodyText"/>
      </w:pPr>
    </w:p>
    <w:p w14:paraId="4689837C" w14:textId="77777777" w:rsidR="00C1738A" w:rsidRDefault="00000000">
      <w:pPr>
        <w:pStyle w:val="Figure"/>
        <w:jc w:val="center"/>
      </w:pPr>
      <w:r>
        <w:rPr>
          <w:noProof/>
        </w:rPr>
        <w:lastRenderedPageBreak/>
        <w:drawing>
          <wp:inline distT="0" distB="0" distL="0" distR="0" wp14:anchorId="22DDF5B5" wp14:editId="3827E683">
            <wp:extent cx="3200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08" cstate="print"/>
                    <a:stretch>
                      <a:fillRect/>
                    </a:stretch>
                  </pic:blipFill>
                  <pic:spPr bwMode="auto">
                    <a:xfrm>
                      <a:off x="0" y="0"/>
                      <a:ext cx="44450" cy="25400"/>
                    </a:xfrm>
                    <a:prstGeom prst="rect">
                      <a:avLst/>
                    </a:prstGeom>
                    <a:noFill/>
                  </pic:spPr>
                </pic:pic>
              </a:graphicData>
            </a:graphic>
          </wp:inline>
        </w:drawing>
      </w:r>
    </w:p>
    <w:p w14:paraId="24861194" w14:textId="77777777" w:rsidR="00C1738A" w:rsidRDefault="00000000">
      <w:pPr>
        <w:pStyle w:val="ImageCaption"/>
      </w:pPr>
      <w:r>
        <w:rPr>
          <w:b/>
        </w:rPr>
        <w:t>Figure S</w:t>
      </w:r>
      <w:bookmarkStart w:id="155" w:name="FigPDSIt"/>
      <w:r>
        <w:rPr>
          <w:b/>
        </w:rPr>
        <w:fldChar w:fldCharType="begin"/>
      </w:r>
      <w:r>
        <w:rPr>
          <w:b/>
        </w:rPr>
        <w:instrText>SEQ supp-fig \* Arabic</w:instrText>
      </w:r>
      <w:r>
        <w:rPr>
          <w:b/>
        </w:rPr>
        <w:fldChar w:fldCharType="separate"/>
      </w:r>
      <w:r w:rsidR="00597CF4">
        <w:rPr>
          <w:b/>
          <w:noProof/>
        </w:rPr>
        <w:t>6</w:t>
      </w:r>
      <w:r>
        <w:rPr>
          <w:b/>
        </w:rPr>
        <w:fldChar w:fldCharType="end"/>
      </w:r>
      <w:bookmarkEnd w:id="155"/>
      <w:r>
        <w:rPr>
          <w:b/>
        </w:rPr>
        <w:t xml:space="preserve">: </w:t>
      </w:r>
      <w:r>
        <w:t>Boxplots illustrating the mean June-August SC-PDSI during the century prior to and following extensive Euro-American colonization. Letters above bars indicate significant (p&lt;0.05) differences between groups.</w:t>
      </w:r>
    </w:p>
    <w:p w14:paraId="465D12F6" w14:textId="77777777" w:rsidR="00C1738A" w:rsidRDefault="00000000">
      <w:r>
        <w:br w:type="page"/>
      </w:r>
    </w:p>
    <w:p w14:paraId="7BAD4A0B" w14:textId="77777777" w:rsidR="00C1738A" w:rsidRDefault="00000000" w:rsidP="00597CF4">
      <w:pPr>
        <w:pStyle w:val="BodyText"/>
      </w:pPr>
      <w:r>
        <w:lastRenderedPageBreak/>
        <w:t xml:space="preserve">Woodhouse and </w:t>
      </w:r>
      <w:proofErr w:type="spellStart"/>
      <w:r>
        <w:t>Losleben</w:t>
      </w:r>
      <w:proofErr w:type="spellEnd"/>
      <w:r>
        <w:t xml:space="preserve"> (</w:t>
      </w:r>
      <w:hyperlink w:anchor="ref-CO591">
        <w:r w:rsidR="00C1738A">
          <w:rPr>
            <w:rStyle w:val="Hyperlink"/>
          </w:rPr>
          <w:t>2006a</w:t>
        </w:r>
      </w:hyperlink>
      <w:r>
        <w:t>); Woodhouse et al. (</w:t>
      </w:r>
      <w:hyperlink w:anchor="ref-CO596">
        <w:r w:rsidR="00C1738A">
          <w:rPr>
            <w:rStyle w:val="Hyperlink"/>
          </w:rPr>
          <w:t>2006c</w:t>
        </w:r>
      </w:hyperlink>
      <w:r>
        <w:t xml:space="preserve">); Woodhouse and </w:t>
      </w:r>
      <w:proofErr w:type="spellStart"/>
      <w:r>
        <w:t>Losleben</w:t>
      </w:r>
      <w:proofErr w:type="spellEnd"/>
      <w:r>
        <w:t xml:space="preserve"> (</w:t>
      </w:r>
      <w:hyperlink w:anchor="ref-CO601">
        <w:r w:rsidR="00C1738A">
          <w:rPr>
            <w:rStyle w:val="Hyperlink"/>
          </w:rPr>
          <w:t>2006b</w:t>
        </w:r>
      </w:hyperlink>
      <w:r>
        <w:t xml:space="preserve">); Woodhouse and </w:t>
      </w:r>
      <w:proofErr w:type="spellStart"/>
      <w:r>
        <w:t>Losleben</w:t>
      </w:r>
      <w:proofErr w:type="spellEnd"/>
      <w:r>
        <w:t xml:space="preserve"> (</w:t>
      </w:r>
      <w:hyperlink w:anchor="ref-CO602">
        <w:r w:rsidR="00C1738A">
          <w:rPr>
            <w:rStyle w:val="Hyperlink"/>
          </w:rPr>
          <w:t>2006c</w:t>
        </w:r>
      </w:hyperlink>
      <w:r>
        <w:t>); Woodhouse et al. (</w:t>
      </w:r>
      <w:hyperlink w:anchor="ref-CO607">
        <w:r w:rsidR="00C1738A">
          <w:rPr>
            <w:rStyle w:val="Hyperlink"/>
          </w:rPr>
          <w:t>2015</w:t>
        </w:r>
      </w:hyperlink>
      <w:r>
        <w:t>); Woodhouse et al. (</w:t>
      </w:r>
      <w:hyperlink w:anchor="ref-CO611">
        <w:r w:rsidR="00C1738A">
          <w:rPr>
            <w:rStyle w:val="Hyperlink"/>
          </w:rPr>
          <w:t>2006d</w:t>
        </w:r>
      </w:hyperlink>
      <w:r>
        <w:t>); Woodhouse et al. (</w:t>
      </w:r>
      <w:hyperlink w:anchor="ref-CO622">
        <w:r w:rsidR="00C1738A">
          <w:rPr>
            <w:rStyle w:val="Hyperlink"/>
          </w:rPr>
          <w:t>2006b</w:t>
        </w:r>
      </w:hyperlink>
      <w:r>
        <w:t>); Woodhouse et al. (</w:t>
      </w:r>
      <w:hyperlink w:anchor="ref-CO639">
        <w:r w:rsidR="00C1738A">
          <w:rPr>
            <w:rStyle w:val="Hyperlink"/>
          </w:rPr>
          <w:t>2010</w:t>
        </w:r>
      </w:hyperlink>
      <w:r>
        <w:t>); Woodhouse et al. (</w:t>
      </w:r>
      <w:hyperlink w:anchor="ref-CO666">
        <w:r w:rsidR="00C1738A">
          <w:rPr>
            <w:rStyle w:val="Hyperlink"/>
          </w:rPr>
          <w:t>2019c</w:t>
        </w:r>
      </w:hyperlink>
      <w:r>
        <w:t>); Woodhouse et al. (</w:t>
      </w:r>
      <w:hyperlink w:anchor="ref-CO669">
        <w:r w:rsidR="00C1738A">
          <w:rPr>
            <w:rStyle w:val="Hyperlink"/>
          </w:rPr>
          <w:t>2019a</w:t>
        </w:r>
      </w:hyperlink>
      <w:r>
        <w:t>); Woodhouse et al. (</w:t>
      </w:r>
      <w:hyperlink w:anchor="Xa3a5d0b1c1f6b2c37633270462d730d07efb675">
        <w:r w:rsidR="00C1738A">
          <w:rPr>
            <w:rStyle w:val="Hyperlink"/>
          </w:rPr>
          <w:t>2019b</w:t>
        </w:r>
      </w:hyperlink>
      <w:r>
        <w:t>); Graybill (</w:t>
      </w:r>
      <w:hyperlink w:anchor="ref-graybill2002NOAAWDSPaleoclimatologyc">
        <w:r w:rsidR="00C1738A">
          <w:rPr>
            <w:rStyle w:val="Hyperlink"/>
          </w:rPr>
          <w:t>2002</w:t>
        </w:r>
      </w:hyperlink>
      <w:r>
        <w:t>); Veblen et al. (</w:t>
      </w:r>
      <w:hyperlink w:anchor="ref-veblen2000">
        <w:r w:rsidR="00C1738A">
          <w:rPr>
            <w:rStyle w:val="Hyperlink"/>
          </w:rPr>
          <w:t>2000</w:t>
        </w:r>
      </w:hyperlink>
      <w:r>
        <w:t>); Rodman et al. (</w:t>
      </w:r>
      <w:hyperlink w:anchor="ref-rodman2020DataChangingClimatea">
        <w:r w:rsidR="00C1738A">
          <w:rPr>
            <w:rStyle w:val="Hyperlink"/>
          </w:rPr>
          <w:t>2020</w:t>
        </w:r>
      </w:hyperlink>
      <w:r>
        <w:t>)</w:t>
      </w:r>
      <w:bookmarkEnd w:id="144"/>
    </w:p>
    <w:sectPr w:rsidR="00C1738A" w:rsidSect="0060109F">
      <w:footerReference w:type="even" r:id="rId109"/>
      <w:footerReference w:type="default" r:id="rId110"/>
      <w:type w:val="continuous"/>
      <w:pgSz w:w="12240" w:h="15840"/>
      <w:pgMar w:top="1440" w:right="1080" w:bottom="1440" w:left="108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ABA09" w14:textId="77777777" w:rsidR="00727319" w:rsidRDefault="00727319">
      <w:pPr>
        <w:spacing w:before="0" w:after="0"/>
      </w:pPr>
      <w:r>
        <w:separator/>
      </w:r>
    </w:p>
  </w:endnote>
  <w:endnote w:type="continuationSeparator" w:id="0">
    <w:p w14:paraId="72DE21A9" w14:textId="77777777" w:rsidR="00727319" w:rsidRDefault="007273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3736403"/>
      <w:docPartObj>
        <w:docPartGallery w:val="Page Numbers (Bottom of Page)"/>
        <w:docPartUnique/>
      </w:docPartObj>
    </w:sdtPr>
    <w:sdtContent>
      <w:p w14:paraId="30F9B38F" w14:textId="67C7C844" w:rsidR="00597CF4" w:rsidRDefault="00597CF4" w:rsidP="002939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439D64" w14:textId="77777777" w:rsidR="00597CF4" w:rsidRDefault="00597CF4" w:rsidP="00597C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0018431"/>
      <w:docPartObj>
        <w:docPartGallery w:val="Page Numbers (Bottom of Page)"/>
        <w:docPartUnique/>
      </w:docPartObj>
    </w:sdtPr>
    <w:sdtContent>
      <w:p w14:paraId="53CB770E" w14:textId="7F25420A" w:rsidR="00597CF4" w:rsidRDefault="00597CF4" w:rsidP="002939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610339C0" w14:textId="77777777" w:rsidR="00597CF4" w:rsidRDefault="00597CF4" w:rsidP="00597CF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85772638"/>
      <w:docPartObj>
        <w:docPartGallery w:val="Page Numbers (Bottom of Page)"/>
        <w:docPartUnique/>
      </w:docPartObj>
    </w:sdtPr>
    <w:sdtContent>
      <w:p w14:paraId="068A9A9E" w14:textId="77777777" w:rsidR="005C4464" w:rsidRDefault="00000000"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597CF4">
          <w:rPr>
            <w:rStyle w:val="PageNumber"/>
            <w:noProof/>
          </w:rPr>
          <w:t>37</w:t>
        </w:r>
        <w:r>
          <w:rPr>
            <w:rStyle w:val="PageNumber"/>
          </w:rPr>
          <w:fldChar w:fldCharType="end"/>
        </w:r>
      </w:p>
    </w:sdtContent>
  </w:sdt>
  <w:p w14:paraId="0E5A4504" w14:textId="77777777" w:rsidR="005C4464" w:rsidRDefault="005C4464" w:rsidP="003720FB">
    <w:pPr>
      <w:pStyle w:val="Footer"/>
      <w:rPr>
        <w:rStyle w:val="PageNumber"/>
      </w:rPr>
    </w:pPr>
  </w:p>
  <w:p w14:paraId="381664F9" w14:textId="77777777" w:rsidR="005C4464" w:rsidRDefault="005C4464" w:rsidP="003720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6970930"/>
      <w:docPartObj>
        <w:docPartGallery w:val="Page Numbers (Bottom of Page)"/>
        <w:docPartUnique/>
      </w:docPartObj>
    </w:sdtPr>
    <w:sdtContent>
      <w:p w14:paraId="1B29E477" w14:textId="77777777" w:rsidR="005C4464" w:rsidRDefault="00000000"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2E744F" w14:textId="77777777" w:rsidR="005C4464" w:rsidRDefault="005C4464" w:rsidP="003720FB">
    <w:pPr>
      <w:pStyle w:val="Footer"/>
      <w:rPr>
        <w:rStyle w:val="PageNumber"/>
      </w:rPr>
    </w:pPr>
  </w:p>
  <w:p w14:paraId="5E30D4B0" w14:textId="77777777" w:rsidR="005C4464" w:rsidRDefault="005C4464" w:rsidP="00372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39B1A" w14:textId="77777777" w:rsidR="00727319" w:rsidRDefault="00727319">
      <w:pPr>
        <w:spacing w:before="0" w:after="0"/>
      </w:pPr>
      <w:r>
        <w:separator/>
      </w:r>
    </w:p>
  </w:footnote>
  <w:footnote w:type="continuationSeparator" w:id="0">
    <w:p w14:paraId="2CAF8E9F" w14:textId="77777777" w:rsidR="00727319" w:rsidRDefault="0072731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AFB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A9202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4C24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56217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D940B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500D5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272A3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875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5893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F858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B2E31A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32DB3E74"/>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E02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A97E85"/>
    <w:multiLevelType w:val="multilevel"/>
    <w:tmpl w:val="8A2AEAC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84442922">
    <w:abstractNumId w:val="10"/>
  </w:num>
  <w:num w:numId="2" w16cid:durableId="354504097">
    <w:abstractNumId w:val="0"/>
  </w:num>
  <w:num w:numId="3" w16cid:durableId="787435460">
    <w:abstractNumId w:val="1"/>
  </w:num>
  <w:num w:numId="4" w16cid:durableId="977223109">
    <w:abstractNumId w:val="2"/>
  </w:num>
  <w:num w:numId="5" w16cid:durableId="1189493047">
    <w:abstractNumId w:val="3"/>
  </w:num>
  <w:num w:numId="6" w16cid:durableId="1613781478">
    <w:abstractNumId w:val="8"/>
  </w:num>
  <w:num w:numId="7" w16cid:durableId="713625717">
    <w:abstractNumId w:val="4"/>
  </w:num>
  <w:num w:numId="8" w16cid:durableId="187109893">
    <w:abstractNumId w:val="5"/>
  </w:num>
  <w:num w:numId="9" w16cid:durableId="262301207">
    <w:abstractNumId w:val="6"/>
  </w:num>
  <w:num w:numId="10" w16cid:durableId="514081750">
    <w:abstractNumId w:val="7"/>
  </w:num>
  <w:num w:numId="11" w16cid:durableId="1181352577">
    <w:abstractNumId w:val="9"/>
  </w:num>
  <w:num w:numId="12" w16cid:durableId="457574755">
    <w:abstractNumId w:val="14"/>
  </w:num>
  <w:num w:numId="13" w16cid:durableId="1569998311">
    <w:abstractNumId w:val="15"/>
  </w:num>
  <w:num w:numId="14" w16cid:durableId="1093206247">
    <w:abstractNumId w:val="13"/>
  </w:num>
  <w:num w:numId="15" w16cid:durableId="2035226972">
    <w:abstractNumId w:val="0"/>
  </w:num>
  <w:num w:numId="16" w16cid:durableId="226888998">
    <w:abstractNumId w:val="1"/>
  </w:num>
  <w:num w:numId="17" w16cid:durableId="1969125118">
    <w:abstractNumId w:val="2"/>
  </w:num>
  <w:num w:numId="18" w16cid:durableId="915554952">
    <w:abstractNumId w:val="3"/>
  </w:num>
  <w:num w:numId="19" w16cid:durableId="666597859">
    <w:abstractNumId w:val="8"/>
  </w:num>
  <w:num w:numId="20" w16cid:durableId="1830826346">
    <w:abstractNumId w:val="4"/>
  </w:num>
  <w:num w:numId="21" w16cid:durableId="888538829">
    <w:abstractNumId w:val="5"/>
  </w:num>
  <w:num w:numId="22" w16cid:durableId="1256747901">
    <w:abstractNumId w:val="6"/>
  </w:num>
  <w:num w:numId="23" w16cid:durableId="570851074">
    <w:abstractNumId w:val="7"/>
  </w:num>
  <w:num w:numId="24" w16cid:durableId="61146843">
    <w:abstractNumId w:val="9"/>
  </w:num>
  <w:num w:numId="25" w16cid:durableId="373579166">
    <w:abstractNumId w:val="0"/>
  </w:num>
  <w:num w:numId="26" w16cid:durableId="2088838240">
    <w:abstractNumId w:val="1"/>
  </w:num>
  <w:num w:numId="27" w16cid:durableId="267783544">
    <w:abstractNumId w:val="2"/>
  </w:num>
  <w:num w:numId="28" w16cid:durableId="1906573384">
    <w:abstractNumId w:val="3"/>
  </w:num>
  <w:num w:numId="29" w16cid:durableId="1142651004">
    <w:abstractNumId w:val="8"/>
  </w:num>
  <w:num w:numId="30" w16cid:durableId="73476658">
    <w:abstractNumId w:val="4"/>
  </w:num>
  <w:num w:numId="31" w16cid:durableId="803472138">
    <w:abstractNumId w:val="5"/>
  </w:num>
  <w:num w:numId="32" w16cid:durableId="2131706896">
    <w:abstractNumId w:val="6"/>
  </w:num>
  <w:num w:numId="33" w16cid:durableId="593123702">
    <w:abstractNumId w:val="7"/>
  </w:num>
  <w:num w:numId="34" w16cid:durableId="502090392">
    <w:abstractNumId w:val="9"/>
  </w:num>
  <w:num w:numId="35" w16cid:durableId="72507419">
    <w:abstractNumId w:val="0"/>
  </w:num>
  <w:num w:numId="36" w16cid:durableId="1424184611">
    <w:abstractNumId w:val="1"/>
  </w:num>
  <w:num w:numId="37" w16cid:durableId="1030884823">
    <w:abstractNumId w:val="2"/>
  </w:num>
  <w:num w:numId="38" w16cid:durableId="381517237">
    <w:abstractNumId w:val="3"/>
  </w:num>
  <w:num w:numId="39" w16cid:durableId="1369724528">
    <w:abstractNumId w:val="8"/>
  </w:num>
  <w:num w:numId="40" w16cid:durableId="1741562539">
    <w:abstractNumId w:val="4"/>
  </w:num>
  <w:num w:numId="41" w16cid:durableId="1944413625">
    <w:abstractNumId w:val="5"/>
  </w:num>
  <w:num w:numId="42" w16cid:durableId="1610814408">
    <w:abstractNumId w:val="6"/>
  </w:num>
  <w:num w:numId="43" w16cid:durableId="1758939166">
    <w:abstractNumId w:val="7"/>
  </w:num>
  <w:num w:numId="44" w16cid:durableId="1844389536">
    <w:abstractNumId w:val="9"/>
  </w:num>
  <w:num w:numId="45" w16cid:durableId="390349623">
    <w:abstractNumId w:val="0"/>
  </w:num>
  <w:num w:numId="46" w16cid:durableId="1931347502">
    <w:abstractNumId w:val="1"/>
  </w:num>
  <w:num w:numId="47" w16cid:durableId="1503426369">
    <w:abstractNumId w:val="2"/>
  </w:num>
  <w:num w:numId="48" w16cid:durableId="555705103">
    <w:abstractNumId w:val="3"/>
  </w:num>
  <w:num w:numId="49" w16cid:durableId="481393715">
    <w:abstractNumId w:val="8"/>
  </w:num>
  <w:num w:numId="50" w16cid:durableId="35279688">
    <w:abstractNumId w:val="4"/>
  </w:num>
  <w:num w:numId="51" w16cid:durableId="1672558840">
    <w:abstractNumId w:val="5"/>
  </w:num>
  <w:num w:numId="52" w16cid:durableId="936981510">
    <w:abstractNumId w:val="6"/>
  </w:num>
  <w:num w:numId="53" w16cid:durableId="1775444644">
    <w:abstractNumId w:val="7"/>
  </w:num>
  <w:num w:numId="54" w16cid:durableId="509879603">
    <w:abstractNumId w:val="9"/>
  </w:num>
  <w:num w:numId="55" w16cid:durableId="1595020117">
    <w:abstractNumId w:val="0"/>
  </w:num>
  <w:num w:numId="56" w16cid:durableId="53941777">
    <w:abstractNumId w:val="1"/>
  </w:num>
  <w:num w:numId="57" w16cid:durableId="616452658">
    <w:abstractNumId w:val="2"/>
  </w:num>
  <w:num w:numId="58" w16cid:durableId="33193858">
    <w:abstractNumId w:val="3"/>
  </w:num>
  <w:num w:numId="59" w16cid:durableId="1496259244">
    <w:abstractNumId w:val="8"/>
  </w:num>
  <w:num w:numId="60" w16cid:durableId="2061857284">
    <w:abstractNumId w:val="4"/>
  </w:num>
  <w:num w:numId="61" w16cid:durableId="1366442906">
    <w:abstractNumId w:val="5"/>
  </w:num>
  <w:num w:numId="62" w16cid:durableId="1881087096">
    <w:abstractNumId w:val="6"/>
  </w:num>
  <w:num w:numId="63" w16cid:durableId="1805392729">
    <w:abstractNumId w:val="7"/>
  </w:num>
  <w:num w:numId="64" w16cid:durableId="1799639408">
    <w:abstractNumId w:val="9"/>
  </w:num>
  <w:num w:numId="65" w16cid:durableId="661398734">
    <w:abstractNumId w:val="0"/>
  </w:num>
  <w:num w:numId="66" w16cid:durableId="480511972">
    <w:abstractNumId w:val="1"/>
  </w:num>
  <w:num w:numId="67" w16cid:durableId="1164124446">
    <w:abstractNumId w:val="2"/>
  </w:num>
  <w:num w:numId="68" w16cid:durableId="1134130600">
    <w:abstractNumId w:val="3"/>
  </w:num>
  <w:num w:numId="69" w16cid:durableId="328102198">
    <w:abstractNumId w:val="8"/>
  </w:num>
  <w:num w:numId="70" w16cid:durableId="2030787351">
    <w:abstractNumId w:val="4"/>
  </w:num>
  <w:num w:numId="71" w16cid:durableId="1581718379">
    <w:abstractNumId w:val="5"/>
  </w:num>
  <w:num w:numId="72" w16cid:durableId="11731162">
    <w:abstractNumId w:val="6"/>
  </w:num>
  <w:num w:numId="73" w16cid:durableId="98113426">
    <w:abstractNumId w:val="7"/>
  </w:num>
  <w:num w:numId="74" w16cid:durableId="1966890250">
    <w:abstractNumId w:val="9"/>
  </w:num>
  <w:num w:numId="75" w16cid:durableId="1939171025">
    <w:abstractNumId w:val="0"/>
  </w:num>
  <w:num w:numId="76" w16cid:durableId="1488279171">
    <w:abstractNumId w:val="1"/>
  </w:num>
  <w:num w:numId="77" w16cid:durableId="1809780005">
    <w:abstractNumId w:val="2"/>
  </w:num>
  <w:num w:numId="78" w16cid:durableId="425464440">
    <w:abstractNumId w:val="3"/>
  </w:num>
  <w:num w:numId="79" w16cid:durableId="2064014034">
    <w:abstractNumId w:val="8"/>
  </w:num>
  <w:num w:numId="80" w16cid:durableId="1458915579">
    <w:abstractNumId w:val="4"/>
  </w:num>
  <w:num w:numId="81" w16cid:durableId="2043045196">
    <w:abstractNumId w:val="5"/>
  </w:num>
  <w:num w:numId="82" w16cid:durableId="1904372208">
    <w:abstractNumId w:val="6"/>
  </w:num>
  <w:num w:numId="83" w16cid:durableId="1748843319">
    <w:abstractNumId w:val="7"/>
  </w:num>
  <w:num w:numId="84" w16cid:durableId="1980645070">
    <w:abstractNumId w:val="9"/>
  </w:num>
  <w:num w:numId="85" w16cid:durableId="1505778770">
    <w:abstractNumId w:val="0"/>
  </w:num>
  <w:num w:numId="86" w16cid:durableId="1260141569">
    <w:abstractNumId w:val="1"/>
  </w:num>
  <w:num w:numId="87" w16cid:durableId="2142727285">
    <w:abstractNumId w:val="2"/>
  </w:num>
  <w:num w:numId="88" w16cid:durableId="1119184077">
    <w:abstractNumId w:val="3"/>
  </w:num>
  <w:num w:numId="89" w16cid:durableId="1437600045">
    <w:abstractNumId w:val="8"/>
  </w:num>
  <w:num w:numId="90" w16cid:durableId="1646544425">
    <w:abstractNumId w:val="4"/>
  </w:num>
  <w:num w:numId="91" w16cid:durableId="12652457">
    <w:abstractNumId w:val="5"/>
  </w:num>
  <w:num w:numId="92" w16cid:durableId="908810360">
    <w:abstractNumId w:val="6"/>
  </w:num>
  <w:num w:numId="93" w16cid:durableId="1940523572">
    <w:abstractNumId w:val="7"/>
  </w:num>
  <w:num w:numId="94" w16cid:durableId="1293632248">
    <w:abstractNumId w:val="9"/>
  </w:num>
  <w:num w:numId="95" w16cid:durableId="411901022">
    <w:abstractNumId w:val="0"/>
  </w:num>
  <w:num w:numId="96" w16cid:durableId="788857768">
    <w:abstractNumId w:val="1"/>
  </w:num>
  <w:num w:numId="97" w16cid:durableId="1688364438">
    <w:abstractNumId w:val="2"/>
  </w:num>
  <w:num w:numId="98" w16cid:durableId="633021221">
    <w:abstractNumId w:val="3"/>
  </w:num>
  <w:num w:numId="99" w16cid:durableId="2136408500">
    <w:abstractNumId w:val="8"/>
  </w:num>
  <w:num w:numId="100" w16cid:durableId="2138452509">
    <w:abstractNumId w:val="4"/>
  </w:num>
  <w:num w:numId="101" w16cid:durableId="1350137376">
    <w:abstractNumId w:val="5"/>
  </w:num>
  <w:num w:numId="102" w16cid:durableId="1640498353">
    <w:abstractNumId w:val="6"/>
  </w:num>
  <w:num w:numId="103" w16cid:durableId="713427537">
    <w:abstractNumId w:val="7"/>
  </w:num>
  <w:num w:numId="104" w16cid:durableId="503937644">
    <w:abstractNumId w:val="9"/>
  </w:num>
  <w:num w:numId="105" w16cid:durableId="635260457">
    <w:abstractNumId w:val="0"/>
  </w:num>
  <w:num w:numId="106" w16cid:durableId="883832953">
    <w:abstractNumId w:val="1"/>
  </w:num>
  <w:num w:numId="107" w16cid:durableId="892810194">
    <w:abstractNumId w:val="2"/>
  </w:num>
  <w:num w:numId="108" w16cid:durableId="425273263">
    <w:abstractNumId w:val="3"/>
  </w:num>
  <w:num w:numId="109" w16cid:durableId="1377897470">
    <w:abstractNumId w:val="8"/>
  </w:num>
  <w:num w:numId="110" w16cid:durableId="1455127708">
    <w:abstractNumId w:val="4"/>
  </w:num>
  <w:num w:numId="111" w16cid:durableId="143208756">
    <w:abstractNumId w:val="5"/>
  </w:num>
  <w:num w:numId="112" w16cid:durableId="131682765">
    <w:abstractNumId w:val="6"/>
  </w:num>
  <w:num w:numId="113" w16cid:durableId="469371336">
    <w:abstractNumId w:val="7"/>
  </w:num>
  <w:num w:numId="114" w16cid:durableId="946618006">
    <w:abstractNumId w:val="9"/>
  </w:num>
  <w:num w:numId="115" w16cid:durableId="837577598">
    <w:abstractNumId w:val="12"/>
  </w:num>
  <w:num w:numId="116" w16cid:durableId="1072972038">
    <w:abstractNumId w:val="0"/>
  </w:num>
  <w:num w:numId="117" w16cid:durableId="1417943449">
    <w:abstractNumId w:val="1"/>
  </w:num>
  <w:num w:numId="118" w16cid:durableId="380717874">
    <w:abstractNumId w:val="2"/>
  </w:num>
  <w:num w:numId="119" w16cid:durableId="914122916">
    <w:abstractNumId w:val="3"/>
  </w:num>
  <w:num w:numId="120" w16cid:durableId="898173951">
    <w:abstractNumId w:val="8"/>
  </w:num>
  <w:num w:numId="121" w16cid:durableId="1015381568">
    <w:abstractNumId w:val="4"/>
  </w:num>
  <w:num w:numId="122" w16cid:durableId="957226814">
    <w:abstractNumId w:val="5"/>
  </w:num>
  <w:num w:numId="123" w16cid:durableId="1064183538">
    <w:abstractNumId w:val="6"/>
  </w:num>
  <w:num w:numId="124" w16cid:durableId="1863518019">
    <w:abstractNumId w:val="7"/>
  </w:num>
  <w:num w:numId="125" w16cid:durableId="896354350">
    <w:abstractNumId w:val="9"/>
  </w:num>
  <w:num w:numId="126" w16cid:durableId="346561802">
    <w:abstractNumId w:val="0"/>
  </w:num>
  <w:num w:numId="127" w16cid:durableId="1378240134">
    <w:abstractNumId w:val="1"/>
  </w:num>
  <w:num w:numId="128" w16cid:durableId="910845445">
    <w:abstractNumId w:val="2"/>
  </w:num>
  <w:num w:numId="129" w16cid:durableId="392777734">
    <w:abstractNumId w:val="3"/>
  </w:num>
  <w:num w:numId="130" w16cid:durableId="147525252">
    <w:abstractNumId w:val="8"/>
  </w:num>
  <w:num w:numId="131" w16cid:durableId="337080961">
    <w:abstractNumId w:val="4"/>
  </w:num>
  <w:num w:numId="132" w16cid:durableId="208733404">
    <w:abstractNumId w:val="5"/>
  </w:num>
  <w:num w:numId="133" w16cid:durableId="1964801929">
    <w:abstractNumId w:val="6"/>
  </w:num>
  <w:num w:numId="134" w16cid:durableId="1439175672">
    <w:abstractNumId w:val="7"/>
  </w:num>
  <w:num w:numId="135" w16cid:durableId="1949773172">
    <w:abstractNumId w:val="9"/>
  </w:num>
  <w:num w:numId="136" w16cid:durableId="495388094">
    <w:abstractNumId w:val="0"/>
  </w:num>
  <w:num w:numId="137" w16cid:durableId="763300344">
    <w:abstractNumId w:val="1"/>
  </w:num>
  <w:num w:numId="138" w16cid:durableId="1386295300">
    <w:abstractNumId w:val="2"/>
  </w:num>
  <w:num w:numId="139" w16cid:durableId="1385373258">
    <w:abstractNumId w:val="3"/>
  </w:num>
  <w:num w:numId="140" w16cid:durableId="733964807">
    <w:abstractNumId w:val="8"/>
  </w:num>
  <w:num w:numId="141" w16cid:durableId="1219783782">
    <w:abstractNumId w:val="4"/>
  </w:num>
  <w:num w:numId="142" w16cid:durableId="152727020">
    <w:abstractNumId w:val="5"/>
  </w:num>
  <w:num w:numId="143" w16cid:durableId="2016692119">
    <w:abstractNumId w:val="6"/>
  </w:num>
  <w:num w:numId="144" w16cid:durableId="1552838189">
    <w:abstractNumId w:val="7"/>
  </w:num>
  <w:num w:numId="145" w16cid:durableId="1714186746">
    <w:abstractNumId w:val="9"/>
  </w:num>
  <w:num w:numId="146" w16cid:durableId="1000891933">
    <w:abstractNumId w:val="0"/>
  </w:num>
  <w:num w:numId="147" w16cid:durableId="1066607933">
    <w:abstractNumId w:val="1"/>
  </w:num>
  <w:num w:numId="148" w16cid:durableId="1685596223">
    <w:abstractNumId w:val="2"/>
  </w:num>
  <w:num w:numId="149" w16cid:durableId="1374189944">
    <w:abstractNumId w:val="3"/>
  </w:num>
  <w:num w:numId="150" w16cid:durableId="331374546">
    <w:abstractNumId w:val="8"/>
  </w:num>
  <w:num w:numId="151" w16cid:durableId="1531798638">
    <w:abstractNumId w:val="4"/>
  </w:num>
  <w:num w:numId="152" w16cid:durableId="523372088">
    <w:abstractNumId w:val="5"/>
  </w:num>
  <w:num w:numId="153" w16cid:durableId="741949603">
    <w:abstractNumId w:val="6"/>
  </w:num>
  <w:num w:numId="154" w16cid:durableId="1145583811">
    <w:abstractNumId w:val="7"/>
  </w:num>
  <w:num w:numId="155" w16cid:durableId="837769034">
    <w:abstractNumId w:val="9"/>
  </w:num>
  <w:num w:numId="156" w16cid:durableId="1057624621">
    <w:abstractNumId w:val="0"/>
  </w:num>
  <w:num w:numId="157" w16cid:durableId="1514608751">
    <w:abstractNumId w:val="1"/>
  </w:num>
  <w:num w:numId="158" w16cid:durableId="1481312050">
    <w:abstractNumId w:val="2"/>
  </w:num>
  <w:num w:numId="159" w16cid:durableId="1846050256">
    <w:abstractNumId w:val="3"/>
  </w:num>
  <w:num w:numId="160" w16cid:durableId="1436831028">
    <w:abstractNumId w:val="8"/>
  </w:num>
  <w:num w:numId="161" w16cid:durableId="682783231">
    <w:abstractNumId w:val="4"/>
  </w:num>
  <w:num w:numId="162" w16cid:durableId="1289118299">
    <w:abstractNumId w:val="5"/>
  </w:num>
  <w:num w:numId="163" w16cid:durableId="1928726136">
    <w:abstractNumId w:val="6"/>
  </w:num>
  <w:num w:numId="164" w16cid:durableId="1431052180">
    <w:abstractNumId w:val="7"/>
  </w:num>
  <w:num w:numId="165" w16cid:durableId="691804497">
    <w:abstractNumId w:val="9"/>
  </w:num>
  <w:num w:numId="166" w16cid:durableId="1349060671">
    <w:abstractNumId w:val="0"/>
  </w:num>
  <w:num w:numId="167" w16cid:durableId="1022780592">
    <w:abstractNumId w:val="1"/>
  </w:num>
  <w:num w:numId="168" w16cid:durableId="1265764317">
    <w:abstractNumId w:val="2"/>
  </w:num>
  <w:num w:numId="169" w16cid:durableId="252128459">
    <w:abstractNumId w:val="3"/>
  </w:num>
  <w:num w:numId="170" w16cid:durableId="1558668167">
    <w:abstractNumId w:val="8"/>
  </w:num>
  <w:num w:numId="171" w16cid:durableId="1754930727">
    <w:abstractNumId w:val="4"/>
  </w:num>
  <w:num w:numId="172" w16cid:durableId="239415715">
    <w:abstractNumId w:val="5"/>
  </w:num>
  <w:num w:numId="173" w16cid:durableId="613437788">
    <w:abstractNumId w:val="6"/>
  </w:num>
  <w:num w:numId="174" w16cid:durableId="1224365032">
    <w:abstractNumId w:val="7"/>
  </w:num>
  <w:num w:numId="175" w16cid:durableId="1420638008">
    <w:abstractNumId w:val="9"/>
  </w:num>
  <w:num w:numId="176" w16cid:durableId="1108083860">
    <w:abstractNumId w:val="0"/>
  </w:num>
  <w:num w:numId="177" w16cid:durableId="136072695">
    <w:abstractNumId w:val="1"/>
  </w:num>
  <w:num w:numId="178" w16cid:durableId="1915356836">
    <w:abstractNumId w:val="2"/>
  </w:num>
  <w:num w:numId="179" w16cid:durableId="456992663">
    <w:abstractNumId w:val="3"/>
  </w:num>
  <w:num w:numId="180" w16cid:durableId="1780220501">
    <w:abstractNumId w:val="8"/>
  </w:num>
  <w:num w:numId="181" w16cid:durableId="1457065639">
    <w:abstractNumId w:val="4"/>
  </w:num>
  <w:num w:numId="182" w16cid:durableId="182940914">
    <w:abstractNumId w:val="5"/>
  </w:num>
  <w:num w:numId="183" w16cid:durableId="793061498">
    <w:abstractNumId w:val="6"/>
  </w:num>
  <w:num w:numId="184" w16cid:durableId="1264342899">
    <w:abstractNumId w:val="7"/>
  </w:num>
  <w:num w:numId="185" w16cid:durableId="263420206">
    <w:abstractNumId w:val="9"/>
  </w:num>
  <w:num w:numId="186" w16cid:durableId="171380944">
    <w:abstractNumId w:val="0"/>
  </w:num>
  <w:num w:numId="187" w16cid:durableId="800654295">
    <w:abstractNumId w:val="1"/>
  </w:num>
  <w:num w:numId="188" w16cid:durableId="113211519">
    <w:abstractNumId w:val="2"/>
  </w:num>
  <w:num w:numId="189" w16cid:durableId="233393678">
    <w:abstractNumId w:val="3"/>
  </w:num>
  <w:num w:numId="190" w16cid:durableId="1961642510">
    <w:abstractNumId w:val="8"/>
  </w:num>
  <w:num w:numId="191" w16cid:durableId="295262110">
    <w:abstractNumId w:val="4"/>
  </w:num>
  <w:num w:numId="192" w16cid:durableId="820851743">
    <w:abstractNumId w:val="5"/>
  </w:num>
  <w:num w:numId="193" w16cid:durableId="605775918">
    <w:abstractNumId w:val="6"/>
  </w:num>
  <w:num w:numId="194" w16cid:durableId="21248608">
    <w:abstractNumId w:val="7"/>
  </w:num>
  <w:num w:numId="195" w16cid:durableId="1258323682">
    <w:abstractNumId w:val="9"/>
  </w:num>
  <w:num w:numId="196" w16cid:durableId="1829201654">
    <w:abstractNumId w:val="0"/>
  </w:num>
  <w:num w:numId="197" w16cid:durableId="374426818">
    <w:abstractNumId w:val="1"/>
  </w:num>
  <w:num w:numId="198" w16cid:durableId="1881435591">
    <w:abstractNumId w:val="2"/>
  </w:num>
  <w:num w:numId="199" w16cid:durableId="845632221">
    <w:abstractNumId w:val="3"/>
  </w:num>
  <w:num w:numId="200" w16cid:durableId="1517309279">
    <w:abstractNumId w:val="8"/>
  </w:num>
  <w:num w:numId="201" w16cid:durableId="1155217248">
    <w:abstractNumId w:val="4"/>
  </w:num>
  <w:num w:numId="202" w16cid:durableId="2011518463">
    <w:abstractNumId w:val="5"/>
  </w:num>
  <w:num w:numId="203" w16cid:durableId="1960798408">
    <w:abstractNumId w:val="6"/>
  </w:num>
  <w:num w:numId="204" w16cid:durableId="1426072068">
    <w:abstractNumId w:val="7"/>
  </w:num>
  <w:num w:numId="205" w16cid:durableId="890966276">
    <w:abstractNumId w:val="9"/>
  </w:num>
  <w:num w:numId="206" w16cid:durableId="645859543">
    <w:abstractNumId w:val="0"/>
  </w:num>
  <w:num w:numId="207" w16cid:durableId="1693919397">
    <w:abstractNumId w:val="1"/>
  </w:num>
  <w:num w:numId="208" w16cid:durableId="1234506822">
    <w:abstractNumId w:val="2"/>
  </w:num>
  <w:num w:numId="209" w16cid:durableId="438180170">
    <w:abstractNumId w:val="3"/>
  </w:num>
  <w:num w:numId="210" w16cid:durableId="146554395">
    <w:abstractNumId w:val="8"/>
  </w:num>
  <w:num w:numId="211" w16cid:durableId="294524232">
    <w:abstractNumId w:val="4"/>
  </w:num>
  <w:num w:numId="212" w16cid:durableId="531193150">
    <w:abstractNumId w:val="5"/>
  </w:num>
  <w:num w:numId="213" w16cid:durableId="806552754">
    <w:abstractNumId w:val="6"/>
  </w:num>
  <w:num w:numId="214" w16cid:durableId="353769669">
    <w:abstractNumId w:val="7"/>
  </w:num>
  <w:num w:numId="215" w16cid:durableId="1313175618">
    <w:abstractNumId w:val="9"/>
  </w:num>
  <w:num w:numId="216" w16cid:durableId="146823228">
    <w:abstractNumId w:val="0"/>
  </w:num>
  <w:num w:numId="217" w16cid:durableId="1382436993">
    <w:abstractNumId w:val="1"/>
  </w:num>
  <w:num w:numId="218" w16cid:durableId="1732463266">
    <w:abstractNumId w:val="2"/>
  </w:num>
  <w:num w:numId="219" w16cid:durableId="2075661569">
    <w:abstractNumId w:val="3"/>
  </w:num>
  <w:num w:numId="220" w16cid:durableId="656886470">
    <w:abstractNumId w:val="8"/>
  </w:num>
  <w:num w:numId="221" w16cid:durableId="1246262263">
    <w:abstractNumId w:val="4"/>
  </w:num>
  <w:num w:numId="222" w16cid:durableId="888222162">
    <w:abstractNumId w:val="5"/>
  </w:num>
  <w:num w:numId="223" w16cid:durableId="966855563">
    <w:abstractNumId w:val="6"/>
  </w:num>
  <w:num w:numId="224" w16cid:durableId="172959859">
    <w:abstractNumId w:val="7"/>
  </w:num>
  <w:num w:numId="225" w16cid:durableId="1613441046">
    <w:abstractNumId w:val="9"/>
  </w:num>
  <w:num w:numId="226" w16cid:durableId="768811549">
    <w:abstractNumId w:val="0"/>
  </w:num>
  <w:num w:numId="227" w16cid:durableId="1153722262">
    <w:abstractNumId w:val="1"/>
  </w:num>
  <w:num w:numId="228" w16cid:durableId="1286809660">
    <w:abstractNumId w:val="2"/>
  </w:num>
  <w:num w:numId="229" w16cid:durableId="148792157">
    <w:abstractNumId w:val="3"/>
  </w:num>
  <w:num w:numId="230" w16cid:durableId="856307069">
    <w:abstractNumId w:val="8"/>
  </w:num>
  <w:num w:numId="231" w16cid:durableId="1102334906">
    <w:abstractNumId w:val="4"/>
  </w:num>
  <w:num w:numId="232" w16cid:durableId="753938983">
    <w:abstractNumId w:val="5"/>
  </w:num>
  <w:num w:numId="233" w16cid:durableId="573049800">
    <w:abstractNumId w:val="6"/>
  </w:num>
  <w:num w:numId="234" w16cid:durableId="1804081141">
    <w:abstractNumId w:val="7"/>
  </w:num>
  <w:num w:numId="235" w16cid:durableId="1009524517">
    <w:abstractNumId w:val="9"/>
  </w:num>
  <w:num w:numId="236" w16cid:durableId="164129802">
    <w:abstractNumId w:val="0"/>
  </w:num>
  <w:num w:numId="237" w16cid:durableId="1646398592">
    <w:abstractNumId w:val="1"/>
  </w:num>
  <w:num w:numId="238" w16cid:durableId="1342972931">
    <w:abstractNumId w:val="2"/>
  </w:num>
  <w:num w:numId="239" w16cid:durableId="623389327">
    <w:abstractNumId w:val="3"/>
  </w:num>
  <w:num w:numId="240" w16cid:durableId="768086462">
    <w:abstractNumId w:val="8"/>
  </w:num>
  <w:num w:numId="241" w16cid:durableId="66849734">
    <w:abstractNumId w:val="4"/>
  </w:num>
  <w:num w:numId="242" w16cid:durableId="1718355621">
    <w:abstractNumId w:val="5"/>
  </w:num>
  <w:num w:numId="243" w16cid:durableId="1759592636">
    <w:abstractNumId w:val="6"/>
  </w:num>
  <w:num w:numId="244" w16cid:durableId="402871920">
    <w:abstractNumId w:val="7"/>
  </w:num>
  <w:num w:numId="245" w16cid:durableId="1501116749">
    <w:abstractNumId w:val="9"/>
  </w:num>
  <w:num w:numId="246" w16cid:durableId="269706475">
    <w:abstractNumId w:val="0"/>
  </w:num>
  <w:num w:numId="247" w16cid:durableId="2090610819">
    <w:abstractNumId w:val="1"/>
  </w:num>
  <w:num w:numId="248" w16cid:durableId="1407024179">
    <w:abstractNumId w:val="2"/>
  </w:num>
  <w:num w:numId="249" w16cid:durableId="1804956987">
    <w:abstractNumId w:val="3"/>
  </w:num>
  <w:num w:numId="250" w16cid:durableId="1955549222">
    <w:abstractNumId w:val="8"/>
  </w:num>
  <w:num w:numId="251" w16cid:durableId="1914311026">
    <w:abstractNumId w:val="4"/>
  </w:num>
  <w:num w:numId="252" w16cid:durableId="1687705870">
    <w:abstractNumId w:val="5"/>
  </w:num>
  <w:num w:numId="253" w16cid:durableId="1706174800">
    <w:abstractNumId w:val="6"/>
  </w:num>
  <w:num w:numId="254" w16cid:durableId="1447190243">
    <w:abstractNumId w:val="7"/>
  </w:num>
  <w:num w:numId="255" w16cid:durableId="1117598649">
    <w:abstractNumId w:val="9"/>
  </w:num>
  <w:num w:numId="256" w16cid:durableId="721027807">
    <w:abstractNumId w:val="0"/>
  </w:num>
  <w:num w:numId="257" w16cid:durableId="516313134">
    <w:abstractNumId w:val="1"/>
  </w:num>
  <w:num w:numId="258" w16cid:durableId="739523843">
    <w:abstractNumId w:val="2"/>
  </w:num>
  <w:num w:numId="259" w16cid:durableId="297414458">
    <w:abstractNumId w:val="3"/>
  </w:num>
  <w:num w:numId="260" w16cid:durableId="1606113721">
    <w:abstractNumId w:val="8"/>
  </w:num>
  <w:num w:numId="261" w16cid:durableId="205601387">
    <w:abstractNumId w:val="4"/>
  </w:num>
  <w:num w:numId="262" w16cid:durableId="1859544780">
    <w:abstractNumId w:val="5"/>
  </w:num>
  <w:num w:numId="263" w16cid:durableId="1941797371">
    <w:abstractNumId w:val="6"/>
  </w:num>
  <w:num w:numId="264" w16cid:durableId="1158569797">
    <w:abstractNumId w:val="7"/>
  </w:num>
  <w:num w:numId="265" w16cid:durableId="1181166498">
    <w:abstractNumId w:val="9"/>
  </w:num>
  <w:num w:numId="266" w16cid:durableId="1516842432">
    <w:abstractNumId w:val="0"/>
  </w:num>
  <w:num w:numId="267" w16cid:durableId="471364938">
    <w:abstractNumId w:val="1"/>
  </w:num>
  <w:num w:numId="268" w16cid:durableId="982349148">
    <w:abstractNumId w:val="2"/>
  </w:num>
  <w:num w:numId="269" w16cid:durableId="567688497">
    <w:abstractNumId w:val="3"/>
  </w:num>
  <w:num w:numId="270" w16cid:durableId="967589838">
    <w:abstractNumId w:val="8"/>
  </w:num>
  <w:num w:numId="271" w16cid:durableId="1159537633">
    <w:abstractNumId w:val="4"/>
  </w:num>
  <w:num w:numId="272" w16cid:durableId="414059205">
    <w:abstractNumId w:val="5"/>
  </w:num>
  <w:num w:numId="273" w16cid:durableId="949245979">
    <w:abstractNumId w:val="6"/>
  </w:num>
  <w:num w:numId="274" w16cid:durableId="1508641240">
    <w:abstractNumId w:val="7"/>
  </w:num>
  <w:num w:numId="275" w16cid:durableId="1110515311">
    <w:abstractNumId w:val="9"/>
  </w:num>
  <w:num w:numId="276" w16cid:durableId="1405255078">
    <w:abstractNumId w:val="0"/>
  </w:num>
  <w:num w:numId="277" w16cid:durableId="2024164769">
    <w:abstractNumId w:val="1"/>
  </w:num>
  <w:num w:numId="278" w16cid:durableId="1871187096">
    <w:abstractNumId w:val="2"/>
  </w:num>
  <w:num w:numId="279" w16cid:durableId="1686396070">
    <w:abstractNumId w:val="3"/>
  </w:num>
  <w:num w:numId="280" w16cid:durableId="184903020">
    <w:abstractNumId w:val="8"/>
  </w:num>
  <w:num w:numId="281" w16cid:durableId="317850930">
    <w:abstractNumId w:val="4"/>
  </w:num>
  <w:num w:numId="282" w16cid:durableId="500319937">
    <w:abstractNumId w:val="5"/>
  </w:num>
  <w:num w:numId="283" w16cid:durableId="563879900">
    <w:abstractNumId w:val="6"/>
  </w:num>
  <w:num w:numId="284" w16cid:durableId="1256548820">
    <w:abstractNumId w:val="7"/>
  </w:num>
  <w:num w:numId="285" w16cid:durableId="468086556">
    <w:abstractNumId w:val="9"/>
  </w:num>
  <w:num w:numId="286" w16cid:durableId="693845733">
    <w:abstractNumId w:val="0"/>
  </w:num>
  <w:num w:numId="287" w16cid:durableId="276956981">
    <w:abstractNumId w:val="1"/>
  </w:num>
  <w:num w:numId="288" w16cid:durableId="1234661130">
    <w:abstractNumId w:val="2"/>
  </w:num>
  <w:num w:numId="289" w16cid:durableId="2039548833">
    <w:abstractNumId w:val="3"/>
  </w:num>
  <w:num w:numId="290" w16cid:durableId="1497960356">
    <w:abstractNumId w:val="8"/>
  </w:num>
  <w:num w:numId="291" w16cid:durableId="1795562755">
    <w:abstractNumId w:val="4"/>
  </w:num>
  <w:num w:numId="292" w16cid:durableId="1763142028">
    <w:abstractNumId w:val="5"/>
  </w:num>
  <w:num w:numId="293" w16cid:durableId="617836053">
    <w:abstractNumId w:val="6"/>
  </w:num>
  <w:num w:numId="294" w16cid:durableId="677466699">
    <w:abstractNumId w:val="7"/>
  </w:num>
  <w:num w:numId="295" w16cid:durableId="411704873">
    <w:abstractNumId w:val="9"/>
  </w:num>
  <w:num w:numId="296" w16cid:durableId="823277101">
    <w:abstractNumId w:val="0"/>
  </w:num>
  <w:num w:numId="297" w16cid:durableId="1521117204">
    <w:abstractNumId w:val="1"/>
  </w:num>
  <w:num w:numId="298" w16cid:durableId="1198084656">
    <w:abstractNumId w:val="2"/>
  </w:num>
  <w:num w:numId="299" w16cid:durableId="1436318620">
    <w:abstractNumId w:val="3"/>
  </w:num>
  <w:num w:numId="300" w16cid:durableId="1680039772">
    <w:abstractNumId w:val="8"/>
  </w:num>
  <w:num w:numId="301" w16cid:durableId="968437824">
    <w:abstractNumId w:val="4"/>
  </w:num>
  <w:num w:numId="302" w16cid:durableId="1461459414">
    <w:abstractNumId w:val="5"/>
  </w:num>
  <w:num w:numId="303" w16cid:durableId="2119176209">
    <w:abstractNumId w:val="6"/>
  </w:num>
  <w:num w:numId="304" w16cid:durableId="771634567">
    <w:abstractNumId w:val="7"/>
  </w:num>
  <w:num w:numId="305" w16cid:durableId="441341025">
    <w:abstractNumId w:val="9"/>
  </w:num>
  <w:num w:numId="306" w16cid:durableId="716658676">
    <w:abstractNumId w:val="0"/>
  </w:num>
  <w:num w:numId="307" w16cid:durableId="1779179250">
    <w:abstractNumId w:val="1"/>
  </w:num>
  <w:num w:numId="308" w16cid:durableId="2114010194">
    <w:abstractNumId w:val="2"/>
  </w:num>
  <w:num w:numId="309" w16cid:durableId="2134865960">
    <w:abstractNumId w:val="3"/>
  </w:num>
  <w:num w:numId="310" w16cid:durableId="1285498406">
    <w:abstractNumId w:val="8"/>
  </w:num>
  <w:num w:numId="311" w16cid:durableId="240024430">
    <w:abstractNumId w:val="4"/>
  </w:num>
  <w:num w:numId="312" w16cid:durableId="1624462897">
    <w:abstractNumId w:val="5"/>
  </w:num>
  <w:num w:numId="313" w16cid:durableId="368724880">
    <w:abstractNumId w:val="6"/>
  </w:num>
  <w:num w:numId="314" w16cid:durableId="2101019743">
    <w:abstractNumId w:val="7"/>
  </w:num>
  <w:num w:numId="315" w16cid:durableId="1671254926">
    <w:abstractNumId w:val="9"/>
  </w:num>
  <w:num w:numId="316" w16cid:durableId="825323943">
    <w:abstractNumId w:val="0"/>
  </w:num>
  <w:num w:numId="317" w16cid:durableId="2144422409">
    <w:abstractNumId w:val="1"/>
  </w:num>
  <w:num w:numId="318" w16cid:durableId="1363239323">
    <w:abstractNumId w:val="2"/>
  </w:num>
  <w:num w:numId="319" w16cid:durableId="1350450369">
    <w:abstractNumId w:val="3"/>
  </w:num>
  <w:num w:numId="320" w16cid:durableId="191496712">
    <w:abstractNumId w:val="8"/>
  </w:num>
  <w:num w:numId="321" w16cid:durableId="1551108487">
    <w:abstractNumId w:val="4"/>
  </w:num>
  <w:num w:numId="322" w16cid:durableId="1963615040">
    <w:abstractNumId w:val="5"/>
  </w:num>
  <w:num w:numId="323" w16cid:durableId="1608350554">
    <w:abstractNumId w:val="6"/>
  </w:num>
  <w:num w:numId="324" w16cid:durableId="848636081">
    <w:abstractNumId w:val="7"/>
  </w:num>
  <w:num w:numId="325" w16cid:durableId="1748260047">
    <w:abstractNumId w:val="9"/>
  </w:num>
  <w:num w:numId="326" w16cid:durableId="1914391109">
    <w:abstractNumId w:val="0"/>
  </w:num>
  <w:num w:numId="327" w16cid:durableId="783769121">
    <w:abstractNumId w:val="1"/>
  </w:num>
  <w:num w:numId="328" w16cid:durableId="419103096">
    <w:abstractNumId w:val="2"/>
  </w:num>
  <w:num w:numId="329" w16cid:durableId="1033188466">
    <w:abstractNumId w:val="3"/>
  </w:num>
  <w:num w:numId="330" w16cid:durableId="1240865382">
    <w:abstractNumId w:val="8"/>
  </w:num>
  <w:num w:numId="331" w16cid:durableId="1630432936">
    <w:abstractNumId w:val="4"/>
  </w:num>
  <w:num w:numId="332" w16cid:durableId="380371310">
    <w:abstractNumId w:val="5"/>
  </w:num>
  <w:num w:numId="333" w16cid:durableId="451480074">
    <w:abstractNumId w:val="6"/>
  </w:num>
  <w:num w:numId="334" w16cid:durableId="484129138">
    <w:abstractNumId w:val="7"/>
  </w:num>
  <w:num w:numId="335" w16cid:durableId="118038262">
    <w:abstractNumId w:val="9"/>
  </w:num>
  <w:num w:numId="336" w16cid:durableId="1914393799">
    <w:abstractNumId w:val="0"/>
  </w:num>
  <w:num w:numId="337" w16cid:durableId="788553942">
    <w:abstractNumId w:val="1"/>
  </w:num>
  <w:num w:numId="338" w16cid:durableId="1362777335">
    <w:abstractNumId w:val="2"/>
  </w:num>
  <w:num w:numId="339" w16cid:durableId="906182903">
    <w:abstractNumId w:val="3"/>
  </w:num>
  <w:num w:numId="340" w16cid:durableId="1193880377">
    <w:abstractNumId w:val="8"/>
  </w:num>
  <w:num w:numId="341" w16cid:durableId="944771374">
    <w:abstractNumId w:val="4"/>
  </w:num>
  <w:num w:numId="342" w16cid:durableId="608970584">
    <w:abstractNumId w:val="5"/>
  </w:num>
  <w:num w:numId="343" w16cid:durableId="961034468">
    <w:abstractNumId w:val="6"/>
  </w:num>
  <w:num w:numId="344" w16cid:durableId="2128888727">
    <w:abstractNumId w:val="7"/>
  </w:num>
  <w:num w:numId="345" w16cid:durableId="936140303">
    <w:abstractNumId w:val="9"/>
  </w:num>
  <w:num w:numId="346" w16cid:durableId="1756170279">
    <w:abstractNumId w:val="0"/>
  </w:num>
  <w:num w:numId="347" w16cid:durableId="2078042900">
    <w:abstractNumId w:val="1"/>
  </w:num>
  <w:num w:numId="348" w16cid:durableId="1749961264">
    <w:abstractNumId w:val="2"/>
  </w:num>
  <w:num w:numId="349" w16cid:durableId="1977712146">
    <w:abstractNumId w:val="3"/>
  </w:num>
  <w:num w:numId="350" w16cid:durableId="1164007283">
    <w:abstractNumId w:val="8"/>
  </w:num>
  <w:num w:numId="351" w16cid:durableId="275135676">
    <w:abstractNumId w:val="4"/>
  </w:num>
  <w:num w:numId="352" w16cid:durableId="1953979334">
    <w:abstractNumId w:val="5"/>
  </w:num>
  <w:num w:numId="353" w16cid:durableId="931737294">
    <w:abstractNumId w:val="6"/>
  </w:num>
  <w:num w:numId="354" w16cid:durableId="1725986368">
    <w:abstractNumId w:val="7"/>
  </w:num>
  <w:num w:numId="355" w16cid:durableId="184908788">
    <w:abstractNumId w:val="9"/>
  </w:num>
  <w:num w:numId="356" w16cid:durableId="986711969">
    <w:abstractNumId w:val="0"/>
  </w:num>
  <w:num w:numId="357" w16cid:durableId="650787697">
    <w:abstractNumId w:val="1"/>
  </w:num>
  <w:num w:numId="358" w16cid:durableId="152986197">
    <w:abstractNumId w:val="2"/>
  </w:num>
  <w:num w:numId="359" w16cid:durableId="61415910">
    <w:abstractNumId w:val="3"/>
  </w:num>
  <w:num w:numId="360" w16cid:durableId="1502046444">
    <w:abstractNumId w:val="8"/>
  </w:num>
  <w:num w:numId="361" w16cid:durableId="1434935900">
    <w:abstractNumId w:val="4"/>
  </w:num>
  <w:num w:numId="362" w16cid:durableId="482741965">
    <w:abstractNumId w:val="5"/>
  </w:num>
  <w:num w:numId="363" w16cid:durableId="1355034557">
    <w:abstractNumId w:val="6"/>
  </w:num>
  <w:num w:numId="364" w16cid:durableId="814564680">
    <w:abstractNumId w:val="7"/>
  </w:num>
  <w:num w:numId="365" w16cid:durableId="708922276">
    <w:abstractNumId w:val="9"/>
  </w:num>
  <w:num w:numId="366" w16cid:durableId="1698508305">
    <w:abstractNumId w:val="0"/>
  </w:num>
  <w:num w:numId="367" w16cid:durableId="1684673883">
    <w:abstractNumId w:val="1"/>
  </w:num>
  <w:num w:numId="368" w16cid:durableId="840237655">
    <w:abstractNumId w:val="2"/>
  </w:num>
  <w:num w:numId="369" w16cid:durableId="1547335388">
    <w:abstractNumId w:val="3"/>
  </w:num>
  <w:num w:numId="370" w16cid:durableId="1129009546">
    <w:abstractNumId w:val="8"/>
  </w:num>
  <w:num w:numId="371" w16cid:durableId="2139637761">
    <w:abstractNumId w:val="4"/>
  </w:num>
  <w:num w:numId="372" w16cid:durableId="507914560">
    <w:abstractNumId w:val="5"/>
  </w:num>
  <w:num w:numId="373" w16cid:durableId="498037807">
    <w:abstractNumId w:val="6"/>
  </w:num>
  <w:num w:numId="374" w16cid:durableId="805514133">
    <w:abstractNumId w:val="7"/>
  </w:num>
  <w:num w:numId="375" w16cid:durableId="89086006">
    <w:abstractNumId w:val="9"/>
  </w:num>
  <w:num w:numId="376" w16cid:durableId="1178537857">
    <w:abstractNumId w:val="0"/>
  </w:num>
  <w:num w:numId="377" w16cid:durableId="2034333808">
    <w:abstractNumId w:val="1"/>
  </w:num>
  <w:num w:numId="378" w16cid:durableId="1317034477">
    <w:abstractNumId w:val="2"/>
  </w:num>
  <w:num w:numId="379" w16cid:durableId="1340500914">
    <w:abstractNumId w:val="3"/>
  </w:num>
  <w:num w:numId="380" w16cid:durableId="1630086865">
    <w:abstractNumId w:val="8"/>
  </w:num>
  <w:num w:numId="381" w16cid:durableId="261685550">
    <w:abstractNumId w:val="4"/>
  </w:num>
  <w:num w:numId="382" w16cid:durableId="2086099650">
    <w:abstractNumId w:val="5"/>
  </w:num>
  <w:num w:numId="383" w16cid:durableId="233009175">
    <w:abstractNumId w:val="6"/>
  </w:num>
  <w:num w:numId="384" w16cid:durableId="395784125">
    <w:abstractNumId w:val="7"/>
  </w:num>
  <w:num w:numId="385" w16cid:durableId="1217744179">
    <w:abstractNumId w:val="9"/>
  </w:num>
  <w:num w:numId="386" w16cid:durableId="1042250251">
    <w:abstractNumId w:val="0"/>
  </w:num>
  <w:num w:numId="387" w16cid:durableId="2015722989">
    <w:abstractNumId w:val="1"/>
  </w:num>
  <w:num w:numId="388" w16cid:durableId="74329453">
    <w:abstractNumId w:val="2"/>
  </w:num>
  <w:num w:numId="389" w16cid:durableId="1756168490">
    <w:abstractNumId w:val="3"/>
  </w:num>
  <w:num w:numId="390" w16cid:durableId="1861972382">
    <w:abstractNumId w:val="8"/>
  </w:num>
  <w:num w:numId="391" w16cid:durableId="755320147">
    <w:abstractNumId w:val="4"/>
  </w:num>
  <w:num w:numId="392" w16cid:durableId="128398704">
    <w:abstractNumId w:val="5"/>
  </w:num>
  <w:num w:numId="393" w16cid:durableId="28379655">
    <w:abstractNumId w:val="6"/>
  </w:num>
  <w:num w:numId="394" w16cid:durableId="304627491">
    <w:abstractNumId w:val="7"/>
  </w:num>
  <w:num w:numId="395" w16cid:durableId="65421707">
    <w:abstractNumId w:val="9"/>
  </w:num>
  <w:num w:numId="396" w16cid:durableId="1121339314">
    <w:abstractNumId w:val="0"/>
  </w:num>
  <w:num w:numId="397" w16cid:durableId="1356810869">
    <w:abstractNumId w:val="1"/>
  </w:num>
  <w:num w:numId="398" w16cid:durableId="1202209757">
    <w:abstractNumId w:val="2"/>
  </w:num>
  <w:num w:numId="399" w16cid:durableId="2117014863">
    <w:abstractNumId w:val="3"/>
  </w:num>
  <w:num w:numId="400" w16cid:durableId="19862510">
    <w:abstractNumId w:val="8"/>
  </w:num>
  <w:num w:numId="401" w16cid:durableId="551430900">
    <w:abstractNumId w:val="4"/>
  </w:num>
  <w:num w:numId="402" w16cid:durableId="644555469">
    <w:abstractNumId w:val="5"/>
  </w:num>
  <w:num w:numId="403" w16cid:durableId="1434132490">
    <w:abstractNumId w:val="6"/>
  </w:num>
  <w:num w:numId="404" w16cid:durableId="416292927">
    <w:abstractNumId w:val="7"/>
  </w:num>
  <w:num w:numId="405" w16cid:durableId="576286901">
    <w:abstractNumId w:val="9"/>
  </w:num>
  <w:num w:numId="406" w16cid:durableId="654142353">
    <w:abstractNumId w:val="0"/>
  </w:num>
  <w:num w:numId="407" w16cid:durableId="1189559387">
    <w:abstractNumId w:val="1"/>
  </w:num>
  <w:num w:numId="408" w16cid:durableId="1524130144">
    <w:abstractNumId w:val="2"/>
  </w:num>
  <w:num w:numId="409" w16cid:durableId="1116100238">
    <w:abstractNumId w:val="3"/>
  </w:num>
  <w:num w:numId="410" w16cid:durableId="1836408206">
    <w:abstractNumId w:val="8"/>
  </w:num>
  <w:num w:numId="411" w16cid:durableId="1735354368">
    <w:abstractNumId w:val="4"/>
  </w:num>
  <w:num w:numId="412" w16cid:durableId="271133116">
    <w:abstractNumId w:val="5"/>
  </w:num>
  <w:num w:numId="413" w16cid:durableId="963345194">
    <w:abstractNumId w:val="6"/>
  </w:num>
  <w:num w:numId="414" w16cid:durableId="1116562360">
    <w:abstractNumId w:val="7"/>
  </w:num>
  <w:num w:numId="415" w16cid:durableId="1026638300">
    <w:abstractNumId w:val="9"/>
  </w:num>
  <w:num w:numId="416" w16cid:durableId="1336766810">
    <w:abstractNumId w:val="0"/>
  </w:num>
  <w:num w:numId="417" w16cid:durableId="1569414097">
    <w:abstractNumId w:val="1"/>
  </w:num>
  <w:num w:numId="418" w16cid:durableId="1820729663">
    <w:abstractNumId w:val="2"/>
  </w:num>
  <w:num w:numId="419" w16cid:durableId="2090736273">
    <w:abstractNumId w:val="3"/>
  </w:num>
  <w:num w:numId="420" w16cid:durableId="1267420060">
    <w:abstractNumId w:val="8"/>
  </w:num>
  <w:num w:numId="421" w16cid:durableId="276300084">
    <w:abstractNumId w:val="4"/>
  </w:num>
  <w:num w:numId="422" w16cid:durableId="1221213729">
    <w:abstractNumId w:val="5"/>
  </w:num>
  <w:num w:numId="423" w16cid:durableId="1452673096">
    <w:abstractNumId w:val="6"/>
  </w:num>
  <w:num w:numId="424" w16cid:durableId="918708385">
    <w:abstractNumId w:val="7"/>
  </w:num>
  <w:num w:numId="425" w16cid:durableId="1526018470">
    <w:abstractNumId w:val="9"/>
  </w:num>
  <w:num w:numId="426" w16cid:durableId="943339467">
    <w:abstractNumId w:val="0"/>
  </w:num>
  <w:num w:numId="427" w16cid:durableId="886650328">
    <w:abstractNumId w:val="1"/>
  </w:num>
  <w:num w:numId="428" w16cid:durableId="1034774612">
    <w:abstractNumId w:val="2"/>
  </w:num>
  <w:num w:numId="429" w16cid:durableId="796339920">
    <w:abstractNumId w:val="3"/>
  </w:num>
  <w:num w:numId="430" w16cid:durableId="1675062348">
    <w:abstractNumId w:val="8"/>
  </w:num>
  <w:num w:numId="431" w16cid:durableId="2065324985">
    <w:abstractNumId w:val="4"/>
  </w:num>
  <w:num w:numId="432" w16cid:durableId="1399788284">
    <w:abstractNumId w:val="5"/>
  </w:num>
  <w:num w:numId="433" w16cid:durableId="672143162">
    <w:abstractNumId w:val="6"/>
  </w:num>
  <w:num w:numId="434" w16cid:durableId="835269354">
    <w:abstractNumId w:val="7"/>
  </w:num>
  <w:num w:numId="435" w16cid:durableId="1495796217">
    <w:abstractNumId w:val="9"/>
  </w:num>
  <w:num w:numId="436" w16cid:durableId="1364945345">
    <w:abstractNumId w:val="0"/>
  </w:num>
  <w:num w:numId="437" w16cid:durableId="1116214998">
    <w:abstractNumId w:val="1"/>
  </w:num>
  <w:num w:numId="438" w16cid:durableId="863910072">
    <w:abstractNumId w:val="2"/>
  </w:num>
  <w:num w:numId="439" w16cid:durableId="1308315389">
    <w:abstractNumId w:val="3"/>
  </w:num>
  <w:num w:numId="440" w16cid:durableId="1563786938">
    <w:abstractNumId w:val="8"/>
  </w:num>
  <w:num w:numId="441" w16cid:durableId="312177600">
    <w:abstractNumId w:val="4"/>
  </w:num>
  <w:num w:numId="442" w16cid:durableId="1363633215">
    <w:abstractNumId w:val="5"/>
  </w:num>
  <w:num w:numId="443" w16cid:durableId="827523762">
    <w:abstractNumId w:val="6"/>
  </w:num>
  <w:num w:numId="444" w16cid:durableId="1193492156">
    <w:abstractNumId w:val="7"/>
  </w:num>
  <w:num w:numId="445" w16cid:durableId="320542062">
    <w:abstractNumId w:val="9"/>
  </w:num>
  <w:num w:numId="446" w16cid:durableId="788746500">
    <w:abstractNumId w:val="0"/>
  </w:num>
  <w:num w:numId="447" w16cid:durableId="562715502">
    <w:abstractNumId w:val="1"/>
  </w:num>
  <w:num w:numId="448" w16cid:durableId="783423023">
    <w:abstractNumId w:val="2"/>
  </w:num>
  <w:num w:numId="449" w16cid:durableId="410664312">
    <w:abstractNumId w:val="3"/>
  </w:num>
  <w:num w:numId="450" w16cid:durableId="1902665755">
    <w:abstractNumId w:val="8"/>
  </w:num>
  <w:num w:numId="451" w16cid:durableId="1513644797">
    <w:abstractNumId w:val="4"/>
  </w:num>
  <w:num w:numId="452" w16cid:durableId="1144275798">
    <w:abstractNumId w:val="5"/>
  </w:num>
  <w:num w:numId="453" w16cid:durableId="1835564793">
    <w:abstractNumId w:val="6"/>
  </w:num>
  <w:num w:numId="454" w16cid:durableId="953486402">
    <w:abstractNumId w:val="7"/>
  </w:num>
  <w:num w:numId="455" w16cid:durableId="572854139">
    <w:abstractNumId w:val="9"/>
  </w:num>
  <w:num w:numId="456" w16cid:durableId="468133944">
    <w:abstractNumId w:val="0"/>
  </w:num>
  <w:num w:numId="457" w16cid:durableId="554240989">
    <w:abstractNumId w:val="1"/>
  </w:num>
  <w:num w:numId="458" w16cid:durableId="864559765">
    <w:abstractNumId w:val="2"/>
  </w:num>
  <w:num w:numId="459" w16cid:durableId="212086263">
    <w:abstractNumId w:val="3"/>
  </w:num>
  <w:num w:numId="460" w16cid:durableId="985668111">
    <w:abstractNumId w:val="8"/>
  </w:num>
  <w:num w:numId="461" w16cid:durableId="351301785">
    <w:abstractNumId w:val="4"/>
  </w:num>
  <w:num w:numId="462" w16cid:durableId="362562376">
    <w:abstractNumId w:val="5"/>
  </w:num>
  <w:num w:numId="463" w16cid:durableId="1868131800">
    <w:abstractNumId w:val="6"/>
  </w:num>
  <w:num w:numId="464" w16cid:durableId="864710110">
    <w:abstractNumId w:val="7"/>
  </w:num>
  <w:num w:numId="465" w16cid:durableId="2014600108">
    <w:abstractNumId w:val="9"/>
  </w:num>
  <w:num w:numId="466" w16cid:durableId="473256056">
    <w:abstractNumId w:val="0"/>
  </w:num>
  <w:num w:numId="467" w16cid:durableId="1953588668">
    <w:abstractNumId w:val="1"/>
  </w:num>
  <w:num w:numId="468" w16cid:durableId="1141655440">
    <w:abstractNumId w:val="2"/>
  </w:num>
  <w:num w:numId="469" w16cid:durableId="1155027540">
    <w:abstractNumId w:val="3"/>
  </w:num>
  <w:num w:numId="470" w16cid:durableId="630594184">
    <w:abstractNumId w:val="8"/>
  </w:num>
  <w:num w:numId="471" w16cid:durableId="141846531">
    <w:abstractNumId w:val="4"/>
  </w:num>
  <w:num w:numId="472" w16cid:durableId="1272544412">
    <w:abstractNumId w:val="5"/>
  </w:num>
  <w:num w:numId="473" w16cid:durableId="125436631">
    <w:abstractNumId w:val="6"/>
  </w:num>
  <w:num w:numId="474" w16cid:durableId="1808626385">
    <w:abstractNumId w:val="7"/>
  </w:num>
  <w:num w:numId="475" w16cid:durableId="675226135">
    <w:abstractNumId w:val="9"/>
  </w:num>
  <w:num w:numId="476" w16cid:durableId="34431092">
    <w:abstractNumId w:val="10"/>
  </w:num>
  <w:num w:numId="477" w16cid:durableId="1892689787">
    <w:abstractNumId w:val="11"/>
  </w:num>
  <w:num w:numId="478" w16cid:durableId="13423171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38A"/>
    <w:rsid w:val="00115577"/>
    <w:rsid w:val="00597CF4"/>
    <w:rsid w:val="005C4464"/>
    <w:rsid w:val="00727319"/>
    <w:rsid w:val="00A22F70"/>
    <w:rsid w:val="00AC4A33"/>
    <w:rsid w:val="00C17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370819"/>
  <w15:docId w15:val="{394F8828-08F3-EA42-8964-F7D21BDE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20FB"/>
    <w:pPr>
      <w:spacing w:before="240" w:after="240"/>
    </w:pPr>
    <w:rPr>
      <w:rFonts w:ascii="Times" w:hAnsi="Times"/>
      <w:color w:val="000000" w:themeColor="text1"/>
    </w:rPr>
  </w:style>
  <w:style w:type="paragraph" w:styleId="Heading1">
    <w:name w:val="heading 1"/>
    <w:basedOn w:val="BodyText"/>
    <w:next w:val="BodyText"/>
    <w:uiPriority w:val="9"/>
    <w:qFormat/>
    <w:rsid w:val="003720FB"/>
    <w:pPr>
      <w:numPr>
        <w:numId w:val="13"/>
      </w:numPr>
      <w:outlineLvl w:val="0"/>
    </w:pPr>
    <w:rPr>
      <w:b/>
      <w:bCs/>
      <w:smallCaps/>
    </w:rPr>
  </w:style>
  <w:style w:type="paragraph" w:styleId="Heading2">
    <w:name w:val="heading 2"/>
    <w:basedOn w:val="BodyText"/>
    <w:next w:val="BodyText"/>
    <w:uiPriority w:val="9"/>
    <w:unhideWhenUsed/>
    <w:qFormat/>
    <w:rsid w:val="003720FB"/>
    <w:pPr>
      <w:numPr>
        <w:ilvl w:val="1"/>
        <w:numId w:val="13"/>
      </w:numPr>
      <w:ind w:left="450"/>
      <w:outlineLvl w:val="1"/>
    </w:pPr>
    <w:rPr>
      <w:b/>
      <w:bCs/>
    </w:rPr>
  </w:style>
  <w:style w:type="paragraph" w:styleId="Heading3">
    <w:name w:val="heading 3"/>
    <w:basedOn w:val="BodyText"/>
    <w:next w:val="BodyText"/>
    <w:uiPriority w:val="9"/>
    <w:unhideWhenUsed/>
    <w:qFormat/>
    <w:rsid w:val="00BC26DE"/>
    <w:pPr>
      <w:numPr>
        <w:ilvl w:val="2"/>
        <w:numId w:val="13"/>
      </w:numPr>
      <w:ind w:left="450"/>
      <w:outlineLvl w:val="2"/>
    </w:pPr>
    <w:rPr>
      <w:i/>
      <w:iCs/>
    </w:rPr>
  </w:style>
  <w:style w:type="paragraph" w:styleId="Heading4">
    <w:name w:val="heading 4"/>
    <w:basedOn w:val="BodyText"/>
    <w:next w:val="BodyText"/>
    <w:uiPriority w:val="9"/>
    <w:unhideWhenUsed/>
    <w:qFormat/>
    <w:rsid w:val="00BC26DE"/>
    <w:pPr>
      <w:numPr>
        <w:ilvl w:val="3"/>
        <w:numId w:val="13"/>
      </w:numPr>
      <w:ind w:left="630"/>
      <w:outlineLvl w:val="3"/>
    </w:pPr>
    <w:rPr>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97CF4"/>
    <w:pPr>
      <w:spacing w:line="480" w:lineRule="auto"/>
    </w:pPr>
  </w:style>
  <w:style w:type="paragraph" w:customStyle="1" w:styleId="FirstParagraph">
    <w:name w:val="First Paragraph"/>
    <w:basedOn w:val="BodyText"/>
    <w:next w:val="BodyText"/>
    <w:qFormat/>
    <w:rsid w:val="00597CF4"/>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720FB"/>
    <w:pPr>
      <w:keepNext/>
      <w:keepLines/>
      <w:spacing w:after="180"/>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97C9E"/>
    <w:pPr>
      <w:spacing w:before="60" w:after="6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character" w:styleId="SmartLink">
    <w:name w:val="Smart Link"/>
    <w:uiPriority w:val="99"/>
    <w:unhideWhenUsed/>
    <w:rsid w:val="0061695C"/>
    <w:rPr>
      <w:color w:val="4F81BD"/>
    </w:rPr>
  </w:style>
  <w:style w:type="paragraph" w:customStyle="1" w:styleId="TableCaption">
    <w:name w:val="Table Caption"/>
    <w:basedOn w:val="Normal"/>
    <w:rsid w:val="000347C9"/>
    <w:pPr>
      <w:spacing w:after="120"/>
    </w:pPr>
  </w:style>
  <w:style w:type="paragraph" w:customStyle="1" w:styleId="ImageCaption">
    <w:name w:val="Image Caption"/>
    <w:basedOn w:val="Normal"/>
    <w:rsid w:val="000347C9"/>
  </w:style>
  <w:style w:type="paragraph" w:customStyle="1" w:styleId="Figure">
    <w:name w:val="Figure"/>
    <w:basedOn w:val="Normal"/>
    <w:rsid w:val="000347C9"/>
    <w:pPr>
      <w:keepNext/>
      <w:spacing w:before="0"/>
    </w:pPr>
    <w:rPr>
      <w:rFonts w:ascii="Times New Roman" w:hAnsi="Times New Roman" w:cs="Times New Roman (Body CS)"/>
      <w:i/>
    </w:rPr>
  </w:style>
  <w:style w:type="paragraph" w:customStyle="1" w:styleId="CaptionedFigure">
    <w:name w:val="Captioned Figure"/>
    <w:basedOn w:val="Figure"/>
    <w:rsid w:val="00505F6D"/>
  </w:style>
  <w:style w:type="character" w:customStyle="1" w:styleId="VerbatimChar">
    <w:name w:val="Verbatim Char"/>
    <w:basedOn w:val="DefaultParagraphFont"/>
    <w:link w:val="SourceCode"/>
    <w:rsid w:val="000347C9"/>
    <w:rPr>
      <w:rFonts w:ascii="Consolas" w:hAnsi="Consolas" w:cs="Times New Roman (Body CS)"/>
      <w:i w:val="0"/>
      <w:color w:val="000000" w:themeColor="text1"/>
      <w:sz w:val="22"/>
    </w:rPr>
  </w:style>
  <w:style w:type="character" w:customStyle="1" w:styleId="SectionNumber">
    <w:name w:val="Section Number"/>
    <w:basedOn w:val="DefaultParagraphFont"/>
    <w:rsid w:val="000347C9"/>
    <w:rPr>
      <w:rFonts w:ascii="Times" w:hAnsi="Times" w:cs="Times New Roman (Body CS)"/>
      <w:i w:val="0"/>
      <w:color w:val="000000" w:themeColor="text1"/>
    </w:rPr>
  </w:style>
  <w:style w:type="character" w:styleId="FootnoteReference">
    <w:name w:val="footnote reference"/>
    <w:basedOn w:val="DefaultParagraphFont"/>
    <w:rsid w:val="000347C9"/>
    <w:rPr>
      <w:rFonts w:ascii="Times" w:hAnsi="Times" w:cs="Times New Roman (Body CS)"/>
      <w:i w:val="0"/>
      <w:color w:val="000000" w:themeColor="text1"/>
      <w:vertAlign w:val="superscript"/>
    </w:rPr>
  </w:style>
  <w:style w:type="character" w:styleId="Hyperlink">
    <w:name w:val="Hyperlink"/>
    <w:basedOn w:val="DefaultParagraphFont"/>
    <w:rsid w:val="000347C9"/>
    <w:rPr>
      <w:rFonts w:ascii="Times" w:hAnsi="Times" w:cs="Times New Roman (Body CS)"/>
      <w:i w:val="0"/>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cs="Times New Roman (Body CS)"/>
      <w:b/>
      <w:i w:val="0"/>
      <w:color w:val="204A87"/>
      <w:sz w:val="22"/>
      <w:shd w:val="clear" w:color="auto" w:fill="F8F8F8"/>
    </w:rPr>
  </w:style>
  <w:style w:type="character" w:customStyle="1" w:styleId="DataTypeTok">
    <w:name w:val="DataTypeTok"/>
    <w:basedOn w:val="VerbatimChar"/>
    <w:rPr>
      <w:rFonts w:ascii="Consolas" w:hAnsi="Consolas" w:cs="Times New Roman (Body CS)"/>
      <w:i w:val="0"/>
      <w:color w:val="204A87"/>
      <w:sz w:val="22"/>
      <w:shd w:val="clear" w:color="auto" w:fill="F8F8F8"/>
    </w:rPr>
  </w:style>
  <w:style w:type="character" w:customStyle="1" w:styleId="DecValTok">
    <w:name w:val="DecValTok"/>
    <w:basedOn w:val="VerbatimChar"/>
    <w:rPr>
      <w:rFonts w:ascii="Consolas" w:hAnsi="Consolas" w:cs="Times New Roman (Body CS)"/>
      <w:i w:val="0"/>
      <w:color w:val="0000CF"/>
      <w:sz w:val="22"/>
      <w:shd w:val="clear" w:color="auto" w:fill="F8F8F8"/>
    </w:rPr>
  </w:style>
  <w:style w:type="character" w:customStyle="1" w:styleId="BaseNTok">
    <w:name w:val="BaseNTok"/>
    <w:basedOn w:val="VerbatimChar"/>
    <w:rPr>
      <w:rFonts w:ascii="Consolas" w:hAnsi="Consolas" w:cs="Times New Roman (Body CS)"/>
      <w:i w:val="0"/>
      <w:color w:val="0000CF"/>
      <w:sz w:val="22"/>
      <w:shd w:val="clear" w:color="auto" w:fill="F8F8F8"/>
    </w:rPr>
  </w:style>
  <w:style w:type="character" w:customStyle="1" w:styleId="FloatTok">
    <w:name w:val="FloatTok"/>
    <w:basedOn w:val="VerbatimChar"/>
    <w:rPr>
      <w:rFonts w:ascii="Consolas" w:hAnsi="Consolas" w:cs="Times New Roman (Body CS)"/>
      <w:i w:val="0"/>
      <w:color w:val="0000CF"/>
      <w:sz w:val="22"/>
      <w:shd w:val="clear" w:color="auto" w:fill="F8F8F8"/>
    </w:rPr>
  </w:style>
  <w:style w:type="character" w:customStyle="1" w:styleId="ConstantTok">
    <w:name w:val="ConstantTok"/>
    <w:basedOn w:val="VerbatimChar"/>
    <w:rPr>
      <w:rFonts w:ascii="Consolas" w:hAnsi="Consolas" w:cs="Times New Roman (Body CS)"/>
      <w:i w:val="0"/>
      <w:color w:val="000000"/>
      <w:sz w:val="22"/>
      <w:shd w:val="clear" w:color="auto" w:fill="F8F8F8"/>
    </w:rPr>
  </w:style>
  <w:style w:type="character" w:customStyle="1" w:styleId="CharTok">
    <w:name w:val="CharTok"/>
    <w:basedOn w:val="VerbatimChar"/>
    <w:rPr>
      <w:rFonts w:ascii="Consolas" w:hAnsi="Consolas" w:cs="Times New Roman (Body CS)"/>
      <w:i w:val="0"/>
      <w:color w:val="4E9A06"/>
      <w:sz w:val="22"/>
      <w:shd w:val="clear" w:color="auto" w:fill="F8F8F8"/>
    </w:rPr>
  </w:style>
  <w:style w:type="character" w:customStyle="1" w:styleId="SpecialCharTok">
    <w:name w:val="SpecialCharTok"/>
    <w:basedOn w:val="VerbatimChar"/>
    <w:rPr>
      <w:rFonts w:ascii="Consolas" w:hAnsi="Consolas" w:cs="Times New Roman (Body CS)"/>
      <w:i w:val="0"/>
      <w:color w:val="000000"/>
      <w:sz w:val="22"/>
      <w:shd w:val="clear" w:color="auto" w:fill="F8F8F8"/>
    </w:rPr>
  </w:style>
  <w:style w:type="character" w:customStyle="1" w:styleId="StringTok">
    <w:name w:val="StringTok"/>
    <w:basedOn w:val="VerbatimChar"/>
    <w:rPr>
      <w:rFonts w:ascii="Consolas" w:hAnsi="Consolas" w:cs="Times New Roman (Body CS)"/>
      <w:i w:val="0"/>
      <w:color w:val="4E9A06"/>
      <w:sz w:val="22"/>
      <w:shd w:val="clear" w:color="auto" w:fill="F8F8F8"/>
    </w:rPr>
  </w:style>
  <w:style w:type="character" w:customStyle="1" w:styleId="VerbatimStringTok">
    <w:name w:val="VerbatimStringTok"/>
    <w:basedOn w:val="VerbatimChar"/>
    <w:rPr>
      <w:rFonts w:ascii="Consolas" w:hAnsi="Consolas" w:cs="Times New Roman (Body CS)"/>
      <w:i w:val="0"/>
      <w:color w:val="4E9A06"/>
      <w:sz w:val="22"/>
      <w:shd w:val="clear" w:color="auto" w:fill="F8F8F8"/>
    </w:rPr>
  </w:style>
  <w:style w:type="character" w:customStyle="1" w:styleId="SpecialStringTok">
    <w:name w:val="SpecialStringTok"/>
    <w:basedOn w:val="VerbatimChar"/>
    <w:rPr>
      <w:rFonts w:ascii="Consolas" w:hAnsi="Consolas" w:cs="Times New Roman (Body CS)"/>
      <w:i w:val="0"/>
      <w:color w:val="4E9A06"/>
      <w:sz w:val="22"/>
      <w:shd w:val="clear" w:color="auto" w:fill="F8F8F8"/>
    </w:rPr>
  </w:style>
  <w:style w:type="character" w:customStyle="1" w:styleId="ImportTok">
    <w:name w:val="ImportTok"/>
    <w:basedOn w:val="VerbatimChar"/>
    <w:rPr>
      <w:rFonts w:ascii="Consolas" w:hAnsi="Consolas" w:cs="Times New Roman (Body CS)"/>
      <w:i w:val="0"/>
      <w:color w:val="000000" w:themeColor="text1"/>
      <w:sz w:val="22"/>
      <w:shd w:val="clear" w:color="auto" w:fill="F8F8F8"/>
    </w:rPr>
  </w:style>
  <w:style w:type="character" w:customStyle="1" w:styleId="CommentTok">
    <w:name w:val="CommentTok"/>
    <w:basedOn w:val="VerbatimChar"/>
    <w:rPr>
      <w:rFonts w:ascii="Consolas" w:hAnsi="Consolas" w:cs="Times New Roman (Body CS)"/>
      <w:i/>
      <w:color w:val="8F5902"/>
      <w:sz w:val="22"/>
      <w:shd w:val="clear" w:color="auto" w:fill="F8F8F8"/>
    </w:rPr>
  </w:style>
  <w:style w:type="character" w:customStyle="1" w:styleId="DocumentationTok">
    <w:name w:val="DocumentationTok"/>
    <w:basedOn w:val="VerbatimChar"/>
    <w:rPr>
      <w:rFonts w:ascii="Consolas" w:hAnsi="Consolas" w:cs="Times New Roman (Body CS)"/>
      <w:b/>
      <w:i/>
      <w:color w:val="8F5902"/>
      <w:sz w:val="22"/>
      <w:shd w:val="clear" w:color="auto" w:fill="F8F8F8"/>
    </w:rPr>
  </w:style>
  <w:style w:type="character" w:customStyle="1" w:styleId="AnnotationTok">
    <w:name w:val="AnnotationTok"/>
    <w:basedOn w:val="VerbatimChar"/>
    <w:rPr>
      <w:rFonts w:ascii="Consolas" w:hAnsi="Consolas" w:cs="Times New Roman (Body CS)"/>
      <w:b/>
      <w:i/>
      <w:color w:val="8F5902"/>
      <w:sz w:val="22"/>
      <w:shd w:val="clear" w:color="auto" w:fill="F8F8F8"/>
    </w:rPr>
  </w:style>
  <w:style w:type="character" w:customStyle="1" w:styleId="CommentVarTok">
    <w:name w:val="CommentVarTok"/>
    <w:basedOn w:val="VerbatimChar"/>
    <w:rPr>
      <w:rFonts w:ascii="Consolas" w:hAnsi="Consolas" w:cs="Times New Roman (Body CS)"/>
      <w:b/>
      <w:i/>
      <w:color w:val="8F5902"/>
      <w:sz w:val="22"/>
      <w:shd w:val="clear" w:color="auto" w:fill="F8F8F8"/>
    </w:rPr>
  </w:style>
  <w:style w:type="character" w:customStyle="1" w:styleId="OtherTok">
    <w:name w:val="OtherTok"/>
    <w:basedOn w:val="VerbatimChar"/>
    <w:rPr>
      <w:rFonts w:ascii="Consolas" w:hAnsi="Consolas" w:cs="Times New Roman (Body CS)"/>
      <w:i w:val="0"/>
      <w:color w:val="8F5902"/>
      <w:sz w:val="22"/>
      <w:shd w:val="clear" w:color="auto" w:fill="F8F8F8"/>
    </w:rPr>
  </w:style>
  <w:style w:type="character" w:customStyle="1" w:styleId="FunctionTok">
    <w:name w:val="FunctionTok"/>
    <w:basedOn w:val="VerbatimChar"/>
    <w:rPr>
      <w:rFonts w:ascii="Consolas" w:hAnsi="Consolas" w:cs="Times New Roman (Body CS)"/>
      <w:i w:val="0"/>
      <w:color w:val="000000"/>
      <w:sz w:val="22"/>
      <w:shd w:val="clear" w:color="auto" w:fill="F8F8F8"/>
    </w:rPr>
  </w:style>
  <w:style w:type="character" w:customStyle="1" w:styleId="VariableTok">
    <w:name w:val="VariableTok"/>
    <w:basedOn w:val="VerbatimChar"/>
    <w:rPr>
      <w:rFonts w:ascii="Consolas" w:hAnsi="Consolas" w:cs="Times New Roman (Body CS)"/>
      <w:i w:val="0"/>
      <w:color w:val="000000"/>
      <w:sz w:val="22"/>
      <w:shd w:val="clear" w:color="auto" w:fill="F8F8F8"/>
    </w:rPr>
  </w:style>
  <w:style w:type="character" w:customStyle="1" w:styleId="ControlFlowTok">
    <w:name w:val="ControlFlowTok"/>
    <w:basedOn w:val="VerbatimChar"/>
    <w:rPr>
      <w:rFonts w:ascii="Consolas" w:hAnsi="Consolas" w:cs="Times New Roman (Body CS)"/>
      <w:b/>
      <w:i w:val="0"/>
      <w:color w:val="204A87"/>
      <w:sz w:val="22"/>
      <w:shd w:val="clear" w:color="auto" w:fill="F8F8F8"/>
    </w:rPr>
  </w:style>
  <w:style w:type="character" w:customStyle="1" w:styleId="OperatorTok">
    <w:name w:val="OperatorTok"/>
    <w:basedOn w:val="VerbatimChar"/>
    <w:rPr>
      <w:rFonts w:ascii="Consolas" w:hAnsi="Consolas" w:cs="Times New Roman (Body CS)"/>
      <w:b/>
      <w:i w:val="0"/>
      <w:color w:val="CE5C00"/>
      <w:sz w:val="22"/>
      <w:shd w:val="clear" w:color="auto" w:fill="F8F8F8"/>
    </w:rPr>
  </w:style>
  <w:style w:type="character" w:customStyle="1" w:styleId="BuiltInTok">
    <w:name w:val="BuiltInTok"/>
    <w:basedOn w:val="VerbatimChar"/>
    <w:rPr>
      <w:rFonts w:ascii="Consolas" w:hAnsi="Consolas" w:cs="Times New Roman (Body CS)"/>
      <w:i w:val="0"/>
      <w:color w:val="000000" w:themeColor="text1"/>
      <w:sz w:val="22"/>
      <w:shd w:val="clear" w:color="auto" w:fill="F8F8F8"/>
    </w:rPr>
  </w:style>
  <w:style w:type="character" w:customStyle="1" w:styleId="ExtensionTok">
    <w:name w:val="ExtensionTok"/>
    <w:basedOn w:val="VerbatimChar"/>
    <w:rPr>
      <w:rFonts w:ascii="Consolas" w:hAnsi="Consolas" w:cs="Times New Roman (Body CS)"/>
      <w:i w:val="0"/>
      <w:color w:val="000000" w:themeColor="text1"/>
      <w:sz w:val="22"/>
      <w:shd w:val="clear" w:color="auto" w:fill="F8F8F8"/>
    </w:rPr>
  </w:style>
  <w:style w:type="character" w:customStyle="1" w:styleId="PreprocessorTok">
    <w:name w:val="PreprocessorTok"/>
    <w:basedOn w:val="VerbatimChar"/>
    <w:rPr>
      <w:rFonts w:ascii="Consolas" w:hAnsi="Consolas" w:cs="Times New Roman (Body CS)"/>
      <w:i/>
      <w:color w:val="8F5902"/>
      <w:sz w:val="22"/>
      <w:shd w:val="clear" w:color="auto" w:fill="F8F8F8"/>
    </w:rPr>
  </w:style>
  <w:style w:type="character" w:customStyle="1" w:styleId="AttributeTok">
    <w:name w:val="AttributeTok"/>
    <w:basedOn w:val="VerbatimChar"/>
    <w:rPr>
      <w:rFonts w:ascii="Consolas" w:hAnsi="Consolas" w:cs="Times New Roman (Body CS)"/>
      <w:i w:val="0"/>
      <w:color w:val="C4A000"/>
      <w:sz w:val="22"/>
      <w:shd w:val="clear" w:color="auto" w:fill="F8F8F8"/>
    </w:rPr>
  </w:style>
  <w:style w:type="character" w:customStyle="1" w:styleId="RegionMarkerTok">
    <w:name w:val="RegionMarkerTok"/>
    <w:basedOn w:val="VerbatimChar"/>
    <w:rPr>
      <w:rFonts w:ascii="Consolas" w:hAnsi="Consolas" w:cs="Times New Roman (Body CS)"/>
      <w:i w:val="0"/>
      <w:color w:val="000000" w:themeColor="text1"/>
      <w:sz w:val="22"/>
      <w:shd w:val="clear" w:color="auto" w:fill="F8F8F8"/>
    </w:rPr>
  </w:style>
  <w:style w:type="character" w:customStyle="1" w:styleId="InformationTok">
    <w:name w:val="InformationTok"/>
    <w:basedOn w:val="VerbatimChar"/>
    <w:rPr>
      <w:rFonts w:ascii="Consolas" w:hAnsi="Consolas" w:cs="Times New Roman (Body CS)"/>
      <w:b/>
      <w:i/>
      <w:color w:val="8F5902"/>
      <w:sz w:val="22"/>
      <w:shd w:val="clear" w:color="auto" w:fill="F8F8F8"/>
    </w:rPr>
  </w:style>
  <w:style w:type="character" w:customStyle="1" w:styleId="WarningTok">
    <w:name w:val="WarningTok"/>
    <w:basedOn w:val="VerbatimChar"/>
    <w:rPr>
      <w:rFonts w:ascii="Consolas" w:hAnsi="Consolas" w:cs="Times New Roman (Body CS)"/>
      <w:b/>
      <w:i/>
      <w:color w:val="8F5902"/>
      <w:sz w:val="22"/>
      <w:shd w:val="clear" w:color="auto" w:fill="F8F8F8"/>
    </w:rPr>
  </w:style>
  <w:style w:type="character" w:customStyle="1" w:styleId="AlertTok">
    <w:name w:val="AlertTok"/>
    <w:basedOn w:val="VerbatimChar"/>
    <w:rPr>
      <w:rFonts w:ascii="Consolas" w:hAnsi="Consolas" w:cs="Times New Roman (Body CS)"/>
      <w:i w:val="0"/>
      <w:color w:val="EF2929"/>
      <w:sz w:val="22"/>
      <w:shd w:val="clear" w:color="auto" w:fill="F8F8F8"/>
    </w:rPr>
  </w:style>
  <w:style w:type="character" w:customStyle="1" w:styleId="ErrorTok">
    <w:name w:val="ErrorTok"/>
    <w:basedOn w:val="VerbatimChar"/>
    <w:rPr>
      <w:rFonts w:ascii="Consolas" w:hAnsi="Consolas" w:cs="Times New Roman (Body CS)"/>
      <w:b/>
      <w:i w:val="0"/>
      <w:color w:val="A40000"/>
      <w:sz w:val="22"/>
      <w:shd w:val="clear" w:color="auto" w:fill="F8F8F8"/>
    </w:rPr>
  </w:style>
  <w:style w:type="character" w:customStyle="1" w:styleId="NormalTok">
    <w:name w:val="NormalTok"/>
    <w:basedOn w:val="VerbatimChar"/>
    <w:rPr>
      <w:rFonts w:ascii="Consolas" w:hAnsi="Consolas" w:cs="Times New Roman (Body CS)"/>
      <w:i w:val="0"/>
      <w:color w:val="000000" w:themeColor="text1"/>
      <w:sz w:val="22"/>
      <w:shd w:val="clear" w:color="auto" w:fill="F8F8F8"/>
    </w:rPr>
  </w:style>
  <w:style w:type="character" w:customStyle="1" w:styleId="BodyTextChar">
    <w:name w:val="Body Text Char"/>
    <w:basedOn w:val="DefaultParagraphFont"/>
    <w:link w:val="BodyText"/>
    <w:rsid w:val="00597CF4"/>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pPr>
  </w:style>
  <w:style w:type="character" w:customStyle="1" w:styleId="HeaderChar">
    <w:name w:val="Header Char"/>
    <w:basedOn w:val="DefaultParagraphFont"/>
    <w:link w:val="Header"/>
    <w:rsid w:val="00CC6CCA"/>
    <w:rPr>
      <w:rFonts w:ascii="Times" w:hAnsi="Times"/>
      <w:color w:val="000000" w:themeColor="text1"/>
    </w:rPr>
  </w:style>
  <w:style w:type="character" w:styleId="LineNumber">
    <w:name w:val="line number"/>
    <w:basedOn w:val="DefaultParagraphFont"/>
    <w:semiHidden/>
    <w:unhideWhenUsed/>
    <w:rsid w:val="00D52A0C"/>
  </w:style>
  <w:style w:type="numbering" w:customStyle="1" w:styleId="CurrentList1">
    <w:name w:val="Current List1"/>
    <w:uiPriority w:val="99"/>
    <w:rsid w:val="00D37215"/>
    <w:pPr>
      <w:numPr>
        <w:numId w:val="115"/>
      </w:numPr>
    </w:pPr>
  </w:style>
  <w:style w:type="table" w:styleId="TableGrid">
    <w:name w:val="Table Grid"/>
    <w:basedOn w:val="TableNormal"/>
    <w:rsid w:val="00B3413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dendro.2008.01.002" TargetMode="External"/><Relationship Id="rId21" Type="http://schemas.openxmlformats.org/officeDocument/2006/relationships/hyperlink" Target="https://doi.org/10.3390/fire6110428" TargetMode="External"/><Relationship Id="rId42" Type="http://schemas.openxmlformats.org/officeDocument/2006/relationships/hyperlink" Target="https://doi.org/10.1016/j.dendro.2020.125750" TargetMode="External"/><Relationship Id="rId47" Type="http://schemas.openxmlformats.org/officeDocument/2006/relationships/hyperlink" Target="https://doi.org/10.1002/ecs2.2126" TargetMode="External"/><Relationship Id="rId63" Type="http://schemas.openxmlformats.org/officeDocument/2006/relationships/hyperlink" Target="https://doi.org/10.1111/j.1461-9563.2008.00414.x" TargetMode="External"/><Relationship Id="rId68" Type="http://schemas.openxmlformats.org/officeDocument/2006/relationships/hyperlink" Target="https://prism.oregonstate.edu/normals/" TargetMode="External"/><Relationship Id="rId84" Type="http://schemas.openxmlformats.org/officeDocument/2006/relationships/hyperlink" Target="https://doi.org/10.1016/j.scitotenv.2020.137782" TargetMode="External"/><Relationship Id="rId89" Type="http://schemas.openxmlformats.org/officeDocument/2006/relationships/hyperlink" Target="https://doi.org/10.1029/2005WR004455" TargetMode="External"/><Relationship Id="rId112" Type="http://schemas.openxmlformats.org/officeDocument/2006/relationships/theme" Target="theme/theme1.xml"/><Relationship Id="rId16" Type="http://schemas.openxmlformats.org/officeDocument/2006/relationships/image" Target="media/image8.jpg"/><Relationship Id="rId107" Type="http://schemas.openxmlformats.org/officeDocument/2006/relationships/image" Target="media/image13.jpg"/><Relationship Id="rId11" Type="http://schemas.openxmlformats.org/officeDocument/2006/relationships/image" Target="media/image3.jpg"/><Relationship Id="rId32" Type="http://schemas.openxmlformats.org/officeDocument/2006/relationships/hyperlink" Target="https://doi.org/10.1086/491690" TargetMode="External"/><Relationship Id="rId37" Type="http://schemas.openxmlformats.org/officeDocument/2006/relationships/hyperlink" Target="https://doi.org/10.1890/0012-9658(2006)87%5b1722:WCCOSF%5d2.0.CO;2" TargetMode="External"/><Relationship Id="rId53" Type="http://schemas.openxmlformats.org/officeDocument/2006/relationships/hyperlink" Target="https://doi.org/10.1080/09670874.2012.678405" TargetMode="External"/><Relationship Id="rId58" Type="http://schemas.openxmlformats.org/officeDocument/2006/relationships/hyperlink" Target="https://doi.org/10.1016/j.foreco.2014.11.030" TargetMode="External"/><Relationship Id="rId74" Type="http://schemas.openxmlformats.org/officeDocument/2006/relationships/hyperlink" Target="https://doi.org/10.2307/1942595" TargetMode="External"/><Relationship Id="rId79" Type="http://schemas.openxmlformats.org/officeDocument/2006/relationships/hyperlink" Target="https://doi.org/10.4039/Ent116375-3" TargetMode="External"/><Relationship Id="rId102" Type="http://schemas.openxmlformats.org/officeDocument/2006/relationships/hyperlink" Target="https://doi.org/10.1139/x91-053" TargetMode="External"/><Relationship Id="rId5" Type="http://schemas.openxmlformats.org/officeDocument/2006/relationships/footnotes" Target="footnotes.xml"/><Relationship Id="rId90" Type="http://schemas.openxmlformats.org/officeDocument/2006/relationships/hyperlink" Target="https://doi.org/10.25921/PVQK-VB36" TargetMode="External"/><Relationship Id="rId95" Type="http://schemas.openxmlformats.org/officeDocument/2006/relationships/hyperlink" Target="https://doi.org/10.25921/A7T2-YF30" TargetMode="External"/><Relationship Id="rId22" Type="http://schemas.openxmlformats.org/officeDocument/2006/relationships/hyperlink" Target="https://doi.org/10.1046/j.1365-2486.2002.00451.x" TargetMode="External"/><Relationship Id="rId27" Type="http://schemas.openxmlformats.org/officeDocument/2006/relationships/hyperlink" Target="https://CRAN.R-project.org/package=dplR" TargetMode="External"/><Relationship Id="rId43" Type="http://schemas.openxmlformats.org/officeDocument/2006/relationships/hyperlink" Target="https://doi.org/10.1139/x93-066" TargetMode="External"/><Relationship Id="rId48" Type="http://schemas.openxmlformats.org/officeDocument/2006/relationships/hyperlink" Target="https://doi.org/10.3389/fevo.2019.00239" TargetMode="External"/><Relationship Id="rId64" Type="http://schemas.openxmlformats.org/officeDocument/2006/relationships/hyperlink" Target="https://doi.org/10.1002/ecs2.3667" TargetMode="External"/><Relationship Id="rId69" Type="http://schemas.openxmlformats.org/officeDocument/2006/relationships/hyperlink" Target="https://doi.org/10.1046/j.0022-0477.2001.00652.x" TargetMode="External"/><Relationship Id="rId80" Type="http://schemas.openxmlformats.org/officeDocument/2006/relationships/hyperlink" Target="https://www.fs.fed.us/foresthealth/applied-sciences/mapping-reporting/detection-surveys.shtml" TargetMode="External"/><Relationship Id="rId85" Type="http://schemas.openxmlformats.org/officeDocument/2006/relationships/hyperlink" Target="https://doi.org/10.1175/1520-0442(2004)017%3c2335:ASPDSI%3e2.0.CO;2" TargetMode="External"/><Relationship Id="rId12" Type="http://schemas.openxmlformats.org/officeDocument/2006/relationships/image" Target="media/image4.jpg"/><Relationship Id="rId17" Type="http://schemas.openxmlformats.org/officeDocument/2006/relationships/hyperlink" Target="https://doi.org/10.1175/BAMS-D-16-0193.1" TargetMode="External"/><Relationship Id="rId33" Type="http://schemas.openxmlformats.org/officeDocument/2006/relationships/hyperlink" Target="https://doi.org/10.1371/journal.pone.0164737" TargetMode="External"/><Relationship Id="rId38" Type="http://schemas.openxmlformats.org/officeDocument/2006/relationships/hyperlink" Target="https://doi.org/10.1111/brv.12571" TargetMode="External"/><Relationship Id="rId59" Type="http://schemas.openxmlformats.org/officeDocument/2006/relationships/hyperlink" Target="https://doi.org/10.1890/06-1715.1@10.1002/(ISSN)1939-5582(CAT)SpecialCollection(VI)VirtualIssue" TargetMode="External"/><Relationship Id="rId103" Type="http://schemas.openxmlformats.org/officeDocument/2006/relationships/image" Target="media/image9.jpg"/><Relationship Id="rId108" Type="http://schemas.openxmlformats.org/officeDocument/2006/relationships/image" Target="media/image14.jpg"/><Relationship Id="rId54" Type="http://schemas.openxmlformats.org/officeDocument/2006/relationships/hyperlink" Target="https://doi.org/10.1111/j.0030-1299.2004.12722.x" TargetMode="External"/><Relationship Id="rId70" Type="http://schemas.openxmlformats.org/officeDocument/2006/relationships/hyperlink" Target="http://www.R-project.org" TargetMode="External"/><Relationship Id="rId75" Type="http://schemas.openxmlformats.org/officeDocument/2006/relationships/hyperlink" Target="https://doi.org/10.1890/06-1860.1" TargetMode="External"/><Relationship Id="rId91" Type="http://schemas.openxmlformats.org/officeDocument/2006/relationships/hyperlink" Target="https://doi.org/10.25921/PMVY-ZX98" TargetMode="External"/><Relationship Id="rId96" Type="http://schemas.openxmlformats.org/officeDocument/2006/relationships/hyperlink" Target="https://doi.org/10.25921/H15V-EB3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CRAN.R-project.org/package=ncf" TargetMode="External"/><Relationship Id="rId28" Type="http://schemas.openxmlformats.org/officeDocument/2006/relationships/hyperlink" Target="https://naldc.nal.usda.gov/download/CAT89231792/PDF" TargetMode="External"/><Relationship Id="rId36" Type="http://schemas.openxmlformats.org/officeDocument/2006/relationships/hyperlink" Target="https://pages.uoregon.edu/dgavin/software.html" TargetMode="External"/><Relationship Id="rId49" Type="http://schemas.openxmlformats.org/officeDocument/2006/relationships/hyperlink" Target="https://doi.org/10.1111/1365-2745.14408" TargetMode="External"/><Relationship Id="rId57" Type="http://schemas.openxmlformats.org/officeDocument/2006/relationships/hyperlink" Target="https://doi.org/10.1016/j.agrformet.2022.109183" TargetMode="External"/><Relationship Id="rId106" Type="http://schemas.openxmlformats.org/officeDocument/2006/relationships/image" Target="media/image12.jpg"/><Relationship Id="rId10" Type="http://schemas.openxmlformats.org/officeDocument/2006/relationships/image" Target="media/image2.jpg"/><Relationship Id="rId31" Type="http://schemas.openxmlformats.org/officeDocument/2006/relationships/hyperlink" Target="https://doi.org/10.1007/s10021-010-9364-z" TargetMode="External"/><Relationship Id="rId44" Type="http://schemas.openxmlformats.org/officeDocument/2006/relationships/hyperlink" Target="https://doi.org/10.1111/nph.17036" TargetMode="External"/><Relationship Id="rId52" Type="http://schemas.openxmlformats.org/officeDocument/2006/relationships/hyperlink" Target="https://doi.org/10.1111/ele.13173" TargetMode="External"/><Relationship Id="rId60" Type="http://schemas.openxmlformats.org/officeDocument/2006/relationships/hyperlink" Target="https://doi.org/10.1071/zo9530163" TargetMode="External"/><Relationship Id="rId65" Type="http://schemas.openxmlformats.org/officeDocument/2006/relationships/hyperlink" Target="https://doi.org/10.1002/fee.2297" TargetMode="External"/><Relationship Id="rId73" Type="http://schemas.openxmlformats.org/officeDocument/2006/relationships/hyperlink" Target="https://doi.org/10.5061/DRYAD.QZ612JMB7" TargetMode="External"/><Relationship Id="rId78" Type="http://schemas.openxmlformats.org/officeDocument/2006/relationships/hyperlink" Target="https://doi.org/10.1016/j.agrformet.2012.09.008" TargetMode="External"/><Relationship Id="rId81" Type="http://schemas.openxmlformats.org/officeDocument/2006/relationships/hyperlink" Target="https://doi.org/10.7930/NCA5.2023" TargetMode="External"/><Relationship Id="rId86" Type="http://schemas.openxmlformats.org/officeDocument/2006/relationships/hyperlink" Target="https://doi.org/10.1007/BF00379790" TargetMode="External"/><Relationship Id="rId94" Type="http://schemas.openxmlformats.org/officeDocument/2006/relationships/hyperlink" Target="https://doi.org/10.25921/H9PQ-XX61" TargetMode="External"/><Relationship Id="rId99" Type="http://schemas.openxmlformats.org/officeDocument/2006/relationships/hyperlink" Target="https://doi.org/10.25921/WYH1-YJ70" TargetMode="External"/><Relationship Id="rId101" Type="http://schemas.openxmlformats.org/officeDocument/2006/relationships/hyperlink" Target="https://doi.org/10.3390/f10040354"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g"/><Relationship Id="rId18" Type="http://schemas.openxmlformats.org/officeDocument/2006/relationships/hyperlink" Target="https://doi.org/10.1016/j.foreco.2013.12.026" TargetMode="External"/><Relationship Id="rId39" Type="http://schemas.openxmlformats.org/officeDocument/2006/relationships/hyperlink" Target="https://doi.org/10.1111/2041-210X.12188" TargetMode="External"/><Relationship Id="rId109" Type="http://schemas.openxmlformats.org/officeDocument/2006/relationships/footer" Target="footer3.xml"/><Relationship Id="rId34" Type="http://schemas.openxmlformats.org/officeDocument/2006/relationships/hyperlink" Target="https://doi.org/10.1016/j.foreco.2014.03.042" TargetMode="External"/><Relationship Id="rId50" Type="http://schemas.openxmlformats.org/officeDocument/2006/relationships/hyperlink" Target="https://doi.org/10.1890/03-0352" TargetMode="External"/><Relationship Id="rId55" Type="http://schemas.openxmlformats.org/officeDocument/2006/relationships/hyperlink" Target="https://doi.org/10.1086/589746" TargetMode="External"/><Relationship Id="rId76" Type="http://schemas.openxmlformats.org/officeDocument/2006/relationships/hyperlink" Target="https://doi.org/10.1080/07038992.2016.1220828" TargetMode="External"/><Relationship Id="rId97" Type="http://schemas.openxmlformats.org/officeDocument/2006/relationships/hyperlink" Target="https://doi.org/10.25921/P9V5-JJ98" TargetMode="External"/><Relationship Id="rId104" Type="http://schemas.openxmlformats.org/officeDocument/2006/relationships/image" Target="media/image10.jpg"/><Relationship Id="rId7" Type="http://schemas.openxmlformats.org/officeDocument/2006/relationships/image" Target="media/image1.jpg"/><Relationship Id="rId71" Type="http://schemas.openxmlformats.org/officeDocument/2006/relationships/hyperlink" Target="https://doi.org/10.1111/nph.13273" TargetMode="External"/><Relationship Id="rId92" Type="http://schemas.openxmlformats.org/officeDocument/2006/relationships/hyperlink" Target="https://doi.org/10.25921/YCHK-ZA37" TargetMode="External"/><Relationship Id="rId2" Type="http://schemas.openxmlformats.org/officeDocument/2006/relationships/styles" Target="styles.xml"/><Relationship Id="rId29" Type="http://schemas.openxmlformats.org/officeDocument/2006/relationships/hyperlink" Target="https://doi.org/10.1002/jqs.1303" TargetMode="External"/><Relationship Id="rId24" Type="http://schemas.openxmlformats.org/officeDocument/2006/relationships/hyperlink" Target="http://link.springer.com/article/10.1023/A:1009601932481" TargetMode="External"/><Relationship Id="rId40" Type="http://schemas.openxmlformats.org/officeDocument/2006/relationships/hyperlink" Target="https://doi.org/10.2307/2937170" TargetMode="External"/><Relationship Id="rId45" Type="http://schemas.openxmlformats.org/officeDocument/2006/relationships/hyperlink" Target="https://doi.org/10.1111/ecog.04962" TargetMode="External"/><Relationship Id="rId66" Type="http://schemas.openxmlformats.org/officeDocument/2006/relationships/hyperlink" Target="https://CRAN.R-project.org/package=nlme" TargetMode="External"/><Relationship Id="rId87" Type="http://schemas.openxmlformats.org/officeDocument/2006/relationships/hyperlink" Target="https://doi.org/10.1111/ele.12861" TargetMode="External"/><Relationship Id="rId110" Type="http://schemas.openxmlformats.org/officeDocument/2006/relationships/footer" Target="footer4.xml"/><Relationship Id="rId61" Type="http://schemas.openxmlformats.org/officeDocument/2006/relationships/hyperlink" Target="https://mtbs.gov/direct-download" TargetMode="External"/><Relationship Id="rId82" Type="http://schemas.openxmlformats.org/officeDocument/2006/relationships/hyperlink" Target="https://doi.org/10.1890/1051-0761(2000)010%5b1178:CAHIOF%5d2.0.CO;2" TargetMode="External"/><Relationship Id="rId19" Type="http://schemas.openxmlformats.org/officeDocument/2006/relationships/hyperlink" Target="https://doi.org/10.1016/0378-1127(92)90107-K" TargetMode="External"/><Relationship Id="rId14" Type="http://schemas.openxmlformats.org/officeDocument/2006/relationships/image" Target="media/image6.jpg"/><Relationship Id="rId30" Type="http://schemas.openxmlformats.org/officeDocument/2006/relationships/hyperlink" Target="https://doi.org/10.5849/forsci.13-507" TargetMode="External"/><Relationship Id="rId35" Type="http://schemas.openxmlformats.org/officeDocument/2006/relationships/hyperlink" Target="https://doi.org/10.1111/gcb.14367" TargetMode="External"/><Relationship Id="rId56" Type="http://schemas.openxmlformats.org/officeDocument/2006/relationships/hyperlink" Target="https://doi.org/10.1007/BF00143903" TargetMode="External"/><Relationship Id="rId77" Type="http://schemas.openxmlformats.org/officeDocument/2006/relationships/hyperlink" Target="https://doi.org/10.1007/s10021-007-9022-2" TargetMode="External"/><Relationship Id="rId100" Type="http://schemas.openxmlformats.org/officeDocument/2006/relationships/hyperlink" Target="https://doi.org/10.25921/QNWC-H995" TargetMode="External"/><Relationship Id="rId105" Type="http://schemas.openxmlformats.org/officeDocument/2006/relationships/image" Target="media/image11.jpg"/><Relationship Id="rId8" Type="http://schemas.openxmlformats.org/officeDocument/2006/relationships/footer" Target="footer1.xml"/><Relationship Id="rId51" Type="http://schemas.openxmlformats.org/officeDocument/2006/relationships/hyperlink" Target="https://research.fs.usda.gov/treesearch/46667" TargetMode="External"/><Relationship Id="rId72" Type="http://schemas.openxmlformats.org/officeDocument/2006/relationships/hyperlink" Target="https://doi.org/10.1002/ecs2.2594" TargetMode="External"/><Relationship Id="rId93" Type="http://schemas.openxmlformats.org/officeDocument/2006/relationships/hyperlink" Target="https://doi.org/10.25921/P3RZ-2R66" TargetMode="External"/><Relationship Id="rId98" Type="http://schemas.openxmlformats.org/officeDocument/2006/relationships/hyperlink" Target="https://doi.org/10.25921/ZHYS-9Y86" TargetMode="External"/><Relationship Id="rId3" Type="http://schemas.openxmlformats.org/officeDocument/2006/relationships/settings" Target="settings.xml"/><Relationship Id="rId25" Type="http://schemas.openxmlformats.org/officeDocument/2006/relationships/hyperlink" Target="https://naldc.nal.usda.gov/download/CAT89231792/PDF" TargetMode="External"/><Relationship Id="rId46" Type="http://schemas.openxmlformats.org/officeDocument/2006/relationships/hyperlink" Target="https://doi.org/10.1111/nph.15048" TargetMode="External"/><Relationship Id="rId67" Type="http://schemas.openxmlformats.org/officeDocument/2006/relationships/hyperlink" Target="https://doi.org/10.2307/3545270" TargetMode="External"/><Relationship Id="rId20" Type="http://schemas.openxmlformats.org/officeDocument/2006/relationships/hyperlink" Target="https://doi.org/10.1139/x82-117" TargetMode="External"/><Relationship Id="rId41" Type="http://schemas.openxmlformats.org/officeDocument/2006/relationships/hyperlink" Target="https://doi.org/10.25921/79K5-WM65" TargetMode="External"/><Relationship Id="rId62" Type="http://schemas.openxmlformats.org/officeDocument/2006/relationships/hyperlink" Target="https://doi.org/10.1111/een.12336" TargetMode="External"/><Relationship Id="rId83" Type="http://schemas.openxmlformats.org/officeDocument/2006/relationships/hyperlink" Target="https://doi.org/10.1007/BF00195274" TargetMode="External"/><Relationship Id="rId88" Type="http://schemas.openxmlformats.org/officeDocument/2006/relationships/hyperlink" Target="https://doi.org/10.3390/f12060798"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53</Pages>
  <Words>15911</Words>
  <Characters>90694</Characters>
  <Application>Microsoft Office Word</Application>
  <DocSecurity>0</DocSecurity>
  <Lines>755</Lines>
  <Paragraphs>212</Paragraphs>
  <ScaleCrop>false</ScaleCrop>
  <Company/>
  <LinksUpToDate>false</LinksUpToDate>
  <CharactersWithSpaces>106393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Hart,Sarah</cp:lastModifiedBy>
  <cp:revision>3</cp:revision>
  <dcterms:created xsi:type="dcterms:W3CDTF">2025-06-16T16:11:00Z</dcterms:created>
  <dcterms:modified xsi:type="dcterms:W3CDTF">2025-06-16T16:28:00Z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Drive/JOB/RESEARCH/Analyses/WSBxClimate/citationstyle.csl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y fmtid="{D5CDD505-2E9C-101B-9397-08002B2CF9AE}" pid="8" name="urlcolor">
    <vt:lpwstr>blue</vt:lpwstr>
  </property>
</Properties>
</file>