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Drought</w:t>
      </w:r>
      <w:r>
        <w:t xml:space="preserve"> </w:t>
      </w:r>
      <w:r>
        <w:t xml:space="preserve">may</w:t>
      </w:r>
      <w:r>
        <w:t xml:space="preserve"> </w:t>
      </w:r>
      <w:r>
        <w:t xml:space="preserve">initiate</w:t>
      </w:r>
      <w:r>
        <w:t xml:space="preserve"> </w:t>
      </w:r>
      <w:r>
        <w:t xml:space="preserve">western</w:t>
      </w:r>
      <w:r>
        <w:t xml:space="preserve"> </w:t>
      </w:r>
      <w:r>
        <w:t xml:space="preserve">spruce</w:t>
      </w:r>
      <w:r>
        <w:t xml:space="preserve"> </w:t>
      </w:r>
      <w:r>
        <w:t xml:space="preserve">budworm</w:t>
      </w:r>
      <w:r>
        <w:t xml:space="preserve"> </w:t>
      </w:r>
      <w:r>
        <w:t xml:space="preserve">outbreaks,</w:t>
      </w:r>
      <w:r>
        <w:t xml:space="preserve"> </w:t>
      </w:r>
      <w:r>
        <w:t xml:space="preserve">but</w:t>
      </w:r>
      <w:r>
        <w:t xml:space="preserve"> </w:t>
      </w:r>
      <w:r>
        <w:t xml:space="preserve">multi-year</w:t>
      </w:r>
      <w:r>
        <w:t xml:space="preserve"> </w:t>
      </w:r>
      <w:r>
        <w:t xml:space="preserve">periods</w:t>
      </w:r>
      <w:r>
        <w:t xml:space="preserve"> </w:t>
      </w:r>
      <w:r>
        <w:t xml:space="preserve">of</w:t>
      </w:r>
      <w:r>
        <w:t xml:space="preserve"> </w:t>
      </w:r>
      <w:r>
        <w:t xml:space="preserve">increased</w:t>
      </w:r>
      <w:r>
        <w:t xml:space="preserve"> </w:t>
      </w:r>
      <w:r>
        <w:t xml:space="preserve">moisture</w:t>
      </w:r>
      <w:r>
        <w:t xml:space="preserve"> </w:t>
      </w:r>
      <w:r>
        <w:t xml:space="preserve">availability</w:t>
      </w:r>
      <w:r>
        <w:t xml:space="preserve"> </w:t>
      </w:r>
      <w:r>
        <w:t xml:space="preserve">promote</w:t>
      </w:r>
      <w:r>
        <w:t xml:space="preserve"> </w:t>
      </w:r>
      <w:r>
        <w:t xml:space="preserve">widespread</w:t>
      </w:r>
      <w:r>
        <w:t xml:space="preserve"> </w:t>
      </w:r>
      <w:r>
        <w:t xml:space="preserve">defoliation</w:t>
      </w:r>
    </w:p>
    <w:p>
      <w:pPr>
        <w:pStyle w:val="Author"/>
      </w:pPr>
      <w:r>
        <w:t xml:space="preserve">Sarah</w:t>
      </w:r>
      <w:r>
        <w:t xml:space="preserve"> </w:t>
      </w:r>
      <w:r>
        <w:t xml:space="preserve">J.</w:t>
      </w:r>
      <w:r>
        <w:t xml:space="preserve"> </w:t>
      </w:r>
      <w:r>
        <w:t xml:space="preserve">Hart,</w:t>
      </w:r>
      <w:r>
        <w:t xml:space="preserve"> </w:t>
      </w:r>
      <w:r>
        <w:t xml:space="preserve">Olivia</w:t>
      </w:r>
      <w:r>
        <w:t xml:space="preserve"> </w:t>
      </w:r>
      <w:r>
        <w:t xml:space="preserve">Santiago,</w:t>
      </w:r>
      <w:r>
        <w:t xml:space="preserve"> </w:t>
      </w:r>
      <w:r>
        <w:t xml:space="preserve">Josh</w:t>
      </w:r>
      <w:r>
        <w:t xml:space="preserve"> </w:t>
      </w:r>
      <w:r>
        <w:t xml:space="preserve">D.</w:t>
      </w:r>
      <w:r>
        <w:t xml:space="preserve"> </w:t>
      </w:r>
      <w:r>
        <w:t xml:space="preserve">Carrell,</w:t>
      </w:r>
      <w:r>
        <w:t xml:space="preserve"> </w:t>
      </w:r>
      <w:r>
        <w:t xml:space="preserve">and</w:t>
      </w:r>
      <w:r>
        <w:t xml:space="preserve"> </w:t>
      </w:r>
      <w:r>
        <w:t xml:space="preserve">Thomas</w:t>
      </w:r>
      <w:r>
        <w:t xml:space="preserve"> </w:t>
      </w:r>
      <w:r>
        <w:t xml:space="preserve">T.</w:t>
      </w:r>
      <w:r>
        <w:t xml:space="preserve"> </w:t>
      </w:r>
      <w:r>
        <w:t xml:space="preserve">Veblen</w:t>
      </w:r>
    </w:p>
    <w:p>
      <w:pPr>
        <w:pStyle w:val="Date"/>
      </w:pPr>
      <w:r>
        <w:t xml:space="preserve">January</w:t>
      </w:r>
      <w:r>
        <w:t xml:space="preserve"> </w:t>
      </w:r>
      <w:r>
        <w:t xml:space="preserve">15,</w:t>
      </w:r>
      <w:r>
        <w:t xml:space="preserve"> </w:t>
      </w:r>
      <w:r>
        <w:t xml:space="preserve">2025</w:t>
      </w:r>
    </w:p>
    <w:p>
      <w:r>
        <w:br w:type="page"/>
      </w:r>
    </w:p>
    <w:bookmarkStart w:id="20" w:name="abstract"/>
    <w:p>
      <w:pPr>
        <w:pStyle w:val="Heading1"/>
      </w:pPr>
      <w:r>
        <w:t xml:space="preserve">Abstract</w:t>
      </w:r>
    </w:p>
    <w:p>
      <w:pPr>
        <w:pStyle w:val="FirstParagraph"/>
      </w:pPr>
      <w:r>
        <w:t xml:space="preserve">The western spruce budworm (</w:t>
      </w:r>
      <w:r>
        <w:rPr>
          <w:i/>
          <w:iCs/>
        </w:rPr>
        <w:t xml:space="preserve">Choristoneura occidentalis</w:t>
      </w:r>
      <w:r>
        <w:t xml:space="preserve">) is one of the most widely distributed native defoliators of coniferous forests in North America, where it plays an important role in shaping ecosystem function. In this study, we use tree-ring and geospatial data to reconstruct periods of past WSB outbreak at 12 sites across central to northern Colorado during the period 1650-2023. We use this record data to quantify: (1) temporal synchrony in outbreak history, (2) differences in the dynamics of western spruce budworm outbreaks before and after Euro-American colonization, and (3) the association between climate and outbreak initiation and cessation. We identified eight periods of regionally-synchronous outbreak between 1666 and 2023. In the first several decades following Euro-American colonization, outbreaks were shorter, more severe, and less synchronous across the region, likely due to changes in regional host availability that occurred due to widespread burning from 1850-1890. In addition to land-use practices being associated with regional outbreaks, we found outbreaks were often initiated by drought events and sustained by periods of above average moisture availability, consistent with the pulsed stress hypothesis. Collectively, our work highlights the role of broad-scale drivers, including climate and land-use practices, in influencing stand-level disturbance processes.</w:t>
      </w:r>
    </w:p>
    <w:bookmarkEnd w:id="20"/>
    <w:bookmarkStart w:id="21" w:name="keywords"/>
    <w:p>
      <w:pPr>
        <w:pStyle w:val="Heading1"/>
      </w:pPr>
      <w:r>
        <w:t xml:space="preserve">Keywords</w:t>
      </w:r>
    </w:p>
    <w:p>
      <w:pPr>
        <w:pStyle w:val="FirstParagraph"/>
      </w:pPr>
      <w:r>
        <w:t xml:space="preserve">western spruce budworm;</w:t>
      </w:r>
      <w:r>
        <w:t xml:space="preserve"> </w:t>
      </w:r>
      <w:r>
        <w:rPr>
          <w:i/>
          <w:iCs/>
        </w:rPr>
        <w:t xml:space="preserve">Choristoneura occidentalis;</w:t>
      </w:r>
      <w:r>
        <w:t xml:space="preserve"> </w:t>
      </w:r>
      <w:r>
        <w:t xml:space="preserve">drought; tree ring; dendroecology; insect outbreak; synchrony; land-use practices</w:t>
      </w:r>
    </w:p>
    <w:bookmarkEnd w:id="21"/>
    <w:bookmarkStart w:id="22" w:name="highlights"/>
    <w:p>
      <w:pPr>
        <w:pStyle w:val="Heading1"/>
      </w:pPr>
      <w:r>
        <w:t xml:space="preserve">Highlights</w:t>
      </w:r>
    </w:p>
    <w:p>
      <w:pPr>
        <w:numPr>
          <w:ilvl w:val="0"/>
          <w:numId w:val="1001"/>
        </w:numPr>
      </w:pPr>
      <w:r>
        <w:t xml:space="preserve">Western spruce budworm outbreaks were often proceeded by periods of drought</w:t>
      </w:r>
    </w:p>
    <w:p>
      <w:pPr>
        <w:numPr>
          <w:ilvl w:val="0"/>
          <w:numId w:val="1001"/>
        </w:numPr>
      </w:pPr>
      <w:r>
        <w:t xml:space="preserve">Outbreaks were sustained by periods of above average moisture availability</w:t>
      </w:r>
    </w:p>
    <w:p>
      <w:pPr>
        <w:numPr>
          <w:ilvl w:val="0"/>
          <w:numId w:val="1001"/>
        </w:numPr>
      </w:pPr>
      <w:r>
        <w:t xml:space="preserve">Euro-American colonization was initially linked with lower susceptibility to outbreak</w:t>
      </w:r>
    </w:p>
    <w:bookmarkEnd w:id="22"/>
    <w:bookmarkStart w:id="23" w:name="introduction"/>
    <w:p>
      <w:pPr>
        <w:pStyle w:val="Heading1"/>
      </w:pPr>
      <w:r>
        <w:t xml:space="preserve">Introduction</w:t>
      </w:r>
    </w:p>
    <w:p>
      <w:pPr>
        <w:pStyle w:val="FirstParagraph"/>
      </w:pPr>
      <w:r>
        <w:t xml:space="preserve">Changes in climate, human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
          <w:iCs/>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feeds upon young buds and new foliage of their host trees, which include Douglas-fir (</w:t>
      </w:r>
      <w:r>
        <w:rPr>
          <w:i/>
          <w:iCs/>
        </w:rPr>
        <w:t xml:space="preserve">Pseudotsuga menziesii</w:t>
      </w:r>
      <w:r>
        <w:t xml:space="preserve">), true firs (</w:t>
      </w:r>
      <w:r>
        <w:rPr>
          <w:i/>
          <w:iCs/>
        </w:rPr>
        <w:t xml:space="preserve">Abies</w:t>
      </w:r>
      <w:r>
        <w:t xml:space="preserve"> </w:t>
      </w:r>
      <w:r>
        <w:t xml:space="preserve">spp.) and spruce (</w:t>
      </w:r>
      <w:r>
        <w:rPr>
          <w:i/>
          <w:iCs/>
        </w:rPr>
        <w:t xml:space="preserve">Picea spp.</w:t>
      </w:r>
      <w:r>
        <w:t xml:space="preserve">). Typically, WSBs exist at low population levels and defoliation is minimal</w:t>
      </w:r>
      <w:r>
        <w:t xml:space="preserve"> </w:t>
      </w:r>
      <w:r>
        <w:t xml:space="preserve">(</w:t>
      </w:r>
      <w:hyperlink w:anchor="ref-brookesWesternSpruceBudworm1987">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negative feedbacks among the WSB populations, host trees, and natural enemies no longer constrain WSB population dynamics</w:t>
      </w:r>
      <w:r>
        <w:t xml:space="preserve"> </w:t>
      </w:r>
      <w:r>
        <w:t xml:space="preserve">(</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reduced host species regeneration and altered successional trajectories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wulf1987SiteStandCharacteristics">
        <w:r>
          <w:rPr>
            <w:rStyle w:val="Hyperlink"/>
          </w:rPr>
          <w:t xml:space="preserve">Wulf and Cates, 1987</w:t>
        </w:r>
      </w:hyperlink>
      <w:r>
        <w:t xml:space="preserve">)</w:t>
      </w:r>
      <w:r>
        <w:t xml:space="preserve">, changes in carbon cycling</w:t>
      </w:r>
      <w:r>
        <w:t xml:space="preserve"> </w:t>
      </w:r>
      <w:r>
        <w:t xml:space="preserve">(</w:t>
      </w:r>
      <w:hyperlink w:anchor="ref-dymond2010FutureSpruceBudworm">
        <w:r>
          <w:rPr>
            <w:rStyle w:val="Hyperlink"/>
          </w:rPr>
          <w:t xml:space="preserve">Dymond et al., 2010</w:t>
        </w:r>
      </w:hyperlink>
      <w:r>
        <w:t xml:space="preserve">)</w:t>
      </w:r>
      <w:r>
        <w:t xml:space="preserve">, and reductions in timber volume</w:t>
      </w:r>
      <w:r>
        <w:t xml:space="preserve"> </w:t>
      </w:r>
      <w:r>
        <w:t xml:space="preserve">(</w:t>
      </w:r>
      <w:hyperlink w:anchor="ref-alfaro1992">
        <w:r>
          <w:rPr>
            <w:rStyle w:val="Hyperlink"/>
          </w:rPr>
          <w:t xml:space="preserve">Alfaro and Maclauchlan, 1992</w:t>
        </w:r>
      </w:hyperlink>
      <w:r>
        <w:t xml:space="preserve">)</w:t>
      </w:r>
      <w:r>
        <w:t xml:space="preserve">. Importantly, outbreaks often occur synchronously across broad spatial extents (</w:t>
      </w:r>
      <w:r>
        <w:rPr>
          <w:i/>
          <w:iCs/>
        </w:rPr>
        <w:t xml:space="preserve">i.e.</w:t>
      </w:r>
      <w:r>
        <w:t xml:space="preserve">, 1000s of kilometers)</w:t>
      </w:r>
      <w:r>
        <w:t xml:space="preserve"> </w:t>
      </w:r>
      <w:r>
        <w:t xml:space="preserve">(</w:t>
      </w:r>
      <w:hyperlink w:anchor="ref-flower2016">
        <w:r>
          <w:rPr>
            <w:rStyle w:val="Hyperlink"/>
          </w:rPr>
          <w:t xml:space="preserve">Flower, 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of forest insects often fluctuate synchronously</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w:t>
      </w:r>
      <w:r>
        <w:t xml:space="preserve"> </w:t>
      </w:r>
      <w:r>
        <w:t xml:space="preserve">(</w:t>
      </w:r>
      <w:hyperlink w:anchor="ref-senf2017MultiscaleAnalysisWestern">
        <w:r>
          <w:rPr>
            <w:rStyle w:val="Hyperlink"/>
          </w:rPr>
          <w:t xml:space="preserve">Senf et al., 2017</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w:t>
      </w:r>
      <w:r>
        <w:t xml:space="preserve"> </w:t>
      </w:r>
      <w:r>
        <w:rPr>
          <w:i/>
          <w:iCs/>
        </w:rPr>
        <w:t xml:space="preserve">“</w:t>
      </w:r>
      <w:r>
        <w:rPr>
          <w:i/>
          <w:iCs/>
        </w:rPr>
        <w:t xml:space="preserve">the Moran effect</w:t>
      </w:r>
      <w:r>
        <w:rPr>
          <w:i/>
          <w:iCs/>
        </w:rPr>
        <w:t xml:space="preserve">”</w:t>
      </w:r>
      <w:r>
        <w:t xml:space="preserve">, where spatial autocorrelation in exogenous drivers leads to synchrony</w:t>
      </w:r>
      <w:r>
        <w:t xml:space="preserve"> </w:t>
      </w:r>
      <w:r>
        <w:t xml:space="preserve">(</w:t>
      </w:r>
      <w:hyperlink w:anchor="ref-moran1953StatisticalAnalsisCanadian">
        <w:r>
          <w:rPr>
            <w:rStyle w:val="Hyperlink"/>
          </w:rPr>
          <w:t xml:space="preserve">Moran, 1953</w:t>
        </w:r>
      </w:hyperlink>
      <w:r>
        <w:t xml:space="preserve">)</w:t>
      </w:r>
      <w:r>
        <w:t xml:space="preserve">. For the WSB, Moran effects may occur if climate affects WSB population rates by altering insect survival or fecundity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regionally-synchronized stand development affects forage quantity and quality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host-dominated multistoried stands that provide favorable microenvironments for egg development as well as feeding and downward dispersal of larvae</w:t>
      </w:r>
      <w:r>
        <w:t xml:space="preserve"> </w:t>
      </w:r>
      <w:r>
        <w:t xml:space="preserve">(</w:t>
      </w:r>
      <w:hyperlink w:anchor="ref-wulf1987SiteStandCharacteristics">
        <w:r>
          <w:rPr>
            <w:rStyle w:val="Hyperlink"/>
          </w:rPr>
          <w:t xml:space="preserve">Wulf and Cates, 1987</w:t>
        </w:r>
      </w:hyperlink>
      <w:r>
        <w:t xml:space="preserve">)</w:t>
      </w:r>
      <w:r>
        <w:t xml:space="preserve">. These stands are particularly susceptible when the surrounding landscape is also characterized by abundant hosts</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enf2017MultiscaleAnalysisWestern">
        <w:r>
          <w:rPr>
            <w:rStyle w:val="Hyperlink"/>
          </w:rPr>
          <w:t xml:space="preserve">Senf et al., 2017</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a8e7b4496a2b14799f3080f3ed2c3fc6e02c2a8">
        <w:r>
          <w:rPr>
            <w:rStyle w:val="Hyperlink"/>
          </w:rPr>
          <w:t xml:space="preserve">Hessburg et al., 2019</w:t>
        </w:r>
      </w:hyperlink>
      <w:r>
        <w:t xml:space="preserve">)</w:t>
      </w:r>
      <w:r>
        <w:t xml:space="preserve">. Early Euro-American settlers often heavily logged forests near settlements and ignited fires, often burning extensive areas</w:t>
      </w:r>
      <w:r>
        <w:t xml:space="preserve"> </w:t>
      </w:r>
      <w:r>
        <w:t xml:space="preserve">(</w:t>
      </w:r>
      <w:hyperlink w:anchor="ref-veblen1991ColoradoFrontRange">
        <w:r>
          <w:rPr>
            <w:rStyle w:val="Hyperlink"/>
          </w:rPr>
          <w:t xml:space="preserve">Veblen and Lorenz, 1991</w:t>
        </w:r>
      </w:hyperlink>
      <w:r>
        <w:t xml:space="preserve">)</w:t>
      </w:r>
      <w:r>
        <w:t xml:space="preserve">. For example, in the Southern Rocky Mountains logging and burning left a legacy of widespread even-aged forests that established in the late 19th to early 20th century</w:t>
      </w:r>
      <w:r>
        <w:t xml:space="preserve"> </w:t>
      </w:r>
      <w:r>
        <w:t xml:space="preserve">(</w:t>
      </w:r>
      <w:hyperlink w:anchor="ref-smith2000ForestryPracticesForest">
        <w:r>
          <w:rPr>
            <w:rStyle w:val="Hyperlink"/>
          </w:rPr>
          <w:t xml:space="preserve">Smith, 2000</w:t>
        </w:r>
      </w:hyperlink>
      <w:r>
        <w:t xml:space="preserve">;</w:t>
      </w:r>
      <w:r>
        <w:t xml:space="preserve"> </w:t>
      </w:r>
      <w:hyperlink w:anchor="ref-veblen1991ColoradoFrontRange">
        <w:r>
          <w:rPr>
            <w:rStyle w:val="Hyperlink"/>
          </w:rPr>
          <w:t xml:space="preserve">Veblen and Lorenz, 1991</w:t>
        </w:r>
      </w:hyperlink>
      <w:r>
        <w:t xml:space="preserve">)</w:t>
      </w:r>
      <w:r>
        <w:t xml:space="preserve">.</w:t>
      </w:r>
    </w:p>
    <w:p>
      <w:pPr>
        <w:pStyle w:val="BodyText"/>
      </w:pPr>
      <w:r>
        <w:t xml:space="preserve">Both logging practices that emphasize the selective harvesting of large trees and severe wildfires can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howe2024BudwormsBeetlesWildfire">
        <w:r>
          <w:rPr>
            <w:rStyle w:val="Hyperlink"/>
          </w:rPr>
          <w:t xml:space="preserve">Howe et al., 2024</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 eventually developing into multistoried structures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Additionally in many forests formerly characterized by a low-severity, frequent fire regime, reduced fire frequency resulting from livestock grazing and modern fire exclusion practices in the early 1900s resulted in denser stands and in some cases increased abundance of the more shade-tolerant Douglas-fir</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X20dc6b4212d336f348a008e734813a6d93f7c5b">
        <w:r>
          <w:rPr>
            <w:rStyle w:val="Hyperlink"/>
          </w:rPr>
          <w:t xml:space="preserve">Kaufmann et al., 2000</w:t>
        </w:r>
      </w:hyperlink>
      <w:r>
        <w:t xml:space="preserve">;</w:t>
      </w:r>
      <w:r>
        <w:t xml:space="preserve"> </w:t>
      </w:r>
      <w:hyperlink w:anchor="ref-schoennagel2011FireHistoryTree">
        <w:r>
          <w:rPr>
            <w:rStyle w:val="Hyperlink"/>
          </w:rPr>
          <w:t xml:space="preserve">Schoennagel et al., 2011</w:t>
        </w:r>
      </w:hyperlink>
      <w:r>
        <w:t xml:space="preserve">;</w:t>
      </w:r>
      <w:r>
        <w:t xml:space="preserve"> </w:t>
      </w:r>
      <w:hyperlink w:anchor="ref-sherriff2006EcologicalEffectsChanges">
        <w:r>
          <w:rPr>
            <w:rStyle w:val="Hyperlink"/>
          </w:rPr>
          <w:t xml:space="preserve">Sherriff and Veblen, 2006</w:t>
        </w:r>
      </w:hyperlink>
      <w:r>
        <w:t xml:space="preserve">)</w:t>
      </w:r>
      <w:r>
        <w:t xml:space="preserve">. Collectively, similar changes in effects of Euro-American land-use practices have been hypothesized to make stands more susceptible to WSB outbreaks and lead to increases in the severity and synchrony of WSB outbreaks</w:t>
      </w:r>
      <w:r>
        <w:t xml:space="preserve"> </w:t>
      </w:r>
      <w:r>
        <w:t xml:space="preserve">(</w:t>
      </w:r>
      <w:hyperlink w:anchor="ref-swetnam1989">
        <w:r>
          <w:rPr>
            <w:rStyle w:val="Hyperlink"/>
          </w:rPr>
          <w:t xml:space="preserve">Swetnam and Lynch, 1989</w:t>
        </w:r>
      </w:hyperlink>
      <w:r>
        <w:t xml:space="preserve">)</w:t>
      </w:r>
      <w:r>
        <w:t xml:space="preserve">. However, evidence for this effect appears to vary regionally</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irruptions of folivorous insect populations</w:t>
      </w:r>
      <w:r>
        <w:t xml:space="preserve"> </w:t>
      </w:r>
      <w:r>
        <w:t xml:space="preserve">(</w:t>
      </w:r>
      <w:hyperlink w:anchor="ref-gely2020HowHerbivorousInsects">
        <w:r>
          <w:rPr>
            <w:rStyle w:val="Hyperlink"/>
          </w:rPr>
          <w:t xml:space="preserve">Gely et al., 2020</w:t>
        </w:r>
      </w:hyperlink>
      <w:r>
        <w:t xml:space="preserve">)</w:t>
      </w:r>
      <w:r>
        <w:t xml:space="preserve">. For instance, droughts may increase available foliar nitrogen content, thereby triggering population irruptions (</w:t>
      </w:r>
      <w:r>
        <w:rPr>
          <w:i/>
          <w:iCs/>
        </w:rPr>
        <w:t xml:space="preserve">plant stress hypothesis</w:t>
      </w:r>
      <w:r>
        <w:t xml:space="preserve">)</w:t>
      </w:r>
      <w:r>
        <w:t xml:space="preserve"> </w:t>
      </w:r>
      <w:r>
        <w:t xml:space="preserve">(</w:t>
      </w:r>
      <w:hyperlink w:anchor="X82b5ec8416d78e33a29a762521c2a692b01ddf5">
        <w:r>
          <w:rPr>
            <w:rStyle w:val="Hyperlink"/>
          </w:rPr>
          <w:t xml:space="preserve">White, 1984</w:t>
        </w:r>
      </w:hyperlink>
      <w:r>
        <w:t xml:space="preserve">)</w:t>
      </w:r>
      <w:r>
        <w:t xml:space="preserve">. Alternatively, insect population growth rates may increase in response to periods of above average moisture that increase forage digestibility and availability (</w:t>
      </w:r>
      <w:r>
        <w:rPr>
          <w:i/>
          <w:iCs/>
        </w:rPr>
        <w:t xml:space="preserve">plant vigor hypothesis</w:t>
      </w:r>
      <w:r>
        <w:t xml:space="preserve">) (</w:t>
      </w:r>
      <w:hyperlink w:anchor="ref-price1991PlantVigorHypothesis">
        <w:r>
          <w:rPr>
            <w:rStyle w:val="Hyperlink"/>
          </w:rPr>
          <w:t xml:space="preserve">Price 1991</w:t>
        </w:r>
      </w:hyperlink>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because fewer carbohydrates are used for growth, leaving more resources available for the production of defense compounds (</w:t>
      </w:r>
      <w:r>
        <w:rPr>
          <w:i/>
          <w:iCs/>
        </w:rPr>
        <w:t xml:space="preserve">growth-differentiation balance hypothesis)</w:t>
      </w:r>
      <w:r>
        <w:t xml:space="preserve"> </w:t>
      </w:r>
      <w:r>
        <w:t xml:space="preserve">(</w:t>
      </w:r>
      <w:hyperlink w:anchor="ref-herms1992DilemmaPlantsGrow">
        <w:r>
          <w:rPr>
            <w:rStyle w:val="Hyperlink"/>
          </w:rPr>
          <w:t xml:space="preserve">Herms and Mattson, 1992</w:t>
        </w:r>
      </w:hyperlink>
      <w:r>
        <w:t xml:space="preserve">)</w:t>
      </w:r>
      <w:r>
        <w:t xml:space="preserve">. Further, multi-year drought events may have particularly large effects because trees often rely on carbon fixed in prior years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Finally, drought events that are followed by increased moisture availability may be the most favorable to outbreak if drought increases forage quality thereby triggering outbreak initiation, but above average moisture availability sustains forage production necessary for sustaining high population levels (</w:t>
      </w:r>
      <w:r>
        <w:rPr>
          <w:i/>
          <w:iCs/>
        </w:rPr>
        <w:t xml:space="preserve">pulsed stress hypothesis</w:t>
      </w:r>
      <w:r>
        <w:t xml:space="preserve">)</w:t>
      </w:r>
      <w:r>
        <w:t xml:space="preserve"> </w:t>
      </w:r>
      <w:r>
        <w:t xml:space="preserve">(</w:t>
      </w:r>
      <w:hyperlink w:anchor="ref-flower2014">
        <w:r>
          <w:rPr>
            <w:rStyle w:val="Hyperlink"/>
          </w:rPr>
          <w:t xml:space="preserve">Flower et al., 2014</w:t>
        </w:r>
      </w:hyperlink>
      <w:r>
        <w:t xml:space="preserve">;</w:t>
      </w:r>
      <w:r>
        <w:t xml:space="preserve"> </w:t>
      </w:r>
      <w:hyperlink w:anchor="ref-huberty2004PlantWaterStress">
        <w:r>
          <w:rPr>
            <w:rStyle w:val="Hyperlink"/>
          </w:rPr>
          <w:t xml:space="preserve">Huberty and Denno, 2004</w:t>
        </w:r>
      </w:hyperlink>
      <w:r>
        <w:t xml:space="preserve">)</w:t>
      </w:r>
      <w:r>
        <w:t xml:space="preserve">.</w:t>
      </w:r>
    </w:p>
    <w:p>
      <w:pPr>
        <w:pStyle w:val="BodyText"/>
      </w:pPr>
      <w:r>
        <w:t xml:space="preserve">Once WSB populations have irrupted, they may persist at high levels for several years but eventually collapse</w:t>
      </w:r>
      <w:r>
        <w:t xml:space="preserve"> </w:t>
      </w:r>
      <w:r>
        <w:t xml:space="preserve">(</w:t>
      </w:r>
      <w:hyperlink w:anchor="ref-brookesWesternSpruceBudworm1987">
        <w:r>
          <w:rPr>
            <w:rStyle w:val="Hyperlink"/>
          </w:rPr>
          <w:t xml:space="preserve">Brookes et al., 1987</w:t>
        </w:r>
      </w:hyperlink>
      <w:r>
        <w:t xml:space="preserve">)</w:t>
      </w:r>
      <w:r>
        <w:t xml:space="preserve">. Several factors have been suggested to drive outbreak cessation</w:t>
      </w:r>
      <w:r>
        <w:t xml:space="preserve"> </w:t>
      </w:r>
      <w:r>
        <w:t xml:space="preserve">(</w:t>
      </w:r>
      <w:hyperlink w:anchor="ref-nealis2021EcologyOutbreakPopulations">
        <w:r>
          <w:rPr>
            <w:rStyle w:val="Hyperlink"/>
          </w:rPr>
          <w:t xml:space="preserve">Nealis and Régnière, 2021</w:t>
        </w:r>
      </w:hyperlink>
      <w:r>
        <w:t xml:space="preserve">)</w:t>
      </w:r>
      <w:r>
        <w:t xml:space="preserve">. As WSB populations grow, populations of parasitoids and pathogens of the WSB often increase, although this response is lagged. While increases in natural enemies have been suggested as a key driver of outbreak collapse</w:t>
      </w:r>
      <w:r>
        <w:t xml:space="preserve"> </w:t>
      </w:r>
      <w:r>
        <w:t xml:space="preserve">(</w:t>
      </w:r>
      <w:hyperlink w:anchor="ref-campbell1987PopulationDynamics">
        <w:r>
          <w:rPr>
            <w:rStyle w:val="Hyperlink"/>
          </w:rPr>
          <w:t xml:space="preserve">Campbell, 1987</w:t>
        </w:r>
      </w:hyperlink>
      <w:r>
        <w:t xml:space="preserve">;</w:t>
      </w:r>
      <w:r>
        <w:t xml:space="preserve"> </w:t>
      </w:r>
      <w:hyperlink w:anchor="ref-royama1984">
        <w:r>
          <w:rPr>
            <w:rStyle w:val="Hyperlink"/>
          </w:rPr>
          <w:t xml:space="preserve">Royama, 1984</w:t>
        </w:r>
      </w:hyperlink>
      <w:r>
        <w:t xml:space="preserve">)</w:t>
      </w:r>
      <w:r>
        <w:t xml:space="preserve">, recent research has documented outbreak cessation in stands without elevated populations of natural enemies</w:t>
      </w:r>
      <w:r>
        <w:t xml:space="preserve"> </w:t>
      </w:r>
      <w:r>
        <w:t xml:space="preserve">(</w:t>
      </w:r>
      <w:hyperlink w:anchor="ref-nealis2021EcologyOutbreakPopulations">
        <w:r>
          <w:rPr>
            <w:rStyle w:val="Hyperlink"/>
          </w:rPr>
          <w:t xml:space="preserve">Nealis and Régnière, 2021</w:t>
        </w:r>
      </w:hyperlink>
      <w:r>
        <w:t xml:space="preserve">)</w:t>
      </w:r>
      <w:r>
        <w:t xml:space="preserve">. Increasing WSB populations can also lead to foliage depletion, thereby decreasing the survival rates of WSBs because dispersing larvae cannot find suitable forage</w:t>
      </w:r>
      <w:r>
        <w:t xml:space="preserve"> </w:t>
      </w:r>
      <w:r>
        <w:t xml:space="preserve">(</w:t>
      </w:r>
      <w:hyperlink w:anchor="ref-nealis2009RiskDispersalWestern">
        <w:r>
          <w:rPr>
            <w:rStyle w:val="Hyperlink"/>
          </w:rPr>
          <w:t xml:space="preserve">Nealis and Régnière, 2009</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Warm and dry conditions may deplete the glycogen stores that WSB larvae initially feed upon and decrease forage production, collectively increasing WSB mortality rates</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w:t>
      </w:r>
      <w:hyperlink w:anchor="ref-senf2016UsingLandsatAssess">
        <w:r>
          <w:rPr>
            <w:rStyle w:val="Hyperlink"/>
          </w:rPr>
          <w:t xml:space="preserve">Senf et al., 2016</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geospatial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data to quantify: (1) temporal synchrony in outbreak history, (2) differences in the dynamics of WSB outbreaks before and after Euro-American colonization, and (3) the association between climate and outbreak initiation and cessation.</w:t>
      </w:r>
    </w:p>
    <w:bookmarkEnd w:id="23"/>
    <w:bookmarkStart w:id="36" w:name="materials-and-methods"/>
    <w:p>
      <w:pPr>
        <w:pStyle w:val="Heading1"/>
      </w:pPr>
      <w:r>
        <w:t xml:space="preserve">Materials and Methods</w:t>
      </w:r>
    </w:p>
    <w:bookmarkStart w:id="24" w:name="study-area"/>
    <w:p>
      <w:pPr>
        <w:pStyle w:val="Heading2"/>
      </w:pPr>
      <w:r>
        <w:t xml:space="preserve">Study area</w:t>
      </w:r>
    </w:p>
    <w:p>
      <w:pPr>
        <w:pStyle w:val="FirstParagraph"/>
      </w:pPr>
      <w:r>
        <w:t xml:space="preserve">The study area consists of forested areas in central to northern Colorado (39.1°N to 40.8°N latitude) where Douglas fir is commonly found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This zone extends from about 2100 to 2900 meters in elevation and includes areas both east and west of the Continental Divide. Typically, this region experiences warm summers (1991-2020 mean July daily maximum temperature: 25.2°C), cold winters (1991-2020 mean January daily minimum temperature: -10.2°C), and moderate amounts of precipitation (1991-2020 mean total annual precipitation: 522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region are dominated by ponderosa pine (</w:t>
      </w:r>
      <w:r>
        <w:rPr>
          <w:i/>
          <w:iCs/>
        </w:rPr>
        <w:t xml:space="preserve">Pinus ponderosa</w:t>
      </w:r>
      <w:r>
        <w:t xml:space="preserve">) and Douglas fir (</w:t>
      </w:r>
      <w:r>
        <w:rPr>
          <w:i/>
          <w:iCs/>
        </w:rPr>
        <w:t xml:space="preserve">Pseudotsuga menziesii)</w:t>
      </w:r>
      <w:r>
        <w:t xml:space="preserve">, with lesser components of aspen (</w:t>
      </w:r>
      <w:r>
        <w:rPr>
          <w:i/>
          <w:iCs/>
        </w:rPr>
        <w:t xml:space="preserve">Populus tremuloides</w:t>
      </w:r>
      <w:r>
        <w:t xml:space="preserve">), lodgepole pine (</w:t>
      </w:r>
      <w:r>
        <w:rPr>
          <w:i/>
          <w:iCs/>
        </w:rPr>
        <w:t xml:space="preserve">Pinus contorta</w:t>
      </w:r>
      <w:r>
        <w:t xml:space="preserve">), and limber pine (</w:t>
      </w:r>
      <w:r>
        <w:rPr>
          <w:i/>
          <w:iCs/>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jc w:val="center"/>
        <w:pStyle w:val="Figure"/>
      </w:pPr>
      <w:r>
        <w:rPr/>
        <w:drawing>
          <wp:inline distT="0" distB="0" distL="0" distR="0">
            <wp:extent cx="3200400" cy="41148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244"/>
                    <a:stretch>
                      <a:fillRect/>
                    </a:stretch>
                  </pic:blipFill>
                  <pic:spPr bwMode="auto">
                    <a:xfrm>
                      <a:off x="0" y="0"/>
                      <a:ext cx="44450" cy="57150"/>
                    </a:xfrm>
                    <a:prstGeom prst="rect">
                      <a:avLst/>
                    </a:prstGeom>
                    <a:noFill/>
                  </pic:spPr>
                </pic:pic>
              </a:graphicData>
            </a:graphic>
          </wp:inline>
        </w:drawing>
      </w:r>
    </w:p>
    <w:p>
      <w:pPr>
        <w:pStyle w:val="ImageCaption"/>
      </w:pPr>
      <w:r>
        <w:rPr>
          <w:rFonts/>
          <w:b w:val="true"/>
        </w:rPr>
        <w:t xml:space="preserve">Figure </w:t>
      </w:r>
      <w:bookmarkStart w:id="d4cbcfcd-5b6a-470a-86d5-4e91c796cb23"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cbcfcd-5b6a-470a-86d5-4e91c796cb23"/>
      <w:r>
        <w:rPr>
          <w:rFonts/>
          <w:b w:val="true"/>
        </w:rPr>
        <w:t xml:space="preserve">: </w:t>
      </w:r>
      <w:r>
        <w:t xml:space="preserve">The study area and WSB reconstruction (triangles) and non-host control (circles) sample sites. The green shading illustrates the distribution of Douglas fir. The inset map display’s the study area’s location relative to the contiguous western United States.</w:t>
      </w:r>
    </w:p>
    <w:bookmarkEnd w:id="24"/>
    <w:bookmarkStart w:id="28" w:name="data"/>
    <w:p>
      <w:pPr>
        <w:pStyle w:val="Heading2"/>
      </w:pPr>
      <w:r>
        <w:t xml:space="preserve">Data</w:t>
      </w:r>
    </w:p>
    <w:bookmarkStart w:id="25"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 S</w:t>
      </w:r>
      <w:hyperlink w:anchor="hostmeta">
        <w:r xmlns:w14="http://schemas.microsoft.com/office/word/2010/wordml">
          <w:rPr/>
          <w:fldChar w:fldCharType="begin" w:dirty="true"/>
        </w:r>
        <w:r xmlns:w14="http://schemas.microsoft.com/office/word/2010/wordml">
          <w:rPr/>
          <w:instrText xml:space="preserve" w:dirty="true"> REF hostmeta \h</w:instrText>
        </w:r>
        <w:r xmlns:w14="http://schemas.microsoft.com/office/word/2010/wordml">
          <w:rPr/>
          <w:fldChar w:fldCharType="end" w:dirty="true"/>
        </w:r>
      </w:hyperlink>
      <w:r>
        <w:t xml:space="preserve">).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 widths were then measured to a 0.01 mm precision using a Velmex UniSlide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5"/>
    <w:bookmarkStart w:id="26"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 In the subsequent analyses of outbreaks with climate data, these recent fire history data allowed us to eliminate periods when stands would have been too young to be susceptible to WSB outbreak.</w:t>
      </w:r>
    </w:p>
    <w:bookmarkEnd w:id="26"/>
    <w:bookmarkStart w:id="27" w:name="climate-data"/>
    <w:p>
      <w:pPr>
        <w:pStyle w:val="Heading3"/>
      </w:pPr>
      <w:r>
        <w:t xml:space="preserve">Climate data</w:t>
      </w:r>
    </w:p>
    <w:p>
      <w:pPr>
        <w:pStyle w:val="FirstParagraph"/>
      </w:pPr>
      <w:r>
        <w:t xml:space="preserve">To characterize temporal variation in drought severity, we obtained multi-century (i.e., AD 1600-2005) records of the self-calibrating Palmer Drought Severity Index (SC-PDSI)</w:t>
      </w:r>
      <w:r>
        <w:t xml:space="preserve"> </w:t>
      </w:r>
      <w:r>
        <w:t xml:space="preserve">Palmer (</w:t>
      </w:r>
      <w:hyperlink w:anchor="ref-palmer1965">
        <w:r>
          <w:rPr>
            <w:rStyle w:val="Hyperlink"/>
          </w:rPr>
          <w:t xml:space="preserve">1965</w:t>
        </w:r>
      </w:hyperlink>
      <w:r>
        <w:t xml:space="preserve">)</w:t>
      </w:r>
      <w:r>
        <w:t xml:space="preserve"> </w:t>
      </w:r>
      <w:r>
        <w:t xml:space="preserve">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While WSB population dynamics are also sensitive to climate conditions in winter, spring, and fall</w:t>
      </w:r>
      <w:r>
        <w:t xml:space="preserve"> </w:t>
      </w:r>
      <w:r>
        <w:t xml:space="preserve">(</w:t>
      </w:r>
      <w:hyperlink w:anchor="ref-nealis2021EcologyOutbreakPopulations">
        <w:r>
          <w:rPr>
            <w:rStyle w:val="Hyperlink"/>
          </w:rPr>
          <w:t xml:space="preserve">Nealis and Régnière, 2021</w:t>
        </w:r>
      </w:hyperlink>
      <w:r>
        <w:t xml:space="preserve">)</w:t>
      </w:r>
      <w:r>
        <w:t xml:space="preserve">, June-August SC-PDSI is the only available multi-century and spatially-explicit reconstruction of interannual climate variability for the study region. Further it has been used in prior research to test hypotheses similar to those posed herein about the effects of drought on WSB outbreak dynamics</w:t>
      </w:r>
      <w:r>
        <w:t xml:space="preserve"> </w:t>
      </w:r>
      <w:r>
        <w:t xml:space="preserve">(e.g.,</w:t>
      </w:r>
      <w:r>
        <w:t xml:space="preserve"> </w:t>
      </w:r>
      <w:hyperlink w:anchor="ref-flower2014">
        <w:r>
          <w:rPr>
            <w:rStyle w:val="Hyperlink"/>
          </w:rPr>
          <w:t xml:space="preserve">Flower et al., 2014</w:t>
        </w:r>
      </w:hyperlink>
      <w:r>
        <w:t xml:space="preserve">)</w:t>
      </w:r>
      <w:r>
        <w:t xml:space="preserve">.</w:t>
      </w:r>
    </w:p>
    <w:p>
      <w:pPr>
        <w:pStyle w:val="BodyText"/>
      </w:pPr>
      <w:r>
        <w:t xml:space="preserve">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1600-2005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1600-1980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27"/>
    <w:bookmarkEnd w:id="28"/>
    <w:bookmarkStart w:id="32" w:name="reconstructing-periods-of-past-outbreak"/>
    <w:p>
      <w:pPr>
        <w:pStyle w:val="Heading2"/>
      </w:pPr>
      <w:r>
        <w:t xml:space="preserve">Reconstructing periods of past outbreak</w:t>
      </w:r>
    </w:p>
    <w:bookmarkStart w:id="29"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2006a</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 S</w:t>
      </w:r>
      <w:hyperlink w:anchor="nonhostmeta">
        <w:r xmlns:w14="http://schemas.microsoft.com/office/word/2010/wordml">
          <w:rPr/>
          <w:fldChar w:fldCharType="begin" w:dirty="true"/>
        </w:r>
        <w:r xmlns:w14="http://schemas.microsoft.com/office/word/2010/wordml">
          <w:rPr/>
          <w:instrText xml:space="preserve" w:dirty="true"> REF nonhostmeta \h</w:instrText>
        </w:r>
        <w:r xmlns:w14="http://schemas.microsoft.com/office/word/2010/wordml">
          <w:rPr/>
          <w:fldChar w:fldCharType="end" w:dirty="true"/>
        </w:r>
      </w:hyperlink>
      <w:r>
        <w:t xml:space="preserve">).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
          <w:iCs/>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calculated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sSub>
          <m:e>
            <m:r>
              <m:t>I</m:t>
            </m:r>
          </m:e>
          <m:sub>
            <m:r>
              <m:t>h</m:t>
            </m:r>
            <m:r>
              <m:t>t</m:t>
            </m:r>
          </m:sub>
        </m:sSub>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dfoliatR</w:t>
      </w:r>
      <w:r>
        <w:t xml:space="preserve"> </w:t>
      </w:r>
      <w:r>
        <w:t xml:space="preserve">package</w:t>
      </w:r>
      <w:r>
        <w:t xml:space="preserve"> </w:t>
      </w:r>
      <w:r>
        <w:t xml:space="preserve">(</w:t>
      </w:r>
      <w:hyperlink w:anchor="ref-guiterman2020">
        <w:r>
          <w:rPr>
            <w:rStyle w:val="Hyperlink"/>
          </w:rPr>
          <w:t xml:space="preserve">Guiterman et al., 2020</w:t>
        </w:r>
      </w:hyperlink>
      <w:r>
        <w:t xml:space="preserve">)</w:t>
      </w:r>
      <w:r>
        <w:t xml:space="preserve">.</w:t>
      </w:r>
    </w:p>
    <w:bookmarkEnd w:id="29"/>
    <w:bookmarkStart w:id="30"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
          <w:iCs/>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0"/>
    <w:bookmarkStart w:id="31" w:name="defining-periods-of-regional-outbreak"/>
    <w:p>
      <w:pPr>
        <w:pStyle w:val="Heading3"/>
      </w:pPr>
      <w:r>
        <w:t xml:space="preserve">Defining periods of regional outbreak</w:t>
      </w:r>
    </w:p>
    <w:p>
      <w:pPr>
        <w:pStyle w:val="FirstParagraph"/>
      </w:pPr>
      <w:r>
        <w:t xml:space="preserve">Finally, we used the composite record to define periods of regional outbreak, defined here as two or more consecutive years where at least one third of the sites simultaneously recorded a WSB outbreak. Given not all records extend as far back in time, we limited the regional record to the period where at least four sites were recording (1665-2023). We defined years of regional outbreak initiation in two ways, (1) the first year where at least one third of the sites were recording an outbreak and (2) the first year where any site was recording an outbreak coincided with a period of regional outbreak. We calculated cessation dates in the same manner.</w:t>
      </w:r>
    </w:p>
    <w:bookmarkEnd w:id="31"/>
    <w:bookmarkEnd w:id="32"/>
    <w:bookmarkStart w:id="33"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
          <w:iCs/>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We then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
          <w:iCs/>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Multivariate Event Analyses were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3"/>
    <w:bookmarkStart w:id="34" w:name="X883d1cd8a4e0d0b6909471e21c7e12beeef988f"/>
    <w:p>
      <w:pPr>
        <w:pStyle w:val="Heading2"/>
      </w:pPr>
      <w:r>
        <w:t xml:space="preserve">Quantifying outbreak dynamics for periods before and after Euro-American colonization</w:t>
      </w:r>
    </w:p>
    <w:p>
      <w:pPr>
        <w:pStyle w:val="FirstParagraph"/>
      </w:pPr>
      <w:r>
        <w:t xml:space="preserve">To determine if changes in land-use practices associated with Euro-American colonization influenced the dynamics of WSB outbreaks, we split our dataset into two 100-yr periods: (1) 1750-1849 and (2) 1890-1989, or approximately the centuries before and after intensive colonization, respectively</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ref-veblen2000">
        <w:r>
          <w:rPr>
            <w:rStyle w:val="Hyperlink"/>
          </w:rPr>
          <w:t xml:space="preserve">Veblen et al., 2000</w:t>
        </w:r>
      </w:hyperlink>
      <w:r>
        <w:t xml:space="preserve">;</w:t>
      </w:r>
      <w:r>
        <w:t xml:space="preserve"> </w:t>
      </w:r>
      <w:hyperlink w:anchor="ref-veblen2005">
        <w:r>
          <w:rPr>
            <w:rStyle w:val="Hyperlink"/>
          </w:rPr>
          <w:t xml:space="preserve">Veblen and Donnegan, 2005</w:t>
        </w:r>
      </w:hyperlink>
      <w:r>
        <w:t xml:space="preserve">)</w:t>
      </w:r>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w:t>
      </w:r>
      <w:r>
        <w:t xml:space="preserve"> </w:t>
      </w:r>
      <w:r>
        <w:rPr>
          <w:i/>
          <w:iCs/>
        </w:rPr>
        <w:t xml:space="preserve">MASS</w:t>
      </w:r>
      <w:r>
        <w:t xml:space="preserve"> </w:t>
      </w:r>
      <w:r>
        <w:t xml:space="preserve">(</w:t>
      </w:r>
      <w:hyperlink w:anchor="ref-MASS">
        <w:r>
          <w:rPr>
            <w:rStyle w:val="Hyperlink"/>
          </w:rPr>
          <w:t xml:space="preserve">Venables and Ripley, 2002</w:t>
        </w:r>
      </w:hyperlink>
      <w:r>
        <w:t xml:space="preserve">)</w:t>
      </w:r>
      <w:r>
        <w:t xml:space="preserve"> </w:t>
      </w:r>
      <w:r>
        <w:t xml:space="preserve">and</w:t>
      </w:r>
      <w:r>
        <w:t xml:space="preserve"> </w:t>
      </w:r>
      <w:r>
        <w:rPr>
          <w:i/>
          <w:iCs/>
        </w:rPr>
        <w:t xml:space="preserve">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1750-1849 and 1890-1989 periods and visually compared the results.</w:t>
      </w:r>
    </w:p>
    <w:bookmarkEnd w:id="34"/>
    <w:bookmarkStart w:id="35" w:name="Xee45ae4d23fa6452e44f5fd470e555a51608f65"/>
    <w:p>
      <w:pPr>
        <w:pStyle w:val="Heading2"/>
      </w:pPr>
      <w:r>
        <w:t xml:space="preserve">Quantifying associations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regional outbreak and non-outbreak periods. To quantify SC-PDSI across the region, we averaged SC-PDSI across all sites. Given the assumption of independence of observations and strong serial autocorrelation in the regional SC-PDSI time series, we first fit an autoregressive model to the regional SC-PDSI time series.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
          <w:iCs/>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model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(cessation) using an 11-year window centered on the event year</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regional outbreak record and the regional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hyperlink w:anchor="ref-bunn2008">
        <w:r>
          <w:rPr>
            <w:rStyle w:val="Hyperlink"/>
          </w:rPr>
          <w:t xml:space="preserve">Bunn, 2008</w:t>
        </w:r>
      </w:hyperlink>
      <w:r>
        <w:t xml:space="preserve">)</w:t>
      </w:r>
      <w:r>
        <w:t xml:space="preserve">.</w:t>
      </w:r>
    </w:p>
    <w:p>
      <w:pPr>
        <w:pStyle w:val="BodyText"/>
      </w:pPr>
      <w:r>
        <w:t xml:space="preserve">To determine if the duration or magnitude of multi-year drought (i.e., negative SC-PDSI) or wet periods (i.e., positive SC-PDSI) were important in driving the initiation or cessation of WSB outbreaks, we used site-level records of SC-PDSI and outbreak. First, we classified time series of SC-PDSI as periods of either drought or above average moisture availability, which we defined as consecutive years with SC-PDSI values below -1.0 (drought) or above 1.0 (wet periods). For each of these periods, we then calculated the duration and mean and extreme SC-PDSI value (i.e., greatest PDSI value for wet periods and lowest SC-PDSI value for droughts). We then used a generalized linear mixed effect modeling approach to test if the duration, mean, or extreme value of droughts or wet periods differed between periods of outbreak and no outbreak. Specifically, we examined: (1) droughts concurrent with or immediately preceding outbreak initiation, (2) wet periods concurrent/following with outbreak initiation, (3) wet periods concurrent with or immediately preceding outbreak cessation, and (4) drought periods concurrent or following outbreak cessation. In all models we included a fixed effect of the presence/absence of an outbreak event and random effect of site identity, which was included to account for multiple outbreak events within each site. We then tested the statistical hypothesis that the intercept differed from zero using a Wald test. Models were fit using Penalized Quasi-Likelihood using the</w:t>
      </w:r>
      <w:r>
        <w:t xml:space="preserve"> </w:t>
      </w:r>
      <w:r>
        <w:rPr>
          <w:i/>
          <w:iCs/>
        </w:rPr>
        <w:t xml:space="preserve">MASS</w:t>
      </w:r>
      <w:r>
        <w:t xml:space="preserve"> </w:t>
      </w:r>
      <w:r>
        <w:t xml:space="preserve">package</w:t>
      </w:r>
      <w:r>
        <w:t xml:space="preserve"> </w:t>
      </w:r>
      <w:r>
        <w:t xml:space="preserve">(</w:t>
      </w:r>
      <w:hyperlink w:anchor="ref-MASS">
        <w:r>
          <w:rPr>
            <w:rStyle w:val="Hyperlink"/>
          </w:rPr>
          <w:t xml:space="preserve">Venables and Ripley, 2002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35"/>
    <w:bookmarkEnd w:id="36"/>
    <w:bookmarkStart w:id="41" w:name="results"/>
    <w:p>
      <w:pPr>
        <w:pStyle w:val="Heading1"/>
      </w:pPr>
      <w:r>
        <w:t xml:space="preserve">Results</w:t>
      </w:r>
    </w:p>
    <w:bookmarkStart w:id="37"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70 WSB outbreaks at 12 sites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The 12 outbreak reconstruction histories have starting dates between 1622 and 1835 and ending dates between 2002 and 2023. Most sites experienced at least 6 outbreaks, however one site experienced only 3 outbreaks, and two sites experienced 9 outbreaks. The average outbreak duration at an individual site ranged from 8.2 to 14 years (mean: 10 years) and the average quiescent period ranged from 12.7 to 61.8 years (mean: 37 years).</w:t>
      </w:r>
    </w:p>
    <w:p>
      <w:pPr>
        <w:pStyle w:val="BodyText"/>
      </w:pPr>
      <w:r>
        <w:t xml:space="preserve">We identified 8 periods of regional outbreak, which occurred between 1666 and 2023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On average periods of regional outbreak with at least one third of sites were concurrently experiencing outbreak lasted 10.9 years (range:6-18 years) with 30.3 years between outbreak periods (range: 17 - 73 years). However, when the initiation and cessation of regional outbreaks were defined using the first and last year any site was experiencing an outbreak that overlapped with a period of regional outbreak, outbreak duration was on average 2.1 times greater (mean:23.2 years; range:14-27 years) with 17.7 years between outbreak periods (range: 3 - 69 years).</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w:t>
      </w:r>
      <w:bookmarkStart w:id="5778e1e3-5c8e-4a03-b6f7-03871a6814bc" w:name="outbreaksummary"/>
      <w:r>
        <w:rPr>
          <w:rFonts/>
          <w:b w:val="true"/>
        </w:rPr>
        <w:fldChar w:fldCharType="begin" w:dirty="true"/>
      </w:r>
      <w:r>
        <w:rPr>
          <w:rFonts/>
          <w:b w:val="true"/>
        </w:rPr>
        <w:instrText xml:space="preserve" w:dirty="true">SEQ tab \* Arabic</w:instrText>
      </w:r>
      <w:r>
        <w:rPr>
          <w:rFonts/>
          <w:b w:val="true"/>
        </w:rPr>
        <w:fldChar w:fldCharType="end" w:dirty="true"/>
      </w:r>
      <w:bookmarkEnd w:id="5778e1e3-5c8e-4a03-b6f7-03871a6814bc"/>
      <w:r>
        <w:rPr>
          <w:rFonts/>
          <w:b w:val="true"/>
        </w:rPr>
        <w:t xml:space="preserve">: </w:t>
      </w:r>
      <w:r>
        <w:t xml:space="preserve">Summary of site-level outbreak characteristics. The tree-ring record length includes years with at least four trees recording growth. The quiescent period length was calculated as the number of years between outbreak cessation and the initiation of a subsequent outbreak. Actual evapotranspiration (AET) and climatic water deficit (CWD) data are from Rodman et al. (2020) and represent mean annual values from 1981-2010.</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AET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CWD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Combined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Tree-ring</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Geospatial</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 of</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outbreak</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quiescent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period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(sd=5.45)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(sd=17.32)</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(sd=43.89)</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(sd=21.21)</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(sd=24.71)</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(sd=13.92)</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(sd=26.24)</w:t>
            </w:r>
          </w:p>
        </w:tc>
      </w:tr>
      <w:tr>
        <w:trPr>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(sd=24.79)</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(sd=38.63)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(sd=10.5)</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(sd=17.79)</w:t>
            </w:r>
          </w:p>
        </w:tc>
      </w:tr>
      <w:tr>
        <w:trPr>
          <w:trHeight w:val="56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(sd=20.8)</w:t>
            </w:r>
          </w:p>
        </w:tc>
      </w:tr>
      <w:tr>
        <w:trPr>
          <w:trHeight w:val="57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(sd=32.12)</w:t>
            </w:r>
          </w:p>
        </w:tc>
      </w:tr>
    </w:tbl>
    <w:p>
      <w:pPr>
        <w:sectPr w:officer="true">
          <w:pgSz w:h="11906" w:w="16838" w:orient="landscape"/>
          <w:type w:val="continuous"/>
          <w:cols/>
          <w:pgMar w:bottom="1440" w:footer="720" w:gutter="0" w:header="720" w:left="1080" w:right="1080" w:top="1440"/>
        </w:sectPr>
      </w:pPr>
    </w:p>
    <w:p>
      <w:pPr>
        <w:jc w:val="center"/>
        <w:pStyle w:val="Figure"/>
      </w:pPr>
      <w:r>
        <w:rPr/>
        <w:drawing>
          <wp:inline distT="0" distB="0" distL="0" distR="0">
            <wp:extent cx="6400800" cy="5029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45"/>
                    <a:stretch>
                      <a:fillRect/>
                    </a:stretch>
                  </pic:blipFill>
                  <pic:spPr bwMode="auto">
                    <a:xfrm>
                      <a:off x="0" y="0"/>
                      <a:ext cx="88900" cy="69850"/>
                    </a:xfrm>
                    <a:prstGeom prst="rect">
                      <a:avLst/>
                    </a:prstGeom>
                    <a:noFill/>
                  </pic:spPr>
                </pic:pic>
              </a:graphicData>
            </a:graphic>
          </wp:inline>
        </w:drawing>
      </w:r>
    </w:p>
    <w:p>
      <w:pPr>
        <w:pStyle w:val="ImageCaption"/>
      </w:pPr>
      <w:r>
        <w:rPr>
          <w:rFonts/>
          <w:b w:val="true"/>
        </w:rPr>
        <w:t xml:space="preserve">Figure </w:t>
      </w:r>
      <w:bookmarkStart w:id="e3e2be61-e1bb-46e7-ba8a-e3003abc8f4e" w:name="FigOutbreakHistor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e2be61-e1bb-46e7-ba8a-e3003abc8f4e"/>
      <w:r>
        <w:rPr>
          <w:rFonts/>
          <w:b w:val="true"/>
        </w:rPr>
        <w:t xml:space="preserve">: </w:t>
      </w:r>
      <w:r>
        <w:t xml:space="preserve">Variability of the self-calibrated Palmer Drought Severity Index (SC-PDSI) (A) and WSB outbreaks by site arranged from north to south (B) and the number of sites across the region (C). In all panels, periods of regional outbreak with at least one third of sites experience outbreak are highlighted by darker gray shading and lighter gray shading shows where at least one site is experiencing an outbreak coincident with regional outbreak. The 1750-1849 period prior to extensive Euro-American colonization is shown in lighter blue, while the 1890-1989 period is shown in dark blue. In A, the thin line shows a tree-ring based reconstruction of SC-PDSI, while the thick black line shows a 10-year rolling mean of that time series. In C, the bars show the number of sites recording an outbreak and the dashed line shows the number of potential tree-ring recording sites.</w:t>
      </w:r>
    </w:p>
    <w:bookmarkEnd w:id="37"/>
    <w:bookmarkStart w:id="38"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w:t>
      </w:r>
      <w:r>
        <w:t xml:space="preserve">and Fig. S</w:t>
      </w:r>
      <w:hyperlink w:anchor="FigPercDefol">
        <w:r xmlns:w14="http://schemas.microsoft.com/office/word/2010/wordml">
          <w:rPr/>
          <w:fldChar w:fldCharType="begin" w:dirty="true"/>
        </w:r>
        <w:r xmlns:w14="http://schemas.microsoft.com/office/word/2010/wordml">
          <w:rPr/>
          <w:instrText xml:space="preserve" w:dirty="true"> REF FigPercDefol \h</w:instrText>
        </w:r>
        <w:r xmlns:w14="http://schemas.microsoft.com/office/word/2010/wordml">
          <w:rPr/>
          <w:fldChar w:fldCharType="end" w:dirty="true"/>
        </w:r>
      </w:hyperlink>
      <w:r>
        <w:t xml:space="preserve">). Over the 1750-1995 period, we found moderate agreement among time series of the percent of trees defoliated at a site (W = 0.26; p &lt;0.001; mean inter-site r</w:t>
      </w:r>
      <w:r>
        <w:rPr>
          <w:vertAlign w:val="subscript"/>
        </w:rPr>
        <w:t xml:space="preserve">s</w:t>
      </w:r>
      <w:r>
        <w:t xml:space="preserve"> </w:t>
      </w:r>
      <w:r>
        <w:t xml:space="preserve">= 0.19; mean inter-site C= 34%). However, relationships between some pairs of sites were neutral or even negative (range of. inter-site r</w:t>
      </w:r>
      <w:r>
        <w:rPr>
          <w:vertAlign w:val="subscript"/>
        </w:rPr>
        <w:t xml:space="preserve">s</w:t>
      </w:r>
      <w:r>
        <w:t xml:space="preserve">: -0.19 - 0.61; range of inter-site C: 0.11 - 0.39), highlighting site-level variation in outbreak dynamics across the study area (Fig. S</w:t>
      </w:r>
      <w:hyperlink w:anchor="FigPairwiseCor">
        <w:r xmlns:w14="http://schemas.microsoft.com/office/word/2010/wordml">
          <w:rPr/>
          <w:fldChar w:fldCharType="begin" w:dirty="true"/>
        </w:r>
        <w:r xmlns:w14="http://schemas.microsoft.com/office/word/2010/wordml">
          <w:rPr/>
          <w:instrText xml:space="preserve" w:dirty="true"> REF FigPairwiseCor \h</w:instrText>
        </w:r>
        <w:r xmlns:w14="http://schemas.microsoft.com/office/word/2010/wordml">
          <w:rPr/>
          <w:fldChar w:fldCharType="end" w:dirty="true"/>
        </w:r>
      </w:hyperlink>
      <w:r>
        <w:t xml:space="preserve">). This site-level variation was in part explained by geographic proximity; we found that significant synchrony among time series of the percent of trees defoliated existed at distances up to 50 km and that synchrony decreased with increasing distance (Fig.</w:t>
      </w:r>
      <w:r>
        <w:t xml:space="preserve"> </w:t>
      </w:r>
      <w:hyperlink w:anchor="FigCovariance">
        <w:r xmlns:w14="http://schemas.microsoft.com/office/word/2010/wordml">
          <w:rPr/>
          <w:fldChar w:fldCharType="begin" w:dirty="true"/>
        </w:r>
        <w:r xmlns:w14="http://schemas.microsoft.com/office/word/2010/wordml">
          <w:rPr/>
          <w:instrText xml:space="preserve" w:dirty="true"> REF FigCovariance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18288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246"/>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w:t>
      </w:r>
      <w:bookmarkStart w:id="67ee09f3-4c49-4744-a97b-623cd610289c" w:name="FigCovarian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ee09f3-4c49-4744-a97b-623cd610289c"/>
      <w:r>
        <w:rPr>
          <w:rFonts/>
          <w:b w:val="true"/>
        </w:rPr>
        <w:t xml:space="preserve">: </w:t>
      </w:r>
      <w:r>
        <w:t xml:space="preserve">Nonparametric spatial covariance function describing the covariance among records of the percent of trees defoliated at all 12 sites across study area over the 1750-1995 period. Gray shading indicates the 95% confidence interval based on 1,000 bootstrap replications. The dashed horizontal line indicates the average correlation across the study area (regional synchrony).</w:t>
      </w:r>
    </w:p>
    <w:p>
      <w:pPr>
        <w:pStyle w:val="BodyText"/>
      </w:pPr>
      <w:r>
        <w:t xml:space="preserve">Multivariate event analysis indicated that both years of initiation and cessation were significantly clustered in time (Fig.</w:t>
      </w:r>
      <w:r>
        <w:t xml:space="preserve"> </w:t>
      </w:r>
      <w:hyperlink w:anchor="FigMEA">
        <w:r xmlns:w14="http://schemas.microsoft.com/office/word/2010/wordml">
          <w:rPr/>
          <w:fldChar w:fldCharType="begin" w:dirty="true"/>
        </w:r>
        <w:r xmlns:w14="http://schemas.microsoft.com/office/word/2010/wordml">
          <w:rPr/>
          <w:instrText xml:space="preserve" w:dirty="true"> REF FigMEA \h</w:instrText>
        </w:r>
        <w:r xmlns:w14="http://schemas.microsoft.com/office/word/2010/wordml">
          <w:rPr/>
          <w:fldChar w:fldCharType="end" w:dirty="true"/>
        </w:r>
      </w:hyperlink>
      <w:r>
        <w:t xml:space="preserve">). Years of outbreak initiation were more likely than not to occur within 12 years of another year of outbreak initiation, while years of outbreak cessation were more likely than not to occur within 12 years of another year of outbreak cessation.</w:t>
      </w:r>
    </w:p>
    <w:p>
      <w:r>
        <w:br w:type="page"/>
      </w:r>
    </w:p>
    <w:p>
      <w:pPr>
        <w:jc w:val="center"/>
        <w:pStyle w:val="Figure"/>
      </w:pPr>
      <w:r>
        <w:rPr/>
        <w:drawing>
          <wp:inline distT="0" distB="0" distL="0" distR="0">
            <wp:extent cx="3200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247"/>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5ff7ce3c-2d1f-4231-947c-93ec4fadc04d" w:name="FigM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f7ce3c-2d1f-4231-947c-93ec4fadc04d"/>
      <w:r>
        <w:rPr>
          <w:rFonts/>
          <w:b w:val="true"/>
        </w:rPr>
        <w:t xml:space="preserve">: </w:t>
      </w:r>
      <w:r>
        <w:t xml:space="preserve">Bidirectional multivariate event analysis of temporal synchrony between dates of WSB outbreak initiation (A) and cessation (B) at 12 sites over the 1750-1995 period (n=57 total outbreaks across the 12 sites and ≥ 3 outbreaks per site). The solid black line is the L(t) function, a transformation of Ripley’s K such that the mean and variance are stabilized through time t, where values &gt;0 indicate synchrony and values &lt;0 indicate asynchrony. The dashed lines indicate 95% confidence interval.</w:t>
      </w:r>
    </w:p>
    <w:bookmarkEnd w:id="38"/>
    <w:bookmarkStart w:id="39" w:name="X9a83add0ba3671301af4d088def957b861fc49f"/>
    <w:p>
      <w:pPr>
        <w:pStyle w:val="Heading2"/>
      </w:pPr>
      <w:r>
        <w:t xml:space="preserve">Outbreak dynamics for periods before and after Euro-American colonization</w:t>
      </w:r>
    </w:p>
    <w:p>
      <w:pPr>
        <w:pStyle w:val="FirstParagraph"/>
      </w:pPr>
      <w:r>
        <w:t xml:space="preserve">Across our study area, we found some outbreak dynamics differed in the century prior to and following extensive Euro-American colonization. Relative to the 1890-1989 period, outbreaks were longer and more severe during the 1750-1849 period (Fig.</w:t>
      </w:r>
      <w:r>
        <w:t xml:space="preserve"> </w:t>
      </w:r>
      <w:hyperlink w:anchor="FigColonization">
        <w:r xmlns:w14="http://schemas.microsoft.com/office/word/2010/wordml">
          <w:rPr/>
          <w:fldChar w:fldCharType="begin" w:dirty="true"/>
        </w:r>
        <w:r xmlns:w14="http://schemas.microsoft.com/office/word/2010/wordml">
          <w:rPr/>
          <w:instrText xml:space="preserve" w:dirty="true"> REF FigColonization \h</w:instrText>
        </w:r>
        <w:r xmlns:w14="http://schemas.microsoft.com/office/word/2010/wordml">
          <w:rPr/>
          <w:fldChar w:fldCharType="end" w:dirty="true"/>
        </w:r>
      </w:hyperlink>
      <w:r>
        <w:t xml:space="preserve">; Table S</w:t>
      </w:r>
      <w:hyperlink w:anchor="colonizationtab">
        <w:r xmlns:w14="http://schemas.microsoft.com/office/word/2010/wordml">
          <w:rPr/>
          <w:fldChar w:fldCharType="begin" w:dirty="true"/>
        </w:r>
        <w:r xmlns:w14="http://schemas.microsoft.com/office/word/2010/wordml">
          <w:rPr/>
          <w:instrText xml:space="preserve" w:dirty="true"> REF colonizationtab \h</w:instrText>
        </w:r>
        <w:r xmlns:w14="http://schemas.microsoft.com/office/word/2010/wordml">
          <w:rPr/>
          <w:fldChar w:fldCharType="end" w:dirty="true"/>
        </w:r>
      </w:hyperlink>
      <w:r>
        <w:t xml:space="preserve">). However, outbreaks occurred about as frequently and the length of the quiescent period and percent of trees defoliated at the start of the outbreak were not statistically different. Nonetheless, a long quiescent period lacking regional outbreaks from 1910-1980 is a conspicuous feature of the period following Euro-American colonization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w:t>
      </w:r>
    </w:p>
    <w:p>
      <w:pPr>
        <w:jc w:val="center"/>
        <w:pStyle w:val="Figure"/>
      </w:pPr>
      <w:r>
        <w:rPr/>
        <w:drawing>
          <wp:inline distT="0" distB="0" distL="0" distR="0">
            <wp:extent cx="6400800" cy="2286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248"/>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2aa5cbed-435d-4cf1-a648-2b67f502751a" w:name="FigColonizati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a5cbed-435d-4cf1-a648-2b67f502751a"/>
      <w:r>
        <w:rPr>
          <w:rFonts/>
          <w:b w:val="true"/>
        </w:rPr>
        <w:t xml:space="preserve">: </w:t>
      </w:r>
      <w:r>
        <w:t xml:space="preserve">The proportion of years affected by WSB outbreak (A), the duration of outbreak (B), the length of the quiescent period (C), the minimum normalized growth suppression index (D), and the percent of trees defoliated at outbreak initiation (E) for the century prior to and after extensive Euro-American colonization (1750-1849 and 1890-1989, respectively). Within each panel, different color boxes or bars indicate significant (p&lt;0.05) differences between groups.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We found synchrony in outbreak dynamics was lower in the 1890-1989 period than the 1750-1849 period. The mean inter-site correlation was 39% lower in the century following extensive Euro-American colonization (mean r</w:t>
      </w:r>
      <w:r>
        <w:rPr>
          <w:vertAlign w:val="subscript"/>
        </w:rPr>
        <w:t xml:space="preserve">s</w:t>
      </w:r>
      <w:r>
        <w:t xml:space="preserve"> </w:t>
      </w:r>
      <w:r>
        <w:t xml:space="preserve">for 1750-1859: 0.27 and mean r</w:t>
      </w:r>
      <w:r>
        <w:rPr>
          <w:vertAlign w:val="subscript"/>
        </w:rPr>
        <w:t xml:space="preserve">s</w:t>
      </w:r>
      <w:r>
        <w:t xml:space="preserve"> </w:t>
      </w:r>
      <w:r>
        <w:t xml:space="preserve">for 1890-1989: 0.16; t=-2.2, p=0.03) and the mean inter-site concurrency was 58% lower (mean C for 1750-1859: 0.307 and mean C for 1890-1989: 0.13; t=-4.7, p&lt;0.001). While regional synchrony was lower in the 1890-1989 period, spline correlograms calculated for the 1750-1849 and 1890-1989 periods showed similar decreases in synchrony with increasing distances (Fig. S</w:t>
      </w:r>
      <w:hyperlink w:anchor="FigCovarianceTime">
        <w:r xmlns:w14="http://schemas.microsoft.com/office/word/2010/wordml">
          <w:rPr/>
          <w:fldChar w:fldCharType="begin" w:dirty="true"/>
        </w:r>
        <w:r xmlns:w14="http://schemas.microsoft.com/office/word/2010/wordml">
          <w:rPr/>
          <w:instrText xml:space="preserve" w:dirty="true"> REF FigCovarianceTime \h</w:instrText>
        </w:r>
        <w:r xmlns:w14="http://schemas.microsoft.com/office/word/2010/wordml">
          <w:rPr/>
          <w:fldChar w:fldCharType="end" w:dirty="true"/>
        </w:r>
      </w:hyperlink>
      <w:r>
        <w:t xml:space="preserve">).</w:t>
      </w:r>
    </w:p>
    <w:bookmarkEnd w:id="39"/>
    <w:bookmarkStart w:id="40" w:name="X098c965ac40cf28da042f52a69eefe847b6ef47"/>
    <w:p>
      <w:pPr>
        <w:pStyle w:val="Heading2"/>
      </w:pPr>
      <w:r>
        <w:t xml:space="preserve">Association between interannual climate variability and outbreaks</w:t>
      </w:r>
    </w:p>
    <w:p>
      <w:pPr>
        <w:pStyle w:val="FirstParagraph"/>
      </w:pPr>
      <w:r>
        <w:t xml:space="preserve">Over the 1750-2023 time span, we found periods of outbreak were associated with interannual variability in drought severity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During periods of regional outbreak, the mean SC-PDSI was greater (i.e., wetter) than during quiescent periods (mean SC-PDSI</w:t>
      </w:r>
      <w:r>
        <w:rPr>
          <w:vertAlign w:val="subscript"/>
        </w:rPr>
        <w:t xml:space="preserve">outbreak</w:t>
      </w:r>
      <w:r>
        <w:t xml:space="preserve"> </w:t>
      </w:r>
      <w:r>
        <w:t xml:space="preserve">= 1; mean SC-PDSI</w:t>
      </w:r>
      <w:r>
        <w:rPr>
          <w:vertAlign w:val="subscript"/>
        </w:rPr>
        <w:t xml:space="preserve">quiescent</w:t>
      </w:r>
      <w:r>
        <w:t xml:space="preserve"> </w:t>
      </w:r>
      <w:r>
        <w:t xml:space="preserve">= -0.26; t = 3.98; p = 0). These results were supported by superposed epoch analyses conducted using the regional record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and site-level records (Fig.</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 Here we found that outbreaks were more likely to initiate following periods of drought that were followed by periods of above-average moisture availability. The cessation of regional outbreak generally coincided with a switch from above average moisture availability to below average moisture availability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w:t>
      </w:r>
      <w:r>
        <w:t xml:space="preserve">and</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249"/>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242d6d19-e271-4074-90ea-49d49ba671a8" w:name="FigSEARegion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2d6d19-e271-4074-90ea-49d49ba671a8"/>
      <w:r>
        <w:rPr>
          <w:rFonts/>
          <w:b w:val="true"/>
        </w:rPr>
        <w:t xml:space="preserve">: </w:t>
      </w:r>
      <w:r>
        <w:t xml:space="preserve">Superposed epoch analysis results illustrating the departure from the mean SC-PDSI for the years prior, during, and following regional outbreak events (n=6) over the 1750-2023 period. Descending bars illustrate a negative association with summer SC-PDSI (i.e., drier conditions), ascending bars show a positive association with summer SC-PDSI (i.e., wetter conditions).</w:t>
      </w:r>
    </w:p>
    <w:p>
      <w:r>
        <w:br w:type="page"/>
      </w:r>
    </w:p>
    <w:p>
      <w:pPr>
        <w:jc w:val="center"/>
        <w:pStyle w:val="Figure"/>
      </w:pPr>
      <w:r>
        <w:rPr/>
        <w:drawing>
          <wp:inline distT="0" distB="0" distL="0" distR="0">
            <wp:extent cx="4572000" cy="27432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250"/>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37606d57-e016-4df7-be5a-bc774dd0f193" w:name="FigSEASi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606d57-e016-4df7-be5a-bc774dd0f193"/>
      <w:r>
        <w:rPr>
          <w:rFonts/>
          <w:b w:val="true"/>
        </w:rPr>
        <w:t xml:space="preserve">: </w:t>
      </w:r>
      <w:r>
        <w:t xml:space="preserve">Summary of site-level superposed epoch analyses summarizing the association between summer SC-PDSI and outbreak initiation (A) and cessation (B) over the 1750-2023 period (n=57 total outbreaks across the 12 sites and ≥ 3 outbreaks per site).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Our results also suggest that multi-annual variability in moisture availability may be important in driving WSB outbreaks. Specifically, we found that outbreak initiation was proceeded by droughts that were on average 1.3 years longer and where the minimum SC-PDSI was 127% lower than drought periods that did not coincide with outbreak initiation events (Fig.</w:t>
      </w:r>
      <w:r>
        <w:t xml:space="preserve"> </w:t>
      </w:r>
      <w:hyperlink w:anchor="FigPDSIperiods">
        <w:r xmlns:w14="http://schemas.microsoft.com/office/word/2010/wordml">
          <w:rPr/>
          <w:fldChar w:fldCharType="begin" w:dirty="true"/>
        </w:r>
        <w:r xmlns:w14="http://schemas.microsoft.com/office/word/2010/wordml">
          <w:rPr/>
          <w:instrText xml:space="preserve" w:dirty="true"> REF FigPDSIperiods \h</w:instrText>
        </w:r>
        <w:r xmlns:w14="http://schemas.microsoft.com/office/word/2010/wordml">
          <w:rPr/>
          <w:fldChar w:fldCharType="end" w:dirty="true"/>
        </w:r>
      </w:hyperlink>
      <w:r>
        <w:t xml:space="preserve"> </w:t>
      </w:r>
      <w:r>
        <w:t xml:space="preserve">and Table S</w:t>
      </w:r>
      <w:hyperlink w:anchor="PDSIperiodstab">
        <w:r xmlns:w14="http://schemas.microsoft.com/office/word/2010/wordml">
          <w:rPr/>
          <w:fldChar w:fldCharType="begin" w:dirty="true"/>
        </w:r>
        <w:r xmlns:w14="http://schemas.microsoft.com/office/word/2010/wordml">
          <w:rPr/>
          <w:instrText xml:space="preserve" w:dirty="true"> REF PDSIperiodstab \h</w:instrText>
        </w:r>
        <w:r xmlns:w14="http://schemas.microsoft.com/office/word/2010/wordml">
          <w:rPr/>
          <w:fldChar w:fldCharType="end" w:dirty="true"/>
        </w:r>
      </w:hyperlink>
      <w:r>
        <w:t xml:space="preserve">). Further, outbreak initiations were followed by wet periods that were on average 2.7 years longer, 117% wetter, and where the maximum SC-PDSI was 154% wetter than wet periods that did not coincide with outbreak initiation events. Outbreak cessation events were often proceeded by wet periods where the maximum SC-PDSI was 117% wetter than wet periods that did not coincide with outbreak cessation events. Further, periods of drought that coincided with outbreak cessation were on average 1 year longer and the minimum SC-PDSI was 120% lower than drought periods that did not coincide with outbreak cessation events.</w:t>
      </w:r>
    </w:p>
    <w:p>
      <w:r>
        <w:br w:type="page"/>
      </w:r>
    </w:p>
    <w:p>
      <w:pPr>
        <w:jc w:val="center"/>
        <w:pStyle w:val="Figure"/>
      </w:pPr>
      <w:r>
        <w:rPr/>
        <w:drawing>
          <wp:inline distT="0" distB="0" distL="0" distR="0">
            <wp:extent cx="64008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251"/>
                    <a:stretch>
                      <a:fillRect/>
                    </a:stretch>
                  </pic:blipFill>
                  <pic:spPr bwMode="auto">
                    <a:xfrm>
                      <a:off x="0" y="0"/>
                      <a:ext cx="88900" cy="50800"/>
                    </a:xfrm>
                    <a:prstGeom prst="rect">
                      <a:avLst/>
                    </a:prstGeom>
                    <a:noFill/>
                  </pic:spPr>
                </pic:pic>
              </a:graphicData>
            </a:graphic>
          </wp:inline>
        </w:drawing>
      </w:r>
    </w:p>
    <w:p>
      <w:pPr>
        <w:pStyle w:val="ImageCaption"/>
      </w:pPr>
      <w:r>
        <w:rPr>
          <w:rFonts/>
          <w:b w:val="true"/>
        </w:rPr>
        <w:t xml:space="preserve">Figure </w:t>
      </w:r>
      <w:bookmarkStart w:id="0eec488a-e0f3-4023-bf2e-72e921d0cb1a" w:name="FigPDSIperiod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ec488a-e0f3-4023-bf2e-72e921d0cb1a"/>
      <w:r>
        <w:rPr>
          <w:rFonts/>
          <w:b w:val="true"/>
        </w:rPr>
        <w:t xml:space="preserve">: </w:t>
      </w:r>
      <w:r>
        <w:t xml:space="preserve">Characteristics of the droughts and wet periods coinciding with periods of outbreak and no outbreak over the 1750-2023 period. Boxes differing in color indicate significant (p&lt;0.05) differences between the groups</w:t>
      </w:r>
    </w:p>
    <w:bookmarkEnd w:id="40"/>
    <w:bookmarkEnd w:id="41"/>
    <w:bookmarkStart w:id="46"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dataset to examine the overarching hypothesis that climate variability and the effects of land use are important drivers of WSB outbreaks dynamics. We show: (1) WSB outbreaks occur synchronously across sites, suggestive of the combined effects of density-dependent processes and the Moran effect; (2) reduced synchrony of outbreaks following Euro-American colonization may be explained by changes in forest communities due to land use practices; (3) outbreaks were often proceeded by periods of drought and sustained by periods of above average moisture availability; (4) outbreak cessation often co-occurred with drought.</w:t>
      </w:r>
    </w:p>
    <w:bookmarkStart w:id="42" w:name="outbreak-histories"/>
    <w:p>
      <w:pPr>
        <w:pStyle w:val="Heading2"/>
      </w:pPr>
      <w:r>
        <w:t xml:space="preserve">Outbreak histories</w:t>
      </w:r>
    </w:p>
    <w:p>
      <w:pPr>
        <w:pStyle w:val="FirstParagraph"/>
      </w:pPr>
      <w:r>
        <w:t xml:space="preserve">We identified 8 periods of regional outbreak, which occurred between 1666 and 2023. These periods correspond with periods of outbreak identified in other dendroecological studies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Furthermore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While our regional record lacks the 1940s and 1960s outbreaks present in some observational records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these outbreaks were recorded in 25% of our site reconstructions. Overall, we conclude that the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(10.5 years) was similar to those previously reported in dendroecological studies conducted in interior Pacific Northwest (mean duration: 12 years)</w:t>
      </w:r>
      <w:r>
        <w:t xml:space="preserve"> </w:t>
      </w:r>
      <w:r>
        <w:t xml:space="preserve">(</w:t>
      </w:r>
      <w:hyperlink w:anchor="ref-flower2014">
        <w:r>
          <w:rPr>
            <w:rStyle w:val="Hyperlink"/>
          </w:rPr>
          <w:t xml:space="preserve">Flower et al., 2014</w:t>
        </w:r>
      </w:hyperlink>
      <w:r>
        <w:t xml:space="preserve">)</w:t>
      </w:r>
      <w:r>
        <w:t xml:space="preserve"> </w:t>
      </w:r>
      <w:r>
        <w:t xml:space="preserve">and the Colorado Front Range (mean duration: 6.9 years)</w:t>
      </w:r>
      <w:r>
        <w:t xml:space="preserve"> </w:t>
      </w:r>
      <w:r>
        <w:t xml:space="preserve">(</w:t>
      </w:r>
      <w:hyperlink w:anchor="X50cecb246fd80c65ad42065985b700fbdc3d856">
        <w:r>
          <w:rPr>
            <w:rStyle w:val="Hyperlink"/>
          </w:rPr>
          <w:t xml:space="preserve">Weber and Schweingruber, 1995</w:t>
        </w:r>
      </w:hyperlink>
      <w:r>
        <w:t xml:space="preserve">)</w:t>
      </w:r>
      <w:r>
        <w:t xml:space="preserve">. However, outbreaks in our record were notably shorter than in dendroecological records from central British Columbia (mean duration: 18 years)</w:t>
      </w:r>
      <w:r>
        <w:t xml:space="preserve"> </w:t>
      </w:r>
      <w:r>
        <w:t xml:space="preserve">(</w:t>
      </w:r>
      <w:hyperlink w:anchor="ref-harvey2018">
        <w:r>
          <w:rPr>
            <w:rStyle w:val="Hyperlink"/>
          </w:rPr>
          <w:t xml:space="preserve">Harvey et al., 2018</w:t>
        </w:r>
      </w:hyperlink>
      <w:r>
        <w:t xml:space="preserve">)</w:t>
      </w:r>
      <w:r>
        <w:t xml:space="preserve"> </w:t>
      </w:r>
      <w:r>
        <w:t xml:space="preserve">and southwestern Colorado (mean duration: 18.4 years)</w:t>
      </w:r>
      <w:r>
        <w:t xml:space="preserve"> </w:t>
      </w:r>
      <w:r>
        <w:t xml:space="preserve">(</w:t>
      </w:r>
      <w:hyperlink w:anchor="X4e36991cd0640877d9d4abdf77193e4d82669ec">
        <w:r>
          <w:rPr>
            <w:rStyle w:val="Hyperlink"/>
          </w:rPr>
          <w:t xml:space="preserve">Ryerson et al., 2003</w:t>
        </w:r>
      </w:hyperlink>
      <w:r>
        <w:t xml:space="preserve">)</w:t>
      </w:r>
      <w:r>
        <w:t xml:space="preserve">. These differences may reflect geographic variability and differences in tree-ring data collection and processing methods. Collectively this highlights the need for more research that addresses the drivers of outbreak dynamics in space and time, as well as the need for infrastructure for sharing dendroecological data, code, and research that integrates multiple studies.</w:t>
      </w:r>
    </w:p>
    <w:bookmarkEnd w:id="42"/>
    <w:bookmarkStart w:id="43" w:name="inter-site-synchrony"/>
    <w:p>
      <w:pPr>
        <w:pStyle w:val="Heading2"/>
      </w:pPr>
      <w:r>
        <w:t xml:space="preserve">Inter-site synchrony</w:t>
      </w:r>
    </w:p>
    <w:p>
      <w:pPr>
        <w:pStyle w:val="FirstParagraph"/>
      </w:pPr>
      <w:r>
        <w:t xml:space="preserve">We found that WSB outbreak occurs synchronously across northern to central Colorado, consistent with previous dendroecological research</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For populations of irruptive insects, temporal synchrony may arise from density-dependent processes (e.g., dispersal, predation) and/or the Moran effects, where spatial autocorrelation in exogenous drivers, such as climate, leads to synchrony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regional synchrony (0.21) and the spatial scale at which synchrony was statistically significant (≤50 km) were lower than we would expect if climate, acting independently of WSB population dispersal, was the only driver. For instance, across the 12 drought-sensitive ponderosa pine chronologies used to remove climate-trends in host ring-width series, we calculated greater regional synchrony (0.51) and significant correlations at greater distances (i.e., up to 100 km; Fig. S</w:t>
      </w:r>
      <w:hyperlink w:anchor="FigCovarianceNonHost">
        <w:r xmlns:w14="http://schemas.microsoft.com/office/word/2010/wordml">
          <w:rPr/>
          <w:fldChar w:fldCharType="begin" w:dirty="true"/>
        </w:r>
        <w:r xmlns:w14="http://schemas.microsoft.com/office/word/2010/wordml">
          <w:rPr/>
          <w:instrText xml:space="preserve" w:dirty="true"> REF FigCovarianceNonHost \h</w:instrText>
        </w:r>
        <w:r xmlns:w14="http://schemas.microsoft.com/office/word/2010/wordml">
          <w:rPr/>
          <w:fldChar w:fldCharType="end" w:dirty="true"/>
        </w:r>
      </w:hyperlink>
      <w:r>
        <w:t xml:space="preserve">). This is consistent with previous research spatiotemporal patterns of contemporary WSB outbreak in British Columbia that has suggested that dispersal is key in driving the synchronization of WBS population dynamics</w:t>
      </w:r>
      <w:r>
        <w:t xml:space="preserve"> </w:t>
      </w:r>
      <w:r>
        <w:t xml:space="preserve">(</w:t>
      </w:r>
      <w:hyperlink w:anchor="ref-senf2017MultiscaleAnalysisWestern">
        <w:r>
          <w:rPr>
            <w:rStyle w:val="Hyperlink"/>
          </w:rPr>
          <w:t xml:space="preserve">Senf et al., 2017</w:t>
        </w:r>
      </w:hyperlink>
      <w:r>
        <w:t xml:space="preserve">)</w:t>
      </w:r>
      <w:r>
        <w:t xml:space="preserve">.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w:t>
      </w:r>
      <w:r>
        <w:t xml:space="preserve"> </w:t>
      </w:r>
      <w:r>
        <w:t xml:space="preserve">(</w:t>
      </w:r>
      <w:hyperlink w:anchor="X3f635821c55a45424890682074a2eda50287344">
        <w:r>
          <w:rPr>
            <w:rStyle w:val="Hyperlink"/>
          </w:rPr>
          <w:t xml:space="preserve">Sturtevant et al., 2013</w:t>
        </w:r>
      </w:hyperlink>
      <w:r>
        <w:t xml:space="preserve">)</w:t>
      </w:r>
      <w:r>
        <w:t xml:space="preserve">, most dispersal occurs at much shorter distances (i.e, &lt;15 km)</w:t>
      </w:r>
      <w:r>
        <w:t xml:space="preserve"> </w:t>
      </w:r>
      <w:r>
        <w:t xml:space="preserve">(</w:t>
      </w:r>
      <w:hyperlink w:anchor="ref-senf2017MultiscaleAnalysisWestern">
        <w:r>
          <w:rPr>
            <w:rStyle w:val="Hyperlink"/>
          </w:rPr>
          <w:t xml:space="preserve">Senf et al., 2017</w:t>
        </w:r>
      </w:hyperlink>
      <w:r>
        <w:t xml:space="preserve">)</w:t>
      </w:r>
      <w:r>
        <w:t xml:space="preserve">. Thus both dispersal and the Moran effect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w:t>
        </w:r>
      </w:hyperlink>
      <w:r>
        <w:t xml:space="preserve">)</w:t>
      </w:r>
      <w:r>
        <w:t xml:space="preserve">.</w:t>
      </w:r>
    </w:p>
    <w:bookmarkEnd w:id="43"/>
    <w:bookmarkStart w:id="44" w:name="X73340594a7c6713f5188d3478012fa11552e83c"/>
    <w:p>
      <w:pPr>
        <w:pStyle w:val="Heading2"/>
      </w:pPr>
      <w:r>
        <w:t xml:space="preserve">Euro-American colonization and outbreak dynamics</w:t>
      </w:r>
    </w:p>
    <w:p>
      <w:pPr>
        <w:pStyle w:val="FirstParagraph"/>
      </w:pPr>
      <w:r>
        <w:t xml:space="preserve">We found that some attributes of outbreaks dynamics differed during the period prior to and after Euro-American colonization. During the 1750-1849 period, outbreaks were longer, more severe, and more synchronous across the region. Nonetheless, one of the most synchronous, widespread, and severe outbreaks in our record occurred in the 1990s, when 8 out of 12 sites were affected. Collectively this suggests that Euro-American colonization may have been initially associated with a period of lower severity outbreaks that occurred less synchronously across the region. This period was followed by a period where outbreak dynamics were more similar to dynamics prior to Euro-American colonization. This pattern, which has been previously reported for the Southwest</w:t>
      </w:r>
      <w:r>
        <w:t xml:space="preserve"> </w:t>
      </w:r>
      <w:r>
        <w:t xml:space="preserve">(</w:t>
      </w:r>
      <w:hyperlink w:anchor="ref-swetnam1993">
        <w:r>
          <w:rPr>
            <w:rStyle w:val="Hyperlink"/>
          </w:rPr>
          <w:t xml:space="preserve">Swetnam and Lynch, 1993</w:t>
        </w:r>
      </w:hyperlink>
      <w:r>
        <w:t xml:space="preserve">)</w:t>
      </w:r>
      <w:r>
        <w:t xml:space="preserve">, may have occurred because of changes in landscape-level availability of host trees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enf2017MultiscaleAnalysisWestern">
        <w:r>
          <w:rPr>
            <w:rStyle w:val="Hyperlink"/>
          </w:rPr>
          <w:t xml:space="preserve">Senf et al., 2017</w:t>
        </w:r>
      </w:hyperlink>
      <w:r>
        <w:t xml:space="preserve">)</w:t>
      </w:r>
      <w:r>
        <w:t xml:space="preserve">. Greater regional host availability can increase probability and severity of local WSB outbreak, independent of stand susceptibility, by influencing the potential for dispersing WSBs to arrive at the focal stand</w:t>
      </w:r>
      <w:r>
        <w:t xml:space="preserve"> </w:t>
      </w:r>
      <w:r>
        <w:t xml:space="preserve">(</w:t>
      </w:r>
      <w:hyperlink w:anchor="ref-howe2024BudwormsBeetlesWildfire">
        <w:r>
          <w:rPr>
            <w:rStyle w:val="Hyperlink"/>
          </w:rPr>
          <w:t xml:space="preserve">Howe et al., 2024</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Many, if not most, of the Douglas-fir dominated stands in our study area originated after widespread burning in the second half of the 19th century</w:t>
      </w:r>
      <w:r>
        <w:t xml:space="preserve"> </w:t>
      </w:r>
      <w:r>
        <w:t xml:space="preserve">(</w:t>
      </w:r>
      <w:hyperlink w:anchor="X6dd892ea2bf182e47770bba44f3a630cba57348">
        <w:r>
          <w:rPr>
            <w:rStyle w:val="Hyperlink"/>
          </w:rPr>
          <w:t xml:space="preserve">Sherriff and Veblen, 2007</w:t>
        </w:r>
      </w:hyperlink>
      <w:r>
        <w:t xml:space="preserve">)</w:t>
      </w:r>
      <w:r>
        <w:t xml:space="preserve">. Thus, during the 1910-1980 quiescent period much of the study area would have been too young to be highly susceptible to WSB outbreak. However, during the late-20th century further development of multi-storied structures and increased host abundance coincident with continued absence of wildfire may have promoted a regional increase in susceptibility to WSB outbreak</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rodman2019WildfireActivityLand">
        <w:r>
          <w:rPr>
            <w:rStyle w:val="Hyperlink"/>
          </w:rPr>
          <w:t xml:space="preserve">Rodman et al., 2019</w:t>
        </w:r>
      </w:hyperlink>
      <w:r>
        <w:t xml:space="preserve">)</w:t>
      </w:r>
      <w:r>
        <w:t xml:space="preserve">. Consequently, considering the history of regional land-use practices is critical to understanding temporal and spatial is critical to understanding temporal and spatial patterns of WSB outbreaks.</w:t>
      </w:r>
    </w:p>
    <w:p>
      <w:pPr>
        <w:pStyle w:val="BodyText"/>
      </w:pPr>
      <w:r>
        <w:t xml:space="preserve">Nonetheless, we note that concurrent changes in land-use practices and climate can limit our ability to detect the effects of changes in land-use practices on forest ecosystems. For example, Schoennagel et al.</w:t>
      </w:r>
      <w:r>
        <w:t xml:space="preserve"> </w:t>
      </w:r>
      <w:r>
        <w:t xml:space="preserve">(</w:t>
      </w:r>
      <w:hyperlink w:anchor="X1ee8372f9b42854b51bfddc05c18c0d9a83cf4c">
        <w:r>
          <w:rPr>
            <w:rStyle w:val="Hyperlink"/>
          </w:rPr>
          <w:t xml:space="preserve">2007</w:t>
        </w:r>
      </w:hyperlink>
      <w:r>
        <w:t xml:space="preserve">)</w:t>
      </w:r>
      <w:r>
        <w:t xml:space="preserve"> </w:t>
      </w:r>
      <w:r>
        <w:t xml:space="preserve">found that over 50% of the fires recorded in the upper montane zone of the Colorado Front Range from 1750-1989 burned in a 41 year period (1850-1890), which coincided with a multidecadal period of drought and widespread mining activity. Here, we found a prolonged period of regional WSB quiescence in the century following extensive Euro-American colonization. While summer PDSI conditions were similar during the 1750-1849 and 1890-1989 periods (S</w:t>
      </w:r>
      <w:hyperlink w:anchor="FigPDSIt">
        <w:r xmlns:w14="http://schemas.microsoft.com/office/word/2010/wordml">
          <w:rPr/>
          <w:fldChar w:fldCharType="begin" w:dirty="true"/>
        </w:r>
        <w:r xmlns:w14="http://schemas.microsoft.com/office/word/2010/wordml">
          <w:rPr/>
          <w:instrText xml:space="preserve" w:dirty="true"> REF FigPDSIt \h</w:instrText>
        </w:r>
        <w:r xmlns:w14="http://schemas.microsoft.com/office/word/2010/wordml">
          <w:rPr/>
          <w:fldChar w:fldCharType="end" w:dirty="true"/>
        </w:r>
      </w:hyperlink>
      <w:r>
        <w:t xml:space="preserve">), the period of regional WSB quiescence was relatively warm and dry, conditions that may have inhibited outbreak.</w:t>
      </w:r>
    </w:p>
    <w:bookmarkEnd w:id="44"/>
    <w:bookmarkStart w:id="45" w:name="climate-and-outbreak-dynamics"/>
    <w:p>
      <w:pPr>
        <w:pStyle w:val="Heading2"/>
      </w:pPr>
      <w:r>
        <w:t xml:space="preserve">Climate and outbreak dynamics</w:t>
      </w:r>
    </w:p>
    <w:p>
      <w:pPr>
        <w:pStyle w:val="FirstParagraph"/>
      </w:pPr>
      <w:r>
        <w:t xml:space="preserve">Our 250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SC-PDSI values during years of outbreak, consistent with previous dendroecological research from the Southwest</w:t>
      </w:r>
      <w:r>
        <w:t xml:space="preserve"> </w:t>
      </w:r>
      <w:r>
        <w:t xml:space="preserve">(</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regionally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support for the idea that drought proceeds WSB outbreaks. Collectively, regional and site-level superposed epoch analyses suggested a significant relationship existed between outbreak initiation and drought in the preceding one to five years, as has been previously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Once outbreaks begin, our results suggest that above average moisture conditions are important for sustaining outbreaks, consistent with Huberty and Denno’s</w:t>
      </w:r>
      <w:r>
        <w:t xml:space="preserve"> </w:t>
      </w:r>
      <w:r>
        <w:t xml:space="preserve">(</w:t>
      </w:r>
      <w:hyperlink w:anchor="ref-huberty2004PlantWaterStress">
        <w:r>
          <w:rPr>
            <w:rStyle w:val="Hyperlink"/>
          </w:rPr>
          <w:t xml:space="preserve">2004</w:t>
        </w:r>
      </w:hyperlink>
      <w:r>
        <w:t xml:space="preserve">)</w:t>
      </w:r>
      <w:r>
        <w:t xml:space="preserve"> </w:t>
      </w:r>
      <w:r>
        <w:rPr>
          <w:i/>
          <w:iCs/>
        </w:rPr>
        <w:t xml:space="preserve">pulsed stress hypothesis</w:t>
      </w:r>
      <w:r>
        <w:t xml:space="preserve">. Additional moisture likely allows trees to allocate more carbon to more production of new foliage</w:t>
      </w:r>
      <w:r>
        <w:t xml:space="preserve"> </w:t>
      </w:r>
      <w:r>
        <w:t xml:space="preserve">(</w:t>
      </w:r>
      <w:hyperlink w:anchor="ref-gower1992CarbonDynamicsRocky">
        <w:r>
          <w:rPr>
            <w:rStyle w:val="Hyperlink"/>
          </w:rPr>
          <w:t xml:space="preserve">Gower et al., 1992</w:t>
        </w:r>
      </w:hyperlink>
      <w:r>
        <w:t xml:space="preserve">)</w:t>
      </w:r>
      <w:r>
        <w:t xml:space="preserve">, which can increase the survival rates of WSB larvae</w:t>
      </w:r>
      <w:r>
        <w:t xml:space="preserve"> </w:t>
      </w:r>
      <w:r>
        <w:t xml:space="preserve">(</w:t>
      </w:r>
      <w:hyperlink w:anchor="ref-nealis2009RiskDispersalWestern">
        <w:r>
          <w:rPr>
            <w:rStyle w:val="Hyperlink"/>
          </w:rPr>
          <w:t xml:space="preserve">Nealis and Régnière, 2009</w:t>
        </w:r>
      </w:hyperlink>
      <w:r>
        <w:t xml:space="preserve">)</w:t>
      </w:r>
      <w:r>
        <w:t xml:space="preserve">. We also find that outbreak cessation often co-occurred with a transition from above average moisture availability to drought, consistent with previous work from the interior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Ellis and Flower</w:t>
      </w:r>
      <w:r>
        <w:t xml:space="preserve"> </w:t>
      </w:r>
      <w:r>
        <w:t xml:space="preserve">(</w:t>
      </w:r>
      <w:hyperlink w:anchor="Xd7af862198f6827620bf67c34344277c6d9b2ea">
        <w:r>
          <w:rPr>
            <w:rStyle w:val="Hyperlink"/>
          </w:rPr>
          <w:t xml:space="preserve">Ellis and Flower, 2017a</w:t>
        </w:r>
      </w:hyperlink>
      <w:r>
        <w:t xml:space="preserve">)</w:t>
      </w:r>
      <w:r>
        <w:t xml:space="preserve"> </w:t>
      </w:r>
      <w:r>
        <w:t xml:space="preserve">concluded that prolonged wet periods rather than the transition to droughts contributed to outbreak cessation. Cool and wet conditions in the spring can decrease overwintering survival and subsequent foraging</w:t>
      </w:r>
      <w:r>
        <w:t xml:space="preserve"> </w:t>
      </w:r>
      <w:r>
        <w:t xml:space="preserve">(</w:t>
      </w:r>
      <w:hyperlink w:anchor="ref-nealis2021EcologyOutbreakPopulations">
        <w:r>
          <w:rPr>
            <w:rStyle w:val="Hyperlink"/>
          </w:rPr>
          <w:t xml:space="preserve">Nealis and Régnière, 2021</w:t>
        </w:r>
      </w:hyperlink>
      <w:r>
        <w:t xml:space="preserve">)</w:t>
      </w:r>
      <w:r>
        <w:t xml:space="preserve"> </w:t>
      </w:r>
      <w:r>
        <w:t xml:space="preserve">and prolonged reductions in survival early during the WSB life cycle can contribute to population reductions. However, here we found that the wet periods coincident with outbreak cessation were of average duration. Instead, our data suggests that drought events may facilitate outbreak collapse by decreasing forage production and/or increasing the rates that dormant budworms deplete glycogen reserves, which may cause significant mortality</w:t>
      </w:r>
      <w:r>
        <w:t xml:space="preserve"> </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Indeed, Thomson et al.</w:t>
      </w:r>
      <w:r>
        <w:t xml:space="preserve"> </w:t>
      </w:r>
      <w:r>
        <w:t xml:space="preserve">(</w:t>
      </w:r>
      <w:hyperlink w:anchor="ref-thomson1984RelatingWeatherOutbreaks">
        <w:r>
          <w:rPr>
            <w:rStyle w:val="Hyperlink"/>
          </w:rPr>
          <w:t xml:space="preserve">1984</w:t>
        </w:r>
      </w:hyperlink>
      <w:r>
        <w:t xml:space="preserve">)</w:t>
      </w:r>
      <w:r>
        <w:t xml:space="preserve"> </w:t>
      </w:r>
      <w:r>
        <w:t xml:space="preserve">reported warm temperatures in the late summer as the primary factors driving the collapse of two outbreaks British Columbia.</w:t>
      </w:r>
    </w:p>
    <w:p>
      <w:pPr>
        <w:pStyle w:val="BodyText"/>
      </w:pPr>
      <w:r>
        <w:t xml:space="preserve">While overall we found that both outbreak initiation and cessation co-occurred with drought, not all outbreaks followed this pattern. This variable effect of drought on outbreak dynamics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For instance, during the period of regional quiescence from 1910-1980, the sites that experienced local outbreaks were on average more productive than sites that did not (mean 1981-2010 actual evapotranspiration was 508 and 467 mm yr</w:t>
      </w:r>
      <w:r>
        <w:rPr>
          <w:vertAlign w:val="superscript"/>
        </w:rPr>
        <w:t xml:space="preserve">-1</w:t>
      </w:r>
      <w:r>
        <w:t xml:space="preserve"> </w:t>
      </w:r>
      <w:r>
        <w:t xml:space="preserve">for sites with and without outbreak, respectively;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At these less productive sites, the concurrent prolonged drought conditions may have limited the production of palatable forage and thus WSB outbreak. This finding is consistent with Xu et al.’s</w:t>
      </w:r>
      <w:r>
        <w:t xml:space="preserve"> </w:t>
      </w:r>
      <w:r>
        <w:t xml:space="preserve">(</w:t>
      </w:r>
      <w:hyperlink w:anchor="ref-xuDroughtMoistureAvailability2019">
        <w:r>
          <w:rPr>
            <w:rStyle w:val="Hyperlink"/>
          </w:rPr>
          <w:t xml:space="preserve">2019</w:t>
        </w:r>
      </w:hyperlink>
      <w:r>
        <w:t xml:space="preserve">)</w:t>
      </w:r>
      <w:r>
        <w:t xml:space="preserve"> </w:t>
      </w:r>
      <w:r>
        <w:t xml:space="preserve">observations of drought positively influencing spatiotemporal patterns of WSB outbreak only at the more productive Douglas-fir forests in the Western US. Future research is necessary to understand how drought may influence WSB outbreak dynamics across gradients of productivity.</w:t>
      </w:r>
    </w:p>
    <w:p>
      <w:pPr>
        <w:pStyle w:val="BodyText"/>
      </w:pPr>
      <w:r>
        <w:t xml:space="preserve">Our study is limited by its annual precision and the correlation among seasonal climate variables known to influence different stages of the WSB life cycle</w:t>
      </w:r>
      <w:r>
        <w:t xml:space="preserve"> </w:t>
      </w:r>
      <w:r>
        <w:t xml:space="preserve">(</w:t>
      </w:r>
      <w:hyperlink w:anchor="ref-nealis2021EcologyOutbreakPopulations">
        <w:r>
          <w:rPr>
            <w:rStyle w:val="Hyperlink"/>
          </w:rPr>
          <w:t xml:space="preserve">Nealis and Régnière, 2021</w:t>
        </w:r>
      </w:hyperlink>
      <w:r>
        <w:t xml:space="preserve">)</w:t>
      </w:r>
      <w:r>
        <w:t xml:space="preserve">. Here we assessed the effect of climate variability on WSB outbreak dynamics using summer SC-PDSI, which is highly correlated with other climate variables that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or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Thus, the positive effect of drought on outbreak initiation identified here may in part reflect the positive effects of warm spring temperatures.</w:t>
      </w:r>
    </w:p>
    <w:bookmarkEnd w:id="45"/>
    <w:bookmarkEnd w:id="46"/>
    <w:bookmarkStart w:id="47" w:name="implications"/>
    <w:p>
      <w:pPr>
        <w:pStyle w:val="Heading1"/>
      </w:pPr>
      <w:r>
        <w:t xml:space="preserve">Implications</w:t>
      </w:r>
    </w:p>
    <w:p>
      <w:pPr>
        <w:pStyle w:val="FirstParagraph"/>
      </w:pPr>
      <w:r>
        <w:t xml:space="preserve">This study highlights the role of broad-scale drivers in WSB outbreak dynamics, which has several important implications for understanding the ecology and management of WSB outbreak dynamics. First, forest management practices aimed at mitigating the effects of WSB, must consider regional- and landscape-scale processes. Here we attribute the early to mid 1900s quiescent period in our regional WSB record to a regional reduction in host availability due to Euro-American land-use practices, including logging and widespread anthropogenic fires during the relatively dry second half of the 19th century. From this we suggest that assessment of the likelihood of WSB outbreak and the efficacy of potential mitigation effort to enhance stand resistance to outbreak must consider stand structures across the surrounding landscape. In that context, the potential success of any management objectives should consider the effects of large fires in alternating landscape- to regional-scale forest susceptibility to WSB outbreak. For example, the extensive fires in 2020 in our study area have significantly reduced the extent of Douglas fir-dominated stands susceptible to WSB. Based on our results linking changes in WSB to past land-use practices, the 2020 fires may provide an opportunity to explore their potential benefits as a nature-based solution to adaptation to climate change impacts</w:t>
      </w:r>
      <w:r>
        <w:t xml:space="preserve"> </w:t>
      </w:r>
      <w:r>
        <w:t xml:space="preserve">(</w:t>
      </w:r>
      <w:hyperlink w:anchor="X6f4166e0fdc3ccca1240652d681ee28987e852d">
        <w:r>
          <w:rPr>
            <w:rStyle w:val="Hyperlink"/>
          </w:rPr>
          <w:t xml:space="preserve">Baker et al., 2023</w:t>
        </w:r>
      </w:hyperlink>
      <w:r>
        <w:t xml:space="preserve">)</w:t>
      </w:r>
      <w:r>
        <w:t xml:space="preserve">. Likewise, our results are highly relevant to management discusses framed in terms of emulating natural disturbances to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regional climate variability. Consequently future changes in climate, which are forecasted to include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While previous work from the Pacific Northwest has suggested that climate change may increase the likelihood of WSB outbreaks</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the associaion between outbreak continuation an above-average moisture availabilty that we observed here suggests that future warming and drying may inhibit outbreaks, particularly at more xeric locations.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47"/>
    <w:bookmarkStart w:id="48" w:name="acknowledgements"/>
    <w:p>
      <w:pPr>
        <w:pStyle w:val="Heading1"/>
      </w:pPr>
      <w:r>
        <w:t xml:space="preserve">Acknowledgements</w:t>
      </w:r>
    </w:p>
    <w:p>
      <w:pPr>
        <w:pStyle w:val="FirstParagraph"/>
      </w:pPr>
      <w:r>
        <w:t xml:space="preserve">This research was supported the USDA National Institute of Food and Agriculture, McIntire-Stennis project COL00520, accession number 7002894. Additionally, we would like to the thank Colorado State University and the Colorado Mountain Club for supporting O. Santiago. For research assistance we thank L. Daniels, K. Farley, M. Gonzalez, S. Shimek, and J. Smith.</w:t>
      </w:r>
    </w:p>
    <w:bookmarkEnd w:id="48"/>
    <w:bookmarkStart w:id="246" w:name="references"/>
    <w:p>
      <w:pPr>
        <w:pStyle w:val="Heading1"/>
      </w:pPr>
      <w:r>
        <w:t xml:space="preserve">References</w:t>
      </w:r>
    </w:p>
    <w:bookmarkStart w:id="245" w:name="refs"/>
    <w:bookmarkStart w:id="50"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49">
        <w:r>
          <w:rPr>
            <w:rStyle w:val="Hyperlink"/>
          </w:rPr>
          <w:t xml:space="preserve">https://doi.org/10.1175/BAMS-D-16-0193.1</w:t>
        </w:r>
      </w:hyperlink>
    </w:p>
    <w:bookmarkEnd w:id="50"/>
    <w:bookmarkStart w:id="51"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51"/>
    <w:bookmarkStart w:id="53" w:name="ref-alfaroPeriodicityWesternSpruce2014"/>
    <w:p>
      <w:pPr>
        <w:pStyle w:val="Bibliography"/>
      </w:pPr>
      <w:r>
        <w:t xml:space="preserve">Alfaro, R.I., Berg, J., Axelson, J., 2014. Periodicity of western spruce budworm in southern</w:t>
      </w:r>
      <w:r>
        <w:t xml:space="preserve"> </w:t>
      </w:r>
      <w:r>
        <w:t xml:space="preserve">British Columbia, Canada</w:t>
      </w:r>
      <w:r>
        <w:t xml:space="preserve">. Forest Ecology and Management 315, 72–79.</w:t>
      </w:r>
      <w:r>
        <w:t xml:space="preserve"> </w:t>
      </w:r>
      <w:hyperlink r:id="rId52">
        <w:r>
          <w:rPr>
            <w:rStyle w:val="Hyperlink"/>
          </w:rPr>
          <w:t xml:space="preserve">https://doi.org/10.1016/j.foreco.2013.12.026</w:t>
        </w:r>
      </w:hyperlink>
    </w:p>
    <w:bookmarkEnd w:id="53"/>
    <w:bookmarkStart w:id="55" w:name="ref-alfaro1992"/>
    <w:p>
      <w:pPr>
        <w:pStyle w:val="Bibliography"/>
      </w:pPr>
      <w:r>
        <w:t xml:space="preserve">Alfaro, R.I., Maclauchlan, L.E., 1992. A method to calculate the losses caused by western spruce budworm in uneven-aged</w:t>
      </w:r>
      <w:r>
        <w:t xml:space="preserve"> </w:t>
      </w:r>
      <w:r>
        <w:t xml:space="preserve">Douglas</w:t>
      </w:r>
      <w:r>
        <w:t xml:space="preserve"> </w:t>
      </w:r>
      <w:r>
        <w:t xml:space="preserve">fir forests of</w:t>
      </w:r>
      <w:r>
        <w:t xml:space="preserve"> </w:t>
      </w:r>
      <w:r>
        <w:t xml:space="preserve">British Columbia</w:t>
      </w:r>
      <w:r>
        <w:t xml:space="preserve">. Forest Ecology and Management 55, 295–313.</w:t>
      </w:r>
      <w:r>
        <w:t xml:space="preserve"> </w:t>
      </w:r>
      <w:hyperlink r:id="rId54">
        <w:r>
          <w:rPr>
            <w:rStyle w:val="Hyperlink"/>
          </w:rPr>
          <w:t xml:space="preserve">https://doi.org/10.1016/0378-1127(92)90107-K</w:t>
        </w:r>
      </w:hyperlink>
    </w:p>
    <w:bookmarkEnd w:id="55"/>
    <w:bookmarkStart w:id="57" w:name="ref-alfaroTreeMortalityRadial1982"/>
    <w:p>
      <w:pPr>
        <w:pStyle w:val="Bibliography"/>
      </w:pPr>
      <w:r>
        <w:t xml:space="preserve">Alfaro, R.I., Sickle, G.A.V., Thomson, A.J., Wegwitz, E., 1982. Tree mortality and radial growth losses caused by the western spruce budworm in a</w:t>
      </w:r>
      <w:r>
        <w:t xml:space="preserve"> </w:t>
      </w:r>
      <w:r>
        <w:t xml:space="preserve">Douglas-fir</w:t>
      </w:r>
      <w:r>
        <w:t xml:space="preserve"> </w:t>
      </w:r>
      <w:r>
        <w:t xml:space="preserve">stand in</w:t>
      </w:r>
      <w:r>
        <w:t xml:space="preserve"> </w:t>
      </w:r>
      <w:r>
        <w:t xml:space="preserve">British Columbia</w:t>
      </w:r>
      <w:r>
        <w:t xml:space="preserve">. Canadian Journal of Forest Research 12, 780–787.</w:t>
      </w:r>
      <w:r>
        <w:t xml:space="preserve"> </w:t>
      </w:r>
      <w:hyperlink r:id="rId56">
        <w:r>
          <w:rPr>
            <w:rStyle w:val="Hyperlink"/>
          </w:rPr>
          <w:t xml:space="preserve">https://doi.org/10.1139/x82-117</w:t>
        </w:r>
      </w:hyperlink>
    </w:p>
    <w:bookmarkEnd w:id="57"/>
    <w:bookmarkStart w:id="59" w:name="X6f4166e0fdc3ccca1240652d681ee28987e852d"/>
    <w:p>
      <w:pPr>
        <w:pStyle w:val="Bibliography"/>
      </w:pPr>
      <w:r>
        <w:t xml:space="preserve">Baker, W.L., Hanson, C.T., DellaSala, D.A., 2023. Harnessing Natural Disturbances: A Nature-Based Solution for Restoring and Adapting Dry Forests in the Western USA to Climate Change. Fire 6, 428.</w:t>
      </w:r>
      <w:r>
        <w:t xml:space="preserve"> </w:t>
      </w:r>
      <w:hyperlink r:id="rId58">
        <w:r>
          <w:rPr>
            <w:rStyle w:val="Hyperlink"/>
          </w:rPr>
          <w:t xml:space="preserve">https://doi.org/10.3390/fire6110428</w:t>
        </w:r>
      </w:hyperlink>
    </w:p>
    <w:bookmarkEnd w:id="59"/>
    <w:bookmarkStart w:id="61"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60">
        <w:r>
          <w:rPr>
            <w:rStyle w:val="Hyperlink"/>
          </w:rPr>
          <w:t xml:space="preserve">https://doi.org/10.1046/j.1365-2486.2002.00451.x</w:t>
        </w:r>
      </w:hyperlink>
    </w:p>
    <w:bookmarkEnd w:id="61"/>
    <w:bookmarkStart w:id="63" w:name="ref-bjornstadNcfSpatialNonparametric2020"/>
    <w:p>
      <w:pPr>
        <w:pStyle w:val="Bibliography"/>
      </w:pPr>
      <w:r>
        <w:t xml:space="preserve">Bjørnstad, O.N., 2020.</w:t>
      </w:r>
      <w:r>
        <w:t xml:space="preserve"> </w:t>
      </w:r>
      <w:hyperlink r:id="rId62">
        <w:r>
          <w:rPr>
            <w:rStyle w:val="Hyperlink"/>
          </w:rPr>
          <w:t xml:space="preserve">ncf</w:t>
        </w:r>
        <w:r>
          <w:rPr>
            <w:rStyle w:val="Hyperlink"/>
          </w:rPr>
          <w:t xml:space="preserve">: Spatial nonparametric covariance functions</w:t>
        </w:r>
      </w:hyperlink>
      <w:r>
        <w:t xml:space="preserve">.</w:t>
      </w:r>
    </w:p>
    <w:bookmarkEnd w:id="63"/>
    <w:bookmarkStart w:id="65" w:name="Xa25a0da32b67c9c2c929cd1fee4c26837a1e453"/>
    <w:p>
      <w:pPr>
        <w:pStyle w:val="Bibliography"/>
      </w:pPr>
      <w:r>
        <w:t xml:space="preserve">Bjørnstad, O.N., Falck, W., 2001.</w:t>
      </w:r>
      <w:r>
        <w:t xml:space="preserve"> </w:t>
      </w:r>
      <w:hyperlink r:id="rId64">
        <w:r>
          <w:rPr>
            <w:rStyle w:val="Hyperlink"/>
          </w:rPr>
          <w:t xml:space="preserve">Nonparametric spatial covariance functions: Estimation and testing</w:t>
        </w:r>
      </w:hyperlink>
      <w:r>
        <w:t xml:space="preserve">. Environmental and Ecological Statistics 8, 5370.</w:t>
      </w:r>
    </w:p>
    <w:bookmarkEnd w:id="65"/>
    <w:bookmarkStart w:id="67" w:name="ref-brookesWesternSpruceBudworm1987"/>
    <w:p>
      <w:pPr>
        <w:pStyle w:val="Bibliography"/>
      </w:pPr>
      <w:r>
        <w:t xml:space="preserve">Brookes, M.H., Campbell, R.W., Colbert, J.J., Mitchell, R. G., Stark, R.W., 1987.</w:t>
      </w:r>
      <w:r>
        <w:t xml:space="preserve"> </w:t>
      </w:r>
      <w:hyperlink r:id="rId66">
        <w:r>
          <w:rPr>
            <w:rStyle w:val="Hyperlink"/>
          </w:rPr>
          <w:t xml:space="preserve">Western spruce budworm</w:t>
        </w:r>
      </w:hyperlink>
      <w:r>
        <w:t xml:space="preserve">. Washington, D.C.</w:t>
      </w:r>
    </w:p>
    <w:bookmarkEnd w:id="67"/>
    <w:bookmarkStart w:id="69" w:name="ref-bunn2008"/>
    <w:p>
      <w:pPr>
        <w:pStyle w:val="Bibliography"/>
      </w:pPr>
      <w:r>
        <w:t xml:space="preserve">Bunn, A.G., 2008. A dendrochronology program library in R (dplR). Dendrochronologia 26, 115–124.</w:t>
      </w:r>
      <w:r>
        <w:t xml:space="preserve"> </w:t>
      </w:r>
      <w:hyperlink r:id="rId68">
        <w:r>
          <w:rPr>
            <w:rStyle w:val="Hyperlink"/>
          </w:rPr>
          <w:t xml:space="preserve">https://doi.org/10.1016/j.dendro.2008.01.002</w:t>
        </w:r>
      </w:hyperlink>
    </w:p>
    <w:bookmarkEnd w:id="69"/>
    <w:bookmarkStart w:id="71" w:name="ref-bunn2024DplRDendrochronologyProgram"/>
    <w:p>
      <w:pPr>
        <w:pStyle w:val="Bibliography"/>
      </w:pPr>
      <w:r>
        <w:t xml:space="preserve">Bunn, A.G., Korpela, M., Campelo, F., Mérian, P., Qeadan, F., Zang, C., 2024.</w:t>
      </w:r>
      <w:r>
        <w:t xml:space="preserve"> </w:t>
      </w:r>
      <w:hyperlink r:id="rId70">
        <w:r>
          <w:rPr>
            <w:rStyle w:val="Hyperlink"/>
          </w:rPr>
          <w:t xml:space="preserve">dplR: Dendrochronology program library in</w:t>
        </w:r>
        <w:r>
          <w:rPr>
            <w:rStyle w:val="Hyperlink"/>
          </w:rPr>
          <w:t xml:space="preserve"> </w:t>
        </w:r>
        <w:r>
          <w:rPr>
            <w:rStyle w:val="Hyperlink"/>
          </w:rPr>
          <w:t xml:space="preserve">R</w:t>
        </w:r>
      </w:hyperlink>
      <w:r>
        <w:t xml:space="preserve">.</w:t>
      </w:r>
    </w:p>
    <w:bookmarkEnd w:id="71"/>
    <w:bookmarkStart w:id="72" w:name="ref-campbell1987PopulationDynamics"/>
    <w:p>
      <w:pPr>
        <w:pStyle w:val="Bibliography"/>
      </w:pPr>
      <w:r>
        <w:t xml:space="preserve">Campbell, R.W., 1987.</w:t>
      </w:r>
      <w:r>
        <w:t xml:space="preserve"> </w:t>
      </w:r>
      <w:hyperlink r:id="rId66">
        <w:r>
          <w:rPr>
            <w:rStyle w:val="Hyperlink"/>
          </w:rPr>
          <w:t xml:space="preserve">Population dynamics</w:t>
        </w:r>
      </w:hyperlink>
      <w:r>
        <w:t xml:space="preserve">, in: Western Spruce Budworm. U.S. Department of Agriculture, Forest Service, pp. 71–88.</w:t>
      </w:r>
    </w:p>
    <w:bookmarkEnd w:id="72"/>
    <w:bookmarkStart w:id="74"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73">
        <w:r>
          <w:rPr>
            <w:rStyle w:val="Hyperlink"/>
          </w:rPr>
          <w:t xml:space="preserve">https://doi.org/10.1002/jqs.1303</w:t>
        </w:r>
      </w:hyperlink>
    </w:p>
    <w:bookmarkEnd w:id="74"/>
    <w:bookmarkStart w:id="75" w:name="X7db0d6f7f890ec65277028525b93937036459d1"/>
    <w:p>
      <w:pPr>
        <w:pStyle w:val="Bibliography"/>
      </w:pPr>
      <w:r>
        <w:t xml:space="preserve">Daly, C., Gibson, W.P., Taylor, G.H., Johnson, G.L., Pasteris, P., 2002. A knowledge-based approach to the statistical mapping of climate. Climate research 22, 99113.</w:t>
      </w:r>
    </w:p>
    <w:bookmarkEnd w:id="75"/>
    <w:bookmarkStart w:id="77" w:name="X02a03063ff5f535a5585b7cdf52f4b38c391165"/>
    <w:p>
      <w:pPr>
        <w:pStyle w:val="Bibliography"/>
      </w:pPr>
      <w:r>
        <w:t xml:space="preserve">DeRose, R.J., Long, J.N., 2014. Resistance and resilience: A conceptual framework for silviculture. Forest Science 60, 1205–1212.</w:t>
      </w:r>
      <w:r>
        <w:t xml:space="preserve"> </w:t>
      </w:r>
      <w:hyperlink r:id="rId76">
        <w:r>
          <w:rPr>
            <w:rStyle w:val="Hyperlink"/>
          </w:rPr>
          <w:t xml:space="preserve">https://doi.org/10.5849/forsci.13-507</w:t>
        </w:r>
      </w:hyperlink>
    </w:p>
    <w:bookmarkEnd w:id="77"/>
    <w:bookmarkStart w:id="79" w:name="ref-dymond2010FutureSpruceBudworm"/>
    <w:p>
      <w:pPr>
        <w:pStyle w:val="Bibliography"/>
      </w:pPr>
      <w:r>
        <w:t xml:space="preserve">Dymond, C.C., Neilson, E.T., Stinson, G., Porter, K., MacLean, D.A., Gray, D.R., Campagna, M., Kurz, W.A., 2010. Future spruce budworm outbreak may create a carbon source in eastern</w:t>
      </w:r>
      <w:r>
        <w:t xml:space="preserve"> </w:t>
      </w:r>
      <w:r>
        <w:t xml:space="preserve">Canadian</w:t>
      </w:r>
      <w:r>
        <w:t xml:space="preserve"> </w:t>
      </w:r>
      <w:r>
        <w:t xml:space="preserve">forests. Ecosystems 13, 917–931.</w:t>
      </w:r>
      <w:r>
        <w:t xml:space="preserve"> </w:t>
      </w:r>
      <w:hyperlink r:id="rId78">
        <w:r>
          <w:rPr>
            <w:rStyle w:val="Hyperlink"/>
          </w:rPr>
          <w:t xml:space="preserve">https://doi.org/10.1007/s10021-010-9364-z</w:t>
        </w:r>
      </w:hyperlink>
    </w:p>
    <w:bookmarkEnd w:id="79"/>
    <w:bookmarkStart w:id="80" w:name="Xd7af862198f6827620bf67c34344277c6d9b2ea"/>
    <w:p>
      <w:pPr>
        <w:pStyle w:val="Bibliography"/>
      </w:pPr>
      <w:r>
        <w:t xml:space="preserve">Ellis, T.M., Flower, A., 2017a. A multicentury dendrochronological reconstruction of western spruce budworm outbreaks in the</w:t>
      </w:r>
      <w:r>
        <w:t xml:space="preserve"> </w:t>
      </w:r>
      <w:r>
        <w:t xml:space="preserve">Okanogan Highlands</w:t>
      </w:r>
      <w:r>
        <w:t xml:space="preserve">, northeastern</w:t>
      </w:r>
      <w:r>
        <w:t xml:space="preserve"> </w:t>
      </w:r>
      <w:r>
        <w:t xml:space="preserve">Washington</w:t>
      </w:r>
      <w:r>
        <w:t xml:space="preserve">. Canadian Journal of Forest Research 47, 12661277.</w:t>
      </w:r>
    </w:p>
    <w:bookmarkEnd w:id="80"/>
    <w:bookmarkStart w:id="81" w:name="X7d31310359f8aeff087bd73b0bfde8ae5ebcecb"/>
    <w:p>
      <w:pPr>
        <w:pStyle w:val="Bibliography"/>
      </w:pPr>
      <w:r>
        <w:t xml:space="preserve">Ellis, T.M., Flower, A., 2017b. A multicentury dendrochronological reconstruction of western spruce budworm outbreaks in the okanogan highlands, northeastern washington. Canadian Journal of Forest Research 47, 12661277.</w:t>
      </w:r>
    </w:p>
    <w:bookmarkEnd w:id="81"/>
    <w:bookmarkStart w:id="82" w:name="ref-fellinWesternSpruceBudworm1982"/>
    <w:p>
      <w:pPr>
        <w:pStyle w:val="Bibliography"/>
      </w:pPr>
      <w:r>
        <w:t xml:space="preserve">Fellin, D.G., Dewey, J.E., 1982. Western spruce budworm. Washington, D.C.</w:t>
      </w:r>
    </w:p>
    <w:bookmarkEnd w:id="82"/>
    <w:bookmarkStart w:id="84" w:name="ref-flower2016"/>
    <w:p>
      <w:pPr>
        <w:pStyle w:val="Bibliography"/>
      </w:pPr>
      <w:r>
        <w:t xml:space="preserve">Flower, A., 2016. Three centuries of synchronous forest defoliator outbreaks in Western North America. PLOS ONE 11, e0164737.</w:t>
      </w:r>
      <w:r>
        <w:t xml:space="preserve"> </w:t>
      </w:r>
      <w:hyperlink r:id="rId83">
        <w:r>
          <w:rPr>
            <w:rStyle w:val="Hyperlink"/>
          </w:rPr>
          <w:t xml:space="preserve">https://doi.org/10.1371/journal.pone.0164737</w:t>
        </w:r>
      </w:hyperlink>
    </w:p>
    <w:bookmarkEnd w:id="84"/>
    <w:bookmarkStart w:id="86"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85">
        <w:r>
          <w:rPr>
            <w:rStyle w:val="Hyperlink"/>
          </w:rPr>
          <w:t xml:space="preserve">https://doi.org/10.1016/j.foreco.2014.03.042</w:t>
        </w:r>
      </w:hyperlink>
    </w:p>
    <w:bookmarkEnd w:id="86"/>
    <w:bookmarkStart w:id="88"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87">
        <w:r>
          <w:rPr>
            <w:rStyle w:val="Hyperlink"/>
          </w:rPr>
          <w:t xml:space="preserve">https://doi.org/10.1111/gcb.14367</w:t>
        </w:r>
      </w:hyperlink>
    </w:p>
    <w:bookmarkEnd w:id="88"/>
    <w:bookmarkStart w:id="90" w:name="ref-gavin2010K1DAnalysisSynchrony"/>
    <w:p>
      <w:pPr>
        <w:pStyle w:val="Bibliography"/>
      </w:pPr>
      <w:r>
        <w:t xml:space="preserve">Gavin, D.G., 2010.</w:t>
      </w:r>
      <w:r>
        <w:t xml:space="preserve"> </w:t>
      </w:r>
      <w:hyperlink r:id="rId89">
        <w:r>
          <w:rPr>
            <w:rStyle w:val="Hyperlink"/>
          </w:rPr>
          <w:t xml:space="preserve">K1D: Analysis of synchrony of events at one or multiple sites using the</w:t>
        </w:r>
        <w:r>
          <w:rPr>
            <w:rStyle w:val="Hyperlink"/>
          </w:rPr>
          <w:t xml:space="preserve"> </w:t>
        </w:r>
        <w:r>
          <w:rPr>
            <w:rStyle w:val="Hyperlink"/>
          </w:rPr>
          <w:t xml:space="preserve">Ripley K</w:t>
        </w:r>
        <w:r>
          <w:rPr>
            <w:rStyle w:val="Hyperlink"/>
          </w:rPr>
          <w:t xml:space="preserve"> </w:t>
        </w:r>
        <w:r>
          <w:rPr>
            <w:rStyle w:val="Hyperlink"/>
          </w:rPr>
          <w:t xml:space="preserve">function</w:t>
        </w:r>
      </w:hyperlink>
      <w:r>
        <w:t xml:space="preserve">.</w:t>
      </w:r>
    </w:p>
    <w:bookmarkEnd w:id="90"/>
    <w:bookmarkStart w:id="92" w:name="ref-gavinWeakClimaticControl2006"/>
    <w:p>
      <w:pPr>
        <w:pStyle w:val="Bibliography"/>
      </w:pPr>
      <w:r>
        <w:t xml:space="preserve">Gavin, D.G., Hu, F.S., Lertzman, K., Corbett, P., 2006. Weak climatic control of stand-scale fire history during the late</w:t>
      </w:r>
      <w:r>
        <w:t xml:space="preserve"> </w:t>
      </w:r>
      <w:r>
        <w:t xml:space="preserve">Holocene</w:t>
      </w:r>
      <w:r>
        <w:t xml:space="preserve">. Ecology 87, 1722–1732.</w:t>
      </w:r>
      <w:r>
        <w:t xml:space="preserve"> </w:t>
      </w:r>
      <w:hyperlink r:id="rId91">
        <w:r>
          <w:rPr>
            <w:rStyle w:val="Hyperlink"/>
          </w:rPr>
          <w:t xml:space="preserve">https://doi.org/10.1890/0012-9658(2006)87[1722:WCCOSF]2.0.CO;2</w:t>
        </w:r>
      </w:hyperlink>
    </w:p>
    <w:bookmarkEnd w:id="92"/>
    <w:bookmarkStart w:id="94" w:name="ref-gely2020HowHerbivorousInsects"/>
    <w:p>
      <w:pPr>
        <w:pStyle w:val="Bibliography"/>
      </w:pPr>
      <w:r>
        <w:t xml:space="preserve">Gely, C., Laurance, S.G.W., Stork, N.E., 2020. How do herbivorous insects respond to drought stress in trees? Biological Reviews 95, 434–448.</w:t>
      </w:r>
      <w:r>
        <w:t xml:space="preserve"> </w:t>
      </w:r>
      <w:hyperlink r:id="rId93">
        <w:r>
          <w:rPr>
            <w:rStyle w:val="Hyperlink"/>
          </w:rPr>
          <w:t xml:space="preserve">https://doi.org/10.1111/brv.12571</w:t>
        </w:r>
      </w:hyperlink>
    </w:p>
    <w:bookmarkEnd w:id="94"/>
    <w:bookmarkStart w:id="96" w:name="X21b2ecc1e0272d09484ab795650687cc4cd999b"/>
    <w:p>
      <w:pPr>
        <w:pStyle w:val="Bibliography"/>
      </w:pPr>
      <w:r>
        <w:t xml:space="preserve">Gouhier, T.C., Guichard, F., 2014. Synchrony: quantifying variability in space and time. Methods in Ecology and Evolution 5, 524–533.</w:t>
      </w:r>
      <w:r>
        <w:t xml:space="preserve"> </w:t>
      </w:r>
      <w:hyperlink r:id="rId95">
        <w:r>
          <w:rPr>
            <w:rStyle w:val="Hyperlink"/>
          </w:rPr>
          <w:t xml:space="preserve">https://doi.org/10.1111/2041-210X.12188</w:t>
        </w:r>
      </w:hyperlink>
    </w:p>
    <w:bookmarkEnd w:id="96"/>
    <w:bookmarkStart w:id="98" w:name="ref-gower1992CarbonDynamicsRocky"/>
    <w:p>
      <w:pPr>
        <w:pStyle w:val="Bibliography"/>
      </w:pPr>
      <w:r>
        <w:t xml:space="preserve">Gower, S.T., Vogt, K.A., Grier, C.C., 1992. Carbon Dynamics of Rocky Mountain Douglas-Fir: Influence of Water and Nutrient Availability. Ecological Monographs 62, 43–65.</w:t>
      </w:r>
      <w:r>
        <w:t xml:space="preserve"> </w:t>
      </w:r>
      <w:hyperlink r:id="rId97">
        <w:r>
          <w:rPr>
            <w:rStyle w:val="Hyperlink"/>
          </w:rPr>
          <w:t xml:space="preserve">https://doi.org/10.2307/2937170</w:t>
        </w:r>
      </w:hyperlink>
    </w:p>
    <w:bookmarkEnd w:id="98"/>
    <w:bookmarkStart w:id="100" w:name="ref-graybill2002NOAAWDSPaleoclimatologyc"/>
    <w:p>
      <w:pPr>
        <w:pStyle w:val="Bibliography"/>
      </w:pPr>
      <w:r>
        <w:t xml:space="preserve">Graybill, D.A., 2002.</w:t>
      </w:r>
      <w:r>
        <w:t xml:space="preserve"> </w:t>
      </w:r>
      <w:r>
        <w:t xml:space="preserve">NOAA/WDS Paleoclimatology - Graybill - Turkey Creek Bluff - PIPO - ITRDB CO548</w:t>
      </w:r>
      <w:r>
        <w:t xml:space="preserve">.</w:t>
      </w:r>
      <w:r>
        <w:t xml:space="preserve"> </w:t>
      </w:r>
      <w:hyperlink r:id="rId99">
        <w:r>
          <w:rPr>
            <w:rStyle w:val="Hyperlink"/>
          </w:rPr>
          <w:t xml:space="preserve">https://doi.org/10.25921/79K5-WM65</w:t>
        </w:r>
      </w:hyperlink>
    </w:p>
    <w:bookmarkEnd w:id="100"/>
    <w:bookmarkStart w:id="102"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101">
        <w:r>
          <w:rPr>
            <w:rStyle w:val="Hyperlink"/>
          </w:rPr>
          <w:t xml:space="preserve">https://doi.org/10.1016/j.dendro.2020.125750</w:t>
        </w:r>
      </w:hyperlink>
    </w:p>
    <w:bookmarkEnd w:id="102"/>
    <w:bookmarkStart w:id="104" w:name="ref-hadleyStandResponseWestern1993"/>
    <w:p>
      <w:pPr>
        <w:pStyle w:val="Bibliography"/>
      </w:pPr>
      <w:r>
        <w:t xml:space="preserve">Hadley, K.S., Veblen, T.T., 1993. Stand response to western spruce budworm and</w:t>
      </w:r>
      <w:r>
        <w:t xml:space="preserve"> </w:t>
      </w:r>
      <w:r>
        <w:t xml:space="preserve">Douglas-fir</w:t>
      </w:r>
      <w:r>
        <w:t xml:space="preserve"> </w:t>
      </w:r>
      <w:r>
        <w:t xml:space="preserve">bark beetle outbreaks,</w:t>
      </w:r>
      <w:r>
        <w:t xml:space="preserve"> </w:t>
      </w:r>
      <w:r>
        <w:t xml:space="preserve">Colorado Front Range</w:t>
      </w:r>
      <w:r>
        <w:t xml:space="preserve">. Canadian Journal of Forest Research 23, 479–491.</w:t>
      </w:r>
      <w:r>
        <w:t xml:space="preserve"> </w:t>
      </w:r>
      <w:hyperlink r:id="rId103">
        <w:r>
          <w:rPr>
            <w:rStyle w:val="Hyperlink"/>
          </w:rPr>
          <w:t xml:space="preserve">https://doi.org/10.1139/x93-066</w:t>
        </w:r>
      </w:hyperlink>
    </w:p>
    <w:bookmarkEnd w:id="104"/>
    <w:bookmarkStart w:id="106" w:name="ref-hamann2021ClimateChangeAlters"/>
    <w:p>
      <w:pPr>
        <w:pStyle w:val="Bibliography"/>
      </w:pPr>
      <w:r>
        <w:t xml:space="preserve">Hamann, E., Blevins, C., Franks, S.J., Jameel, M.I., Anderson, J.T., 2021. Climate change alters plant-herbivore interactions. New Phytologist 229, 1894–1910.</w:t>
      </w:r>
      <w:r>
        <w:t xml:space="preserve"> </w:t>
      </w:r>
      <w:hyperlink r:id="rId105">
        <w:r>
          <w:rPr>
            <w:rStyle w:val="Hyperlink"/>
          </w:rPr>
          <w:t xml:space="preserve">https://doi.org/10.1111/nph.17036</w:t>
        </w:r>
      </w:hyperlink>
    </w:p>
    <w:bookmarkEnd w:id="106"/>
    <w:bookmarkStart w:id="108"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07">
        <w:r>
          <w:rPr>
            <w:rStyle w:val="Hyperlink"/>
          </w:rPr>
          <w:t xml:space="preserve">https://doi.org/10.1111/nph.15048</w:t>
        </w:r>
      </w:hyperlink>
    </w:p>
    <w:bookmarkEnd w:id="108"/>
    <w:bookmarkStart w:id="110" w:name="ref-harvey2018"/>
    <w:p>
      <w:pPr>
        <w:pStyle w:val="Bibliography"/>
      </w:pPr>
      <w:r>
        <w:t xml:space="preserve">Harvey, J.E., Axelson, J.N., Smith, D.J., 2018. Disturbance-climate relationships between wildfire and western spruce budworm in interior British Columbia. Ecosphere 9, e02126.</w:t>
      </w:r>
      <w:r>
        <w:t xml:space="preserve"> </w:t>
      </w:r>
      <w:hyperlink r:id="rId109">
        <w:r>
          <w:rPr>
            <w:rStyle w:val="Hyperlink"/>
          </w:rPr>
          <w:t xml:space="preserve">https://doi.org/10.1002/ecs2.2126</w:t>
        </w:r>
      </w:hyperlink>
    </w:p>
    <w:bookmarkEnd w:id="110"/>
    <w:bookmarkStart w:id="111" w:name="ref-herms1992DilemmaPlantsGrow"/>
    <w:p>
      <w:pPr>
        <w:pStyle w:val="Bibliography"/>
      </w:pPr>
      <w:r>
        <w:t xml:space="preserve">Herms, D.A., Mattson, W.J., 1992. The dilemma of plants: To grow or defend. The Quarterly Review of Biology 67, 283–335.</w:t>
      </w:r>
    </w:p>
    <w:bookmarkEnd w:id="111"/>
    <w:bookmarkStart w:id="113" w:name="Xa8e7b4496a2b14799f3080f3ed2c3fc6e02c2a8"/>
    <w:p>
      <w:pPr>
        <w:pStyle w:val="Bibliography"/>
      </w:pPr>
      <w:r>
        <w:t xml:space="preserve">Hessburg, P.F., Miller, C.L., Povak, N.A., Taylor, A.H., Higuera, P.E., Prichard, S.J., North, M.P., Collins, B.M., Hurteau, M.D., Larson, A.J., Allen, C.D., Stephens, S.L., Huerta, H.R., Rumann, C.S., Daniels, L.D., Gedalof, Z., Gray, R.W., Kane, V.R., Churchill, D.J., Hagmann, R.K., Spies, T.A., Parks, S.A., Cansler, C.A., Belote, R.T., Veblen, T.T., Battaglia, M.A., Hoffman, C., Skinner, C.N., Safford, H.D., 2019. Climate, environment, and disturbance history govern resilience of western</w:t>
      </w:r>
      <w:r>
        <w:t xml:space="preserve"> </w:t>
      </w:r>
      <w:r>
        <w:t xml:space="preserve">North American</w:t>
      </w:r>
      <w:r>
        <w:t xml:space="preserve"> </w:t>
      </w:r>
      <w:r>
        <w:t xml:space="preserve">forests. Frontiers in Ecology and Evolution 7.</w:t>
      </w:r>
      <w:r>
        <w:t xml:space="preserve"> </w:t>
      </w:r>
      <w:hyperlink r:id="rId112">
        <w:r>
          <w:rPr>
            <w:rStyle w:val="Hyperlink"/>
          </w:rPr>
          <w:t xml:space="preserve">https://doi.org/10.3389/fevo.2019.00239</w:t>
        </w:r>
      </w:hyperlink>
    </w:p>
    <w:bookmarkEnd w:id="113"/>
    <w:bookmarkStart w:id="115" w:name="ref-howe2024BudwormsBeetlesWildfire"/>
    <w:p>
      <w:pPr>
        <w:pStyle w:val="Bibliography"/>
      </w:pPr>
      <w:r>
        <w:t xml:space="preserve">Howe, M., Hart, S.J., Trowbridge, A.M., 2024. Budworms, beetles and wildfire: Disturbance interactions influence the likelihood of insect-caused disturbances at a subcontinental scale. Journal of Ecology 112, 2567–2584.</w:t>
      </w:r>
      <w:r>
        <w:t xml:space="preserve"> </w:t>
      </w:r>
      <w:hyperlink r:id="rId114">
        <w:r>
          <w:rPr>
            <w:rStyle w:val="Hyperlink"/>
          </w:rPr>
          <w:t xml:space="preserve">https://doi.org/10.1111/1365-2745.14408</w:t>
        </w:r>
      </w:hyperlink>
    </w:p>
    <w:bookmarkEnd w:id="115"/>
    <w:bookmarkStart w:id="117" w:name="ref-huberty2004PlantWaterStress"/>
    <w:p>
      <w:pPr>
        <w:pStyle w:val="Bibliography"/>
      </w:pPr>
      <w:r>
        <w:t xml:space="preserve">Huberty, A.F., Denno, R.F., 2004. Plant water stress and its consequences for herbivorous insects: A new synthesis. Ecology 85, 1383–1398.</w:t>
      </w:r>
      <w:r>
        <w:t xml:space="preserve"> </w:t>
      </w:r>
      <w:hyperlink r:id="rId116">
        <w:r>
          <w:rPr>
            <w:rStyle w:val="Hyperlink"/>
          </w:rPr>
          <w:t xml:space="preserve">https://doi.org/10.1890/03-0352</w:t>
        </w:r>
      </w:hyperlink>
    </w:p>
    <w:bookmarkEnd w:id="117"/>
    <w:bookmarkStart w:id="119" w:name="ref-huckaby2001LandscapePatternsMontane"/>
    <w:p>
      <w:pPr>
        <w:pStyle w:val="Bibliography"/>
      </w:pPr>
      <w:r>
        <w:t xml:space="preserve">Huckaby, L.S., Kaufmann, M.R., Stoker, J.M., Fornwalt, P.J., 2001.</w:t>
      </w:r>
      <w:r>
        <w:t xml:space="preserve"> </w:t>
      </w:r>
      <w:hyperlink r:id="rId118">
        <w:r>
          <w:rPr>
            <w:rStyle w:val="Hyperlink"/>
          </w:rPr>
          <w:t xml:space="preserve">Landscape patterns of montane forest age structure relative to fire history at Cheesman Lake in the Colorado Front Range</w:t>
        </w:r>
      </w:hyperlink>
      <w:r>
        <w:t xml:space="preserve">, in: Vance, R.K., Edminster, C.B., Covington, W.W., Blake, J.A. (Eds.),. U.S. Department of Agriculture, Forest Service, Rocky Mountain Research Station, Ogden, UT, pp. 19–27.</w:t>
      </w:r>
    </w:p>
    <w:bookmarkEnd w:id="119"/>
    <w:bookmarkStart w:id="120" w:name="ref-johnson1975OutbreaksWesternSpruce"/>
    <w:p>
      <w:pPr>
        <w:pStyle w:val="Bibliography"/>
      </w:pPr>
      <w:r>
        <w:t xml:space="preserve">Johnson, P.C., 1975. Outbreaks of the western spruce budworm in the American northern Rocky Mountain area from 1922 through 1971. Ogden, UT.</w:t>
      </w:r>
    </w:p>
    <w:bookmarkEnd w:id="120"/>
    <w:bookmarkStart w:id="122"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21">
        <w:r>
          <w:rPr>
            <w:rStyle w:val="Hyperlink"/>
          </w:rPr>
          <w:t xml:space="preserve">https://doi.org/10.1111/ele.13173</w:t>
        </w:r>
      </w:hyperlink>
    </w:p>
    <w:bookmarkEnd w:id="122"/>
    <w:bookmarkStart w:id="124" w:name="X20dc6b4212d336f348a008e734813a6d93f7c5b"/>
    <w:p>
      <w:pPr>
        <w:pStyle w:val="Bibliography"/>
      </w:pPr>
      <w:r>
        <w:t xml:space="preserve">Kaufmann, M., Regan, C., Brown, P., 2000. Heterogeneity in</w:t>
      </w:r>
      <w:r>
        <w:t xml:space="preserve"> </w:t>
      </w:r>
      <w:r>
        <w:t xml:space="preserve">ponderosa pine/Douglas-fir</w:t>
      </w:r>
      <w:r>
        <w:t xml:space="preserve"> </w:t>
      </w:r>
      <w:r>
        <w:t xml:space="preserve">forests: Age and size structure in unlogged and logged landscapes of central</w:t>
      </w:r>
      <w:r>
        <w:t xml:space="preserve"> </w:t>
      </w:r>
      <w:r>
        <w:t xml:space="preserve">Colorado</w:t>
      </w:r>
      <w:r>
        <w:t xml:space="preserve">. Canadian Journal of Forest Research 30, 698–711.</w:t>
      </w:r>
      <w:r>
        <w:t xml:space="preserve"> </w:t>
      </w:r>
      <w:hyperlink r:id="rId123">
        <w:r>
          <w:rPr>
            <w:rStyle w:val="Hyperlink"/>
          </w:rPr>
          <w:t xml:space="preserve">https://doi.org/10.1139/x99-255</w:t>
        </w:r>
      </w:hyperlink>
    </w:p>
    <w:bookmarkEnd w:id="124"/>
    <w:bookmarkStart w:id="125" w:name="ref-kendall1970RankCorrelationMethods"/>
    <w:p>
      <w:pPr>
        <w:pStyle w:val="Bibliography"/>
      </w:pPr>
      <w:r>
        <w:t xml:space="preserve">Kendall, M.G., 1970. Rank correlation methods, 4th edition. ed. Griffin, London, UK.</w:t>
      </w:r>
    </w:p>
    <w:bookmarkEnd w:id="125"/>
    <w:bookmarkStart w:id="127" w:name="ref-liebhold2012"/>
    <w:p>
      <w:pPr>
        <w:pStyle w:val="Bibliography"/>
      </w:pPr>
      <w:r>
        <w:t xml:space="preserve">Liebhold, A.M., 2012. Forest pest management in a changing world. International Journal of Pest Management 58, 289–295.</w:t>
      </w:r>
      <w:r>
        <w:t xml:space="preserve"> </w:t>
      </w:r>
      <w:hyperlink r:id="rId126">
        <w:r>
          <w:rPr>
            <w:rStyle w:val="Hyperlink"/>
          </w:rPr>
          <w:t xml:space="preserve">https://doi.org/10.1080/09670874.2012.678405</w:t>
        </w:r>
      </w:hyperlink>
    </w:p>
    <w:bookmarkEnd w:id="127"/>
    <w:bookmarkStart w:id="129"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28">
        <w:r>
          <w:rPr>
            <w:rStyle w:val="Hyperlink"/>
          </w:rPr>
          <w:t xml:space="preserve">https://doi.org/10.1111/j.0030-1299.2004.12722.x</w:t>
        </w:r>
      </w:hyperlink>
    </w:p>
    <w:bookmarkEnd w:id="129"/>
    <w:bookmarkStart w:id="131"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30">
        <w:r>
          <w:rPr>
            <w:rStyle w:val="Hyperlink"/>
          </w:rPr>
          <w:t xml:space="preserve">https://doi.org/10.1086/589746</w:t>
        </w:r>
      </w:hyperlink>
    </w:p>
    <w:bookmarkEnd w:id="131"/>
    <w:bookmarkStart w:id="133"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32">
        <w:r>
          <w:rPr>
            <w:rStyle w:val="Hyperlink"/>
          </w:rPr>
          <w:t xml:space="preserve">https://doi.org/10.1007/BF00143903</w:t>
        </w:r>
      </w:hyperlink>
    </w:p>
    <w:bookmarkEnd w:id="133"/>
    <w:bookmarkStart w:id="134" w:name="ref-lukas2014ClimateChangeColorado"/>
    <w:p>
      <w:pPr>
        <w:pStyle w:val="Bibliography"/>
      </w:pPr>
      <w:r>
        <w:t xml:space="preserve">Lukas, J., Barsugli, J., Doesken, N., Rangwala, I., Wolter, K., 2014. Climate change in</w:t>
      </w:r>
      <w:r>
        <w:t xml:space="preserve"> </w:t>
      </w:r>
      <w:r>
        <w:t xml:space="preserve">Colorado</w:t>
      </w:r>
      <w:r>
        <w:t xml:space="preserve">: A synthesis to support water resources management and adaptation. University of Colorado, Boulder, Colorado.</w:t>
      </w:r>
    </w:p>
    <w:bookmarkEnd w:id="134"/>
    <w:bookmarkStart w:id="136"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35">
        <w:r>
          <w:rPr>
            <w:rStyle w:val="Hyperlink"/>
          </w:rPr>
          <w:t xml:space="preserve">https://doi.org/10.1016/j.agrformet.2022.109183</w:t>
        </w:r>
      </w:hyperlink>
    </w:p>
    <w:bookmarkEnd w:id="136"/>
    <w:bookmarkStart w:id="137" w:name="X6af38eeb64f61a0c366318340b9daf63e666521"/>
    <w:p>
      <w:pPr>
        <w:pStyle w:val="Bibliography"/>
      </w:pPr>
      <w:r>
        <w:t xml:space="preserve">Maclauchlan, L., Brooks, J.E., 2009. Influence of past forestry practices on western spruce budworm defoliation and associated impacts in southern</w:t>
      </w:r>
      <w:r>
        <w:t xml:space="preserve"> </w:t>
      </w:r>
      <w:r>
        <w:t xml:space="preserve">British Columbia</w:t>
      </w:r>
      <w:r>
        <w:t xml:space="preserve">. Journal of Ecosystems and Management 10.</w:t>
      </w:r>
    </w:p>
    <w:bookmarkEnd w:id="137"/>
    <w:bookmarkStart w:id="139"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38">
        <w:r>
          <w:rPr>
            <w:rStyle w:val="Hyperlink"/>
          </w:rPr>
          <w:t xml:space="preserve">https://doi.org/10.1016/j.foreco.2014.11.030</w:t>
        </w:r>
      </w:hyperlink>
    </w:p>
    <w:bookmarkEnd w:id="139"/>
    <w:bookmarkStart w:id="141"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40">
        <w:r>
          <w:rPr>
            <w:rStyle w:val="Hyperlink"/>
          </w:rPr>
          <w:t xml:space="preserve">https://doi.org/10.1890/06-1715.1@10.1002/(ISSN)1939-5582(CAT)SpecialCollection(VI)VirtualIssue</w:t>
        </w:r>
      </w:hyperlink>
    </w:p>
    <w:bookmarkEnd w:id="141"/>
    <w:bookmarkStart w:id="143" w:name="ref-moran1953StatisticalAnalsisCanadian"/>
    <w:p>
      <w:pPr>
        <w:pStyle w:val="Bibliography"/>
      </w:pPr>
      <w:r>
        <w:t xml:space="preserve">Moran, P.A.P., 1953. The statistical analysis of the Canadian lynx cycle. 1. Structure and prediction. Australian Journal of Zoology 1, 163–173.</w:t>
      </w:r>
      <w:r>
        <w:t xml:space="preserve"> </w:t>
      </w:r>
      <w:hyperlink r:id="rId142">
        <w:r>
          <w:rPr>
            <w:rStyle w:val="Hyperlink"/>
          </w:rPr>
          <w:t xml:space="preserve">https://doi.org/10.1071/zo9530163</w:t>
        </w:r>
      </w:hyperlink>
    </w:p>
    <w:bookmarkEnd w:id="143"/>
    <w:bookmarkStart w:id="145" w:name="ref-mtbsprojectMTBSDataAccess2022"/>
    <w:p>
      <w:pPr>
        <w:pStyle w:val="Bibliography"/>
      </w:pPr>
      <w:r>
        <w:t xml:space="preserve">MTBS Project, 2022.</w:t>
      </w:r>
      <w:r>
        <w:t xml:space="preserve"> </w:t>
      </w:r>
      <w:hyperlink r:id="rId144">
        <w:r>
          <w:rPr>
            <w:rStyle w:val="Hyperlink"/>
          </w:rPr>
          <w:t xml:space="preserve">MTBS data access: Burned area boundaries dataset</w:t>
        </w:r>
      </w:hyperlink>
      <w:r>
        <w:t xml:space="preserve">.</w:t>
      </w:r>
    </w:p>
    <w:bookmarkEnd w:id="145"/>
    <w:bookmarkStart w:id="147" w:name="ref-nealis2016WhyWesternSpruce"/>
    <w:p>
      <w:pPr>
        <w:pStyle w:val="Bibliography"/>
      </w:pPr>
      <w:r>
        <w:t xml:space="preserve">Nealis, V.G., Régnière, J., 2016. Why western spruce budworms travel so far for the winter. Ecological Entomology 41, 633–641.</w:t>
      </w:r>
      <w:r>
        <w:t xml:space="preserve"> </w:t>
      </w:r>
      <w:hyperlink r:id="rId146">
        <w:r>
          <w:rPr>
            <w:rStyle w:val="Hyperlink"/>
          </w:rPr>
          <w:t xml:space="preserve">https://doi.org/10.1111/een.12336</w:t>
        </w:r>
      </w:hyperlink>
    </w:p>
    <w:bookmarkEnd w:id="147"/>
    <w:bookmarkStart w:id="149" w:name="ref-nealis2009RiskDispersalWestern"/>
    <w:p>
      <w:pPr>
        <w:pStyle w:val="Bibliography"/>
      </w:pPr>
      <w:r>
        <w:t xml:space="preserve">Nealis, V.G., Régnière, J., 2009. Risk of dispersal in western spruce budworm. Agricultural and Forest Entomology 11, 213–223.</w:t>
      </w:r>
      <w:r>
        <w:t xml:space="preserve"> </w:t>
      </w:r>
      <w:hyperlink r:id="rId148">
        <w:r>
          <w:rPr>
            <w:rStyle w:val="Hyperlink"/>
          </w:rPr>
          <w:t xml:space="preserve">https://doi.org/10.1111/j.1461-9563.2008.00414.x</w:t>
        </w:r>
      </w:hyperlink>
    </w:p>
    <w:bookmarkEnd w:id="149"/>
    <w:bookmarkStart w:id="151" w:name="ref-nealis2021EcologyOutbreakPopulations"/>
    <w:p>
      <w:pPr>
        <w:pStyle w:val="Bibliography"/>
      </w:pPr>
      <w:r>
        <w:t xml:space="preserve">Nealis, V., Régnière, J., 2021. Ecology of outbreak populations of the western spruce budworm. Ecosphere 12.</w:t>
      </w:r>
      <w:r>
        <w:t xml:space="preserve"> </w:t>
      </w:r>
      <w:hyperlink r:id="rId150">
        <w:r>
          <w:rPr>
            <w:rStyle w:val="Hyperlink"/>
          </w:rPr>
          <w:t xml:space="preserve">https://doi.org/10.1002/ecs2.3667</w:t>
        </w:r>
      </w:hyperlink>
    </w:p>
    <w:bookmarkEnd w:id="151"/>
    <w:bookmarkStart w:id="152" w:name="ref-palmer1965"/>
    <w:p>
      <w:pPr>
        <w:pStyle w:val="Bibliography"/>
      </w:pPr>
      <w:r>
        <w:t xml:space="preserve">Palmer, W.C., 1965. Meteorologic drought.</w:t>
      </w:r>
    </w:p>
    <w:bookmarkEnd w:id="152"/>
    <w:bookmarkStart w:id="154"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53">
        <w:r>
          <w:rPr>
            <w:rStyle w:val="Hyperlink"/>
          </w:rPr>
          <w:t xml:space="preserve">https://doi.org/10.1002/fee.2297</w:t>
        </w:r>
      </w:hyperlink>
    </w:p>
    <w:bookmarkEnd w:id="154"/>
    <w:bookmarkStart w:id="156" w:name="ref-nlme"/>
    <w:p>
      <w:pPr>
        <w:pStyle w:val="Bibliography"/>
      </w:pPr>
      <w:r>
        <w:t xml:space="preserve">Pinheiro, J., Bates, D., R Core Team, 2022.</w:t>
      </w:r>
      <w:r>
        <w:t xml:space="preserve"> </w:t>
      </w:r>
      <w:hyperlink r:id="rId155">
        <w:r>
          <w:rPr>
            <w:rStyle w:val="Hyperlink"/>
          </w:rPr>
          <w:t xml:space="preserve">nlme</w:t>
        </w:r>
        <w:r>
          <w:rPr>
            <w:rStyle w:val="Hyperlink"/>
          </w:rPr>
          <w:t xml:space="preserve">: Linear and nonlinear mixed effects models</w:t>
        </w:r>
      </w:hyperlink>
      <w:r>
        <w:t xml:space="preserve">.</w:t>
      </w:r>
    </w:p>
    <w:bookmarkEnd w:id="156"/>
    <w:bookmarkStart w:id="158" w:name="ref-price1991PlantVigorHypothesis"/>
    <w:p>
      <w:pPr>
        <w:pStyle w:val="Bibliography"/>
      </w:pPr>
      <w:r>
        <w:t xml:space="preserve">Price, P.W., 1991. The plant vigor hypothesis and herbivore attack. Oikos 62, 244–251.</w:t>
      </w:r>
      <w:r>
        <w:t xml:space="preserve"> </w:t>
      </w:r>
      <w:hyperlink r:id="rId157">
        <w:r>
          <w:rPr>
            <w:rStyle w:val="Hyperlink"/>
          </w:rPr>
          <w:t xml:space="preserve">https://doi.org/10.2307/3545270</w:t>
        </w:r>
      </w:hyperlink>
    </w:p>
    <w:bookmarkEnd w:id="158"/>
    <w:bookmarkStart w:id="160" w:name="ref-prismclimategroup2021"/>
    <w:p>
      <w:pPr>
        <w:pStyle w:val="Bibliography"/>
      </w:pPr>
      <w:r>
        <w:t xml:space="preserve">PRISM Climate Group, 2021.</w:t>
      </w:r>
      <w:r>
        <w:t xml:space="preserve"> </w:t>
      </w:r>
      <w:hyperlink r:id="rId159">
        <w:r>
          <w:rPr>
            <w:rStyle w:val="Hyperlink"/>
          </w:rPr>
          <w:t xml:space="preserve">Monthly 30-year climate normals (1981-2010)</w:t>
        </w:r>
      </w:hyperlink>
      <w:r>
        <w:t xml:space="preserve">.</w:t>
      </w:r>
    </w:p>
    <w:bookmarkEnd w:id="160"/>
    <w:bookmarkStart w:id="162"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61">
        <w:r>
          <w:rPr>
            <w:rStyle w:val="Hyperlink"/>
          </w:rPr>
          <w:t xml:space="preserve">https://doi.org/10.1046/j.0022-0477.2001.00652.x</w:t>
        </w:r>
      </w:hyperlink>
    </w:p>
    <w:bookmarkEnd w:id="162"/>
    <w:bookmarkStart w:id="164" w:name="ref-rcoreteam2022"/>
    <w:p>
      <w:pPr>
        <w:pStyle w:val="Bibliography"/>
      </w:pPr>
      <w:r>
        <w:t xml:space="preserve">R Core Team, 2022.</w:t>
      </w:r>
      <w:r>
        <w:t xml:space="preserve"> </w:t>
      </w:r>
      <w:hyperlink r:id="rId163">
        <w:r>
          <w:rPr>
            <w:rStyle w:val="Hyperlink"/>
          </w:rPr>
          <w:t xml:space="preserve">R: A language and environment for statistical computing</w:t>
        </w:r>
      </w:hyperlink>
      <w:r>
        <w:t xml:space="preserve">. R Foundation for Statistical Computing, Vienna, Austria.</w:t>
      </w:r>
    </w:p>
    <w:bookmarkEnd w:id="164"/>
    <w:bookmarkStart w:id="166"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165">
        <w:r>
          <w:rPr>
            <w:rStyle w:val="Hyperlink"/>
          </w:rPr>
          <w:t xml:space="preserve">https://doi.org/10.1111/nph.13273</w:t>
        </w:r>
      </w:hyperlink>
    </w:p>
    <w:bookmarkEnd w:id="166"/>
    <w:bookmarkStart w:id="168" w:name="ref-rodman2019WildfireActivityLand"/>
    <w:p>
      <w:pPr>
        <w:pStyle w:val="Bibliography"/>
      </w:pPr>
      <w:r>
        <w:t xml:space="preserve">Rodman, K.C., Veblen, T.T., Saraceni, S., Chapman, T.B., 2019. Wildfire activity and land use drove 20th-century changes in forest cover in the Colorado front range. Ecosphere 10, e02594.</w:t>
      </w:r>
      <w:r>
        <w:t xml:space="preserve"> </w:t>
      </w:r>
      <w:hyperlink r:id="rId167">
        <w:r>
          <w:rPr>
            <w:rStyle w:val="Hyperlink"/>
          </w:rPr>
          <w:t xml:space="preserve">https://doi.org/10.1002/ecs2.2594</w:t>
        </w:r>
      </w:hyperlink>
    </w:p>
    <w:bookmarkEnd w:id="168"/>
    <w:bookmarkStart w:id="170" w:name="ref-rodman2020DataChangingClimatea"/>
    <w:p>
      <w:pPr>
        <w:pStyle w:val="Bibliography"/>
      </w:pPr>
      <w:r>
        <w:t xml:space="preserve">Rodman, K., Veblen, T., Battaglia, M., Chambers, M., Fornwalt, P., Holden, Z., Kolb, T., Ouzts, J., Rother, M., 2020. Data from: A changing climate is snuffing out post-fire recovery in montane forests.</w:t>
      </w:r>
      <w:r>
        <w:t xml:space="preserve"> </w:t>
      </w:r>
      <w:hyperlink r:id="rId169">
        <w:r>
          <w:rPr>
            <w:rStyle w:val="Hyperlink"/>
          </w:rPr>
          <w:t xml:space="preserve">https://doi.org/10.5061/DRYAD.QZ612JMB7</w:t>
        </w:r>
      </w:hyperlink>
    </w:p>
    <w:bookmarkEnd w:id="170"/>
    <w:bookmarkStart w:id="172" w:name="ref-royama1984"/>
    <w:p>
      <w:pPr>
        <w:pStyle w:val="Bibliography"/>
      </w:pPr>
      <w:r>
        <w:t xml:space="preserve">Royama, T., 1984. Population dynamics of the spruce budworm</w:t>
      </w:r>
      <w:r>
        <w:t xml:space="preserve"> </w:t>
      </w:r>
      <w:r>
        <w:rPr>
          <w:i/>
          <w:iCs/>
        </w:rPr>
        <w:t xml:space="preserve">Choristoneura fumiferana</w:t>
      </w:r>
      <w:r>
        <w:t xml:space="preserve">. Ecological Monographs 54, 429–462.</w:t>
      </w:r>
      <w:r>
        <w:t xml:space="preserve"> </w:t>
      </w:r>
      <w:hyperlink r:id="rId171">
        <w:r>
          <w:rPr>
            <w:rStyle w:val="Hyperlink"/>
          </w:rPr>
          <w:t xml:space="preserve">https://doi.org/10.2307/1942595</w:t>
        </w:r>
      </w:hyperlink>
    </w:p>
    <w:bookmarkEnd w:id="172"/>
    <w:bookmarkStart w:id="173" w:name="X4e36991cd0640877d9d4abdf77193e4d82669ec"/>
    <w:p>
      <w:pPr>
        <w:pStyle w:val="Bibliography"/>
      </w:pPr>
      <w:r>
        <w:t xml:space="preserve">Ryerson, D.E., Swetnam, T.W., Lynch, A.M., 2003. A tree-ring reconstruction of western spruce budworm outbreaks in the</w:t>
      </w:r>
      <w:r>
        <w:t xml:space="preserve"> </w:t>
      </w:r>
      <w:r>
        <w:t xml:space="preserve">San Juan Mountains, Colorado, USA</w:t>
      </w:r>
      <w:r>
        <w:t xml:space="preserve">. Canadian Journal of Forest Research 33, 10101028.</w:t>
      </w:r>
    </w:p>
    <w:bookmarkEnd w:id="173"/>
    <w:bookmarkStart w:id="175" w:name="ref-schoennagel2011FireHistoryTree"/>
    <w:p>
      <w:pPr>
        <w:pStyle w:val="Bibliography"/>
      </w:pPr>
      <w:r>
        <w:t xml:space="preserve">Schoennagel, T., Sherriff, R.L., Veblen, T.T., 2011. Fire history and tree recruitment in the Colorado Front Range upper montane zone: Implications for forest restoration. Ecological Applications: A Publication of the Ecological Society of America 21, 2210–2222.</w:t>
      </w:r>
      <w:r>
        <w:t xml:space="preserve"> </w:t>
      </w:r>
      <w:hyperlink r:id="rId174">
        <w:r>
          <w:rPr>
            <w:rStyle w:val="Hyperlink"/>
          </w:rPr>
          <w:t xml:space="preserve">https://doi.org/10.1890/10-1222.1</w:t>
        </w:r>
      </w:hyperlink>
    </w:p>
    <w:bookmarkEnd w:id="175"/>
    <w:bookmarkStart w:id="177"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176">
        <w:r>
          <w:rPr>
            <w:rStyle w:val="Hyperlink"/>
          </w:rPr>
          <w:t xml:space="preserve">https://doi.org/10.1890/06-1860.1</w:t>
        </w:r>
      </w:hyperlink>
    </w:p>
    <w:bookmarkEnd w:id="177"/>
    <w:bookmarkStart w:id="178" w:name="ref-senf2017MultiscaleAnalysisWestern"/>
    <w:p>
      <w:pPr>
        <w:pStyle w:val="Bibliography"/>
      </w:pPr>
      <w:r>
        <w:t xml:space="preserve">Senf, C., Campbell, E.M., Pflugmacher, D., Wulder, M.A., Hostert, P., 2017. A multi-scale analysis of western spruce budworm outbreak dynamics. Landscape ecology 32, 501514.</w:t>
      </w:r>
    </w:p>
    <w:bookmarkEnd w:id="178"/>
    <w:bookmarkStart w:id="180" w:name="ref-senf2016UsingLandsatAssess"/>
    <w:p>
      <w:pPr>
        <w:pStyle w:val="Bibliography"/>
      </w:pPr>
      <w:r>
        <w:t xml:space="preserve">Senf, C., Wulder, M.A., Campbell, E.M., Hostert, P., 2016. Using Landsat to Assess the Relationship Between Spatiotemporal Patterns of Western Spruce Budworm Outbreaks and Regional-Scale Weather Variability. Canadian Journal of Remote Sensing 42, 706–718.</w:t>
      </w:r>
      <w:r>
        <w:t xml:space="preserve"> </w:t>
      </w:r>
      <w:hyperlink r:id="rId179">
        <w:r>
          <w:rPr>
            <w:rStyle w:val="Hyperlink"/>
          </w:rPr>
          <w:t xml:space="preserve">https://doi.org/10.1080/07038992.2016.1220828</w:t>
        </w:r>
      </w:hyperlink>
    </w:p>
    <w:bookmarkEnd w:id="180"/>
    <w:bookmarkStart w:id="182" w:name="X6dd892ea2bf182e47770bba44f3a630cba57348"/>
    <w:p>
      <w:pPr>
        <w:pStyle w:val="Bibliography"/>
      </w:pPr>
      <w:r>
        <w:t xml:space="preserve">Sherriff, R.L., Veblen, T.T., 2007. A spatially-explicit reconstruction of historical fire occurrence in the ponderosa pine zone of the</w:t>
      </w:r>
      <w:r>
        <w:t xml:space="preserve"> </w:t>
      </w:r>
      <w:r>
        <w:t xml:space="preserve">Colorado Front Range</w:t>
      </w:r>
      <w:r>
        <w:t xml:space="preserve">. Ecosystems 10, 311–323.</w:t>
      </w:r>
      <w:r>
        <w:t xml:space="preserve"> </w:t>
      </w:r>
      <w:hyperlink r:id="rId181">
        <w:r>
          <w:rPr>
            <w:rStyle w:val="Hyperlink"/>
          </w:rPr>
          <w:t xml:space="preserve">https://doi.org/10.1007/s10021-007-9022-2</w:t>
        </w:r>
      </w:hyperlink>
    </w:p>
    <w:bookmarkEnd w:id="182"/>
    <w:bookmarkStart w:id="184" w:name="ref-sherriff2006EcologicalEffectsChanges"/>
    <w:p>
      <w:pPr>
        <w:pStyle w:val="Bibliography"/>
      </w:pPr>
      <w:r>
        <w:t xml:space="preserve">Sherriff, R.L., Veblen, T.T., 2006. Ecological effects of changes in fire regimes in</w:t>
      </w:r>
      <w:r>
        <w:t xml:space="preserve"> </w:t>
      </w:r>
      <w:r>
        <w:rPr>
          <w:i/>
          <w:iCs/>
        </w:rPr>
        <w:t xml:space="preserve">Pinus ponderosa</w:t>
      </w:r>
      <w:r>
        <w:t xml:space="preserve"> </w:t>
      </w:r>
      <w:r>
        <w:t xml:space="preserve">ecosystems in the Colorado Front Range. Journal of Vegetation Science 17, 705–718.</w:t>
      </w:r>
      <w:r>
        <w:t xml:space="preserve"> </w:t>
      </w:r>
      <w:hyperlink r:id="rId183">
        <w:r>
          <w:rPr>
            <w:rStyle w:val="Hyperlink"/>
          </w:rPr>
          <w:t xml:space="preserve">https://doi.org/10.1111/j.1654-1103.2006.tb02494.x</w:t>
        </w:r>
      </w:hyperlink>
    </w:p>
    <w:bookmarkEnd w:id="184"/>
    <w:bookmarkStart w:id="185" w:name="ref-smith2000ForestryPracticesForest"/>
    <w:p>
      <w:pPr>
        <w:pStyle w:val="Bibliography"/>
      </w:pPr>
      <w:r>
        <w:t xml:space="preserve">Smith, F.W., 2000. Forestry practices and forest fragmentation in the</w:t>
      </w:r>
      <w:r>
        <w:t xml:space="preserve"> </w:t>
      </w:r>
      <w:r>
        <w:t xml:space="preserve">Southern Rocky Mountains</w:t>
      </w:r>
      <w:r>
        <w:t xml:space="preserve">, in: Knight, R.L., Smith, F.W., Buskirk, S.W., Romme, W.H., Baker, W.L. (Eds.),. University Press of Colorado, Boulder, Colorado, pp. 123–134.</w:t>
      </w:r>
    </w:p>
    <w:bookmarkEnd w:id="185"/>
    <w:bookmarkStart w:id="186" w:name="ref-speer2010"/>
    <w:p>
      <w:pPr>
        <w:pStyle w:val="Bibliography"/>
      </w:pPr>
      <w:r>
        <w:t xml:space="preserve">Speer, J.H., 2010. Fundamentals of Tree-ring Research. University of Arizona Press, Tucson, AZ.</w:t>
      </w:r>
    </w:p>
    <w:bookmarkEnd w:id="186"/>
    <w:bookmarkStart w:id="187" w:name="ref-stokes1996"/>
    <w:p>
      <w:pPr>
        <w:pStyle w:val="Bibliography"/>
      </w:pPr>
      <w:r>
        <w:t xml:space="preserve">Stokes, M.A., Smiley, T.L., 1996. An introduction to tree-ring dating. University of Arizona Press.</w:t>
      </w:r>
    </w:p>
    <w:bookmarkEnd w:id="187"/>
    <w:bookmarkStart w:id="189" w:name="X3f635821c55a45424890682074a2eda50287344"/>
    <w:p>
      <w:pPr>
        <w:pStyle w:val="Bibliography"/>
      </w:pPr>
      <w:r>
        <w:t xml:space="preserve">Sturtevant, B.R., Achtemeier, G.L., Charney, J.J., Anderson, D.P., Cooke, B.J., Townsend, P.A., 2013. Long-distance dispersal of spruce budworm (</w:t>
      </w:r>
      <w:r>
        <w:rPr>
          <w:i/>
          <w:iCs/>
        </w:rPr>
        <w:t xml:space="preserve">Choristoneura fumiferana</w:t>
      </w:r>
      <w:r>
        <w:t xml:space="preserve"> </w:t>
      </w:r>
      <w:r>
        <w:t xml:space="preserve">Clemens) in Minnesota (USA) and Ontario (Canada) via the atmospheric pathway. Agricultural and Forest Meteorology 168, 186–200.</w:t>
      </w:r>
      <w:r>
        <w:t xml:space="preserve"> </w:t>
      </w:r>
      <w:hyperlink r:id="rId188">
        <w:r>
          <w:rPr>
            <w:rStyle w:val="Hyperlink"/>
          </w:rPr>
          <w:t xml:space="preserve">https://doi.org/10.1016/j.agrformet.2012.09.008</w:t>
        </w:r>
      </w:hyperlink>
    </w:p>
    <w:bookmarkEnd w:id="189"/>
    <w:bookmarkStart w:id="190" w:name="ref-swetnam1985"/>
    <w:p>
      <w:pPr>
        <w:pStyle w:val="Bibliography"/>
      </w:pPr>
      <w:r>
        <w:t xml:space="preserve">Swetnam, T.W., 1985. Radial growth losses in Douglas-fir and white fir caused by western spruce budworm in northern New Mexico: 1700-1983. Tucson, AZ.</w:t>
      </w:r>
    </w:p>
    <w:bookmarkEnd w:id="190"/>
    <w:bookmarkStart w:id="191" w:name="ref-swetnam1993"/>
    <w:p>
      <w:pPr>
        <w:pStyle w:val="Bibliography"/>
      </w:pPr>
      <w:r>
        <w:t xml:space="preserve">Swetnam, T.W., Lynch, A.M., 1993. Multicentury, regional-scale patterns of western spruce budworm outbreaks. Ecological Monographs 63, 399424.</w:t>
      </w:r>
    </w:p>
    <w:bookmarkEnd w:id="191"/>
    <w:bookmarkStart w:id="192" w:name="ref-swetnam1989"/>
    <w:p>
      <w:pPr>
        <w:pStyle w:val="Bibliography"/>
      </w:pPr>
      <w:r>
        <w:t xml:space="preserve">Swetnam, T.W., Lynch, A.M., 1989. A tree-ring reconstruction of western spruce budworm history in the</w:t>
      </w:r>
      <w:r>
        <w:t xml:space="preserve"> </w:t>
      </w:r>
      <w:r>
        <w:t xml:space="preserve">Southern Rocky Mountains</w:t>
      </w:r>
      <w:r>
        <w:t xml:space="preserve">. Forest Science 35, 962986.</w:t>
      </w:r>
    </w:p>
    <w:bookmarkEnd w:id="192"/>
    <w:bookmarkStart w:id="194" w:name="ref-thomson1984RelatingWeatherOutbreaks"/>
    <w:p>
      <w:pPr>
        <w:pStyle w:val="Bibliography"/>
      </w:pPr>
      <w:r>
        <w:t xml:space="preserve">Thomson, A.J., Shepherd, R.F., Harris, J.W.E., Silversides, R.H., 1984. Relating weather to outbreaks of western spruce budworm,</w:t>
      </w:r>
      <w:r>
        <w:t xml:space="preserve"> </w:t>
      </w:r>
      <w:r>
        <w:rPr>
          <w:i/>
          <w:iCs/>
        </w:rPr>
        <w:t xml:space="preserve">Choristoneura occidentalis</w:t>
      </w:r>
      <w:r>
        <w:t xml:space="preserve"> </w:t>
      </w:r>
      <w:r>
        <w:t xml:space="preserve">(Lepidoptera: Tortricidae), in British Columbia. The Canadian Entomologist 116, 375–381.</w:t>
      </w:r>
      <w:r>
        <w:t xml:space="preserve"> </w:t>
      </w:r>
      <w:hyperlink r:id="rId193">
        <w:r>
          <w:rPr>
            <w:rStyle w:val="Hyperlink"/>
          </w:rPr>
          <w:t xml:space="preserve">https://doi.org/10.4039/Ent116375-3</w:t>
        </w:r>
      </w:hyperlink>
    </w:p>
    <w:bookmarkEnd w:id="194"/>
    <w:bookmarkStart w:id="196" w:name="Xe07994a759a560b58250ecd1a6458592d9ea6d1"/>
    <w:p>
      <w:pPr>
        <w:pStyle w:val="Bibliography"/>
      </w:pPr>
      <w:r>
        <w:t xml:space="preserve">USFS, partners, its, 2020.</w:t>
      </w:r>
      <w:r>
        <w:t xml:space="preserve"> </w:t>
      </w:r>
      <w:hyperlink r:id="rId195">
        <w:r>
          <w:rPr>
            <w:rStyle w:val="Hyperlink"/>
          </w:rPr>
          <w:t xml:space="preserve">USDA forest service - aerial survey data download</w:t>
        </w:r>
      </w:hyperlink>
      <w:r>
        <w:t xml:space="preserve">.</w:t>
      </w:r>
    </w:p>
    <w:bookmarkEnd w:id="196"/>
    <w:bookmarkStart w:id="198" w:name="ref-usgcrp2023FifthNationalClimate"/>
    <w:p>
      <w:pPr>
        <w:pStyle w:val="Bibliography"/>
      </w:pPr>
      <w:r>
        <w:t xml:space="preserve">USGCRP, 2023. Fifth national climate assessment.</w:t>
      </w:r>
      <w:r>
        <w:t xml:space="preserve"> </w:t>
      </w:r>
      <w:hyperlink r:id="rId197">
        <w:r>
          <w:rPr>
            <w:rStyle w:val="Hyperlink"/>
          </w:rPr>
          <w:t xml:space="preserve">https://doi.org/10.7930/NCA5.2023</w:t>
        </w:r>
      </w:hyperlink>
    </w:p>
    <w:bookmarkEnd w:id="198"/>
    <w:bookmarkStart w:id="199" w:name="ref-veblen2005"/>
    <w:p>
      <w:pPr>
        <w:pStyle w:val="Bibliography"/>
      </w:pPr>
      <w:r>
        <w:t xml:space="preserve">Veblen, T.T., Donnegan, J.A., 2005. Historical range of variability for forest vegetation of the national forests of the Colorado Front Range. Boulder, Colorado.</w:t>
      </w:r>
    </w:p>
    <w:bookmarkEnd w:id="199"/>
    <w:bookmarkStart w:id="201"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200">
        <w:r>
          <w:rPr>
            <w:rStyle w:val="Hyperlink"/>
          </w:rPr>
          <w:t xml:space="preserve">https://doi.org/10.1890/1051-0761(2000)010[1178:CAHIOF]2.0.CO;2</w:t>
        </w:r>
      </w:hyperlink>
    </w:p>
    <w:bookmarkEnd w:id="201"/>
    <w:bookmarkStart w:id="202" w:name="ref-veblen1991ColoradoFrontRange"/>
    <w:p>
      <w:pPr>
        <w:pStyle w:val="Bibliography"/>
      </w:pPr>
      <w:r>
        <w:t xml:space="preserve">Veblen, T.T., Lorenz, D.C., 1991. The Colorado Front Range: A century of ecological change. University of Utah Press.</w:t>
      </w:r>
    </w:p>
    <w:bookmarkEnd w:id="202"/>
    <w:bookmarkStart w:id="203" w:name="ref-MASS"/>
    <w:p>
      <w:pPr>
        <w:pStyle w:val="Bibliography"/>
      </w:pPr>
      <w:r>
        <w:t xml:space="preserve">Venables, W.N., Ripley, B.D., 2002. Modern applied statistics with</w:t>
      </w:r>
      <w:r>
        <w:t xml:space="preserve"> </w:t>
      </w:r>
      <w:r>
        <w:t xml:space="preserve">S</w:t>
      </w:r>
      <w:r>
        <w:t xml:space="preserve">. Springer-Verlag, New York, New York.</w:t>
      </w:r>
    </w:p>
    <w:bookmarkEnd w:id="203"/>
    <w:bookmarkStart w:id="205" w:name="X50cecb246fd80c65ad42065985b700fbdc3d856"/>
    <w:p>
      <w:pPr>
        <w:pStyle w:val="Bibliography"/>
      </w:pPr>
      <w:r>
        <w:t xml:space="preserve">Weber, U.M., Schweingruber, F.H., 1995. A dendroecological reconstruction of western spruce budworm outbreaks (</w:t>
      </w:r>
      <w:r>
        <w:rPr>
          <w:i/>
          <w:iCs/>
        </w:rPr>
        <w:t xml:space="preserve">Choristoneura occidentalis</w:t>
      </w:r>
      <w:r>
        <w:t xml:space="preserve">) in the Front Range, Colorado, from 1720 to 1986. Trees 9.</w:t>
      </w:r>
      <w:r>
        <w:t xml:space="preserve"> </w:t>
      </w:r>
      <w:hyperlink r:id="rId204">
        <w:r>
          <w:rPr>
            <w:rStyle w:val="Hyperlink"/>
          </w:rPr>
          <w:t xml:space="preserve">https://doi.org/10.1007/BF00195274</w:t>
        </w:r>
      </w:hyperlink>
    </w:p>
    <w:bookmarkEnd w:id="205"/>
    <w:bookmarkStart w:id="207"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w:t>
      </w:r>
      <w:r>
        <w:t xml:space="preserve"> </w:t>
      </w:r>
      <w:r>
        <w:t xml:space="preserve">United States</w:t>
      </w:r>
      <w:r>
        <w:t xml:space="preserve">. Science of The Total Environment 733, 137782.</w:t>
      </w:r>
      <w:r>
        <w:t xml:space="preserve"> </w:t>
      </w:r>
      <w:hyperlink r:id="rId206">
        <w:r>
          <w:rPr>
            <w:rStyle w:val="Hyperlink"/>
          </w:rPr>
          <w:t xml:space="preserve">https://doi.org/10.1016/j.scitotenv.2020.137782</w:t>
        </w:r>
      </w:hyperlink>
    </w:p>
    <w:bookmarkEnd w:id="207"/>
    <w:bookmarkStart w:id="209" w:name="Xbe211468785b51cb9d643c7786f1a37aa08035e"/>
    <w:p>
      <w:pPr>
        <w:pStyle w:val="Bibliography"/>
      </w:pPr>
      <w:r>
        <w:t xml:space="preserve">Wells, N., Goddard, S., Hayes, M.J., 2004. A self-calibrating Palmer Drought Severity Index. Journal of Climate 17, 2335–2351.</w:t>
      </w:r>
      <w:r>
        <w:t xml:space="preserve"> </w:t>
      </w:r>
      <w:hyperlink r:id="rId208">
        <w:r>
          <w:rPr>
            <w:rStyle w:val="Hyperlink"/>
          </w:rPr>
          <w:t xml:space="preserve">https://doi.org/10.1175/1520-0442(2004)017&lt;2335:ASPDSI&gt;2.0.CO;2</w:t>
        </w:r>
      </w:hyperlink>
    </w:p>
    <w:bookmarkEnd w:id="209"/>
    <w:bookmarkStart w:id="211"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210">
        <w:r>
          <w:rPr>
            <w:rStyle w:val="Hyperlink"/>
          </w:rPr>
          <w:t xml:space="preserve">https://doi.org/10.1007/BF00379790</w:t>
        </w:r>
      </w:hyperlink>
    </w:p>
    <w:bookmarkEnd w:id="211"/>
    <w:bookmarkStart w:id="213"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12">
        <w:r>
          <w:rPr>
            <w:rStyle w:val="Hyperlink"/>
          </w:rPr>
          <w:t xml:space="preserve">https://doi.org/10.1111/ele.12861</w:t>
        </w:r>
      </w:hyperlink>
    </w:p>
    <w:bookmarkEnd w:id="213"/>
    <w:bookmarkStart w:id="215"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14">
        <w:r>
          <w:rPr>
            <w:rStyle w:val="Hyperlink"/>
          </w:rPr>
          <w:t xml:space="preserve">https://doi.org/10.3390/f12060798</w:t>
        </w:r>
      </w:hyperlink>
    </w:p>
    <w:bookmarkEnd w:id="215"/>
    <w:bookmarkStart w:id="217" w:name="ref-woodhouse2006"/>
    <w:p>
      <w:pPr>
        <w:pStyle w:val="Bibliography"/>
      </w:pPr>
      <w:r>
        <w:t xml:space="preserve">Woodhouse, C.A., Gray, S.T., Meko, D.M., 2006a. Updated streamflow reconstructions for the Upper Colorado River Basin. Water Resources Research 42.</w:t>
      </w:r>
      <w:r>
        <w:t xml:space="preserve"> </w:t>
      </w:r>
      <w:hyperlink r:id="rId216">
        <w:r>
          <w:rPr>
            <w:rStyle w:val="Hyperlink"/>
          </w:rPr>
          <w:t xml:space="preserve">https://doi.org/10.1029/2005WR004455</w:t>
        </w:r>
      </w:hyperlink>
    </w:p>
    <w:bookmarkEnd w:id="217"/>
    <w:bookmarkStart w:id="219" w:name="ref-CO591"/>
    <w:p>
      <w:pPr>
        <w:pStyle w:val="Bibliography"/>
      </w:pPr>
      <w:r>
        <w:t xml:space="preserve">Woodhouse, C.A., Losleben, M.V., 2006a.</w:t>
      </w:r>
      <w:r>
        <w:t xml:space="preserve"> </w:t>
      </w:r>
      <w:r>
        <w:t xml:space="preserve">NOAA/WDS Paleoclimatology - Woodhouse - Boulder Ridge Road - PIPO - ITRDB CO591</w:t>
      </w:r>
      <w:r>
        <w:t xml:space="preserve">.</w:t>
      </w:r>
      <w:r>
        <w:t xml:space="preserve"> </w:t>
      </w:r>
      <w:hyperlink r:id="rId218">
        <w:r>
          <w:rPr>
            <w:rStyle w:val="Hyperlink"/>
          </w:rPr>
          <w:t xml:space="preserve">https://doi.org/10.25921/PVQK-VB36</w:t>
        </w:r>
      </w:hyperlink>
    </w:p>
    <w:bookmarkEnd w:id="219"/>
    <w:bookmarkStart w:id="221" w:name="ref-CO601"/>
    <w:p>
      <w:pPr>
        <w:pStyle w:val="Bibliography"/>
      </w:pPr>
      <w:r>
        <w:t xml:space="preserve">Woodhouse, C.A., Losleben, M.V., 2006b.</w:t>
      </w:r>
      <w:r>
        <w:t xml:space="preserve"> </w:t>
      </w:r>
      <w:r>
        <w:t xml:space="preserve">NOAA/WDS Paleoclimatology - Woodhouse - Eagle Rock - PIPO - ITRDB CO601</w:t>
      </w:r>
      <w:r>
        <w:t xml:space="preserve">.</w:t>
      </w:r>
      <w:r>
        <w:t xml:space="preserve"> </w:t>
      </w:r>
      <w:hyperlink r:id="rId220">
        <w:r>
          <w:rPr>
            <w:rStyle w:val="Hyperlink"/>
          </w:rPr>
          <w:t xml:space="preserve">https://doi.org/10.25921/PMVY-ZX98</w:t>
        </w:r>
      </w:hyperlink>
    </w:p>
    <w:bookmarkEnd w:id="221"/>
    <w:bookmarkStart w:id="223" w:name="ref-CO602"/>
    <w:p>
      <w:pPr>
        <w:pStyle w:val="Bibliography"/>
      </w:pPr>
      <w:r>
        <w:t xml:space="preserve">Woodhouse, C.A., Losleben, M.V., 2006c.</w:t>
      </w:r>
      <w:r>
        <w:t xml:space="preserve"> </w:t>
      </w:r>
      <w:r>
        <w:t xml:space="preserve">NOAA/WDS Paleoclimatology - Woodhouse - Elevenmile Reservoir - PIPO - ITRDB CO602</w:t>
      </w:r>
      <w:r>
        <w:t xml:space="preserve">.</w:t>
      </w:r>
      <w:r>
        <w:t xml:space="preserve"> </w:t>
      </w:r>
      <w:hyperlink r:id="rId222">
        <w:r>
          <w:rPr>
            <w:rStyle w:val="Hyperlink"/>
          </w:rPr>
          <w:t xml:space="preserve">https://doi.org/10.25921/YCHK-ZA37</w:t>
        </w:r>
      </w:hyperlink>
    </w:p>
    <w:bookmarkEnd w:id="223"/>
    <w:bookmarkStart w:id="225" w:name="ref-CO669"/>
    <w:p>
      <w:pPr>
        <w:pStyle w:val="Bibliography"/>
      </w:pPr>
      <w:r>
        <w:t xml:space="preserve">Woodhouse, C.A., Losleben, M.V., Chowanski, K., Lukas, J.J., 2019a.</w:t>
      </w:r>
      <w:r>
        <w:t xml:space="preserve"> </w:t>
      </w:r>
      <w:r>
        <w:t xml:space="preserve">NOAA/WDS Paleoclimatology - Woodhouse - Monarch Pass - PIPO - ITRDB CO669</w:t>
      </w:r>
      <w:r>
        <w:t xml:space="preserve">.</w:t>
      </w:r>
      <w:r>
        <w:t xml:space="preserve"> </w:t>
      </w:r>
      <w:hyperlink r:id="rId224">
        <w:r>
          <w:rPr>
            <w:rStyle w:val="Hyperlink"/>
          </w:rPr>
          <w:t xml:space="preserve">https://doi.org/10.25921/P3RZ-2R66</w:t>
        </w:r>
      </w:hyperlink>
    </w:p>
    <w:bookmarkEnd w:id="225"/>
    <w:bookmarkStart w:id="227" w:name="Xa3a5d0b1c1f6b2c37633270462d730d07efb675"/>
    <w:p>
      <w:pPr>
        <w:pStyle w:val="Bibliography"/>
      </w:pPr>
      <w:r>
        <w:t xml:space="preserve">Woodhouse, C.A., Losleben, M.V., Chowanski, K., Lukas, J.J., 2019b.</w:t>
      </w:r>
      <w:r>
        <w:t xml:space="preserve"> </w:t>
      </w:r>
      <w:r>
        <w:t xml:space="preserve">NOAA/WDS Paleoclimatology - Woodhouse - Turkey Creek Update - PIPO - ITRDB CO675</w:t>
      </w:r>
      <w:r>
        <w:t xml:space="preserve">.</w:t>
      </w:r>
      <w:r>
        <w:t xml:space="preserve"> </w:t>
      </w:r>
      <w:hyperlink r:id="rId226">
        <w:r>
          <w:rPr>
            <w:rStyle w:val="Hyperlink"/>
          </w:rPr>
          <w:t xml:space="preserve">https://doi.org/10.25921/H9PQ-XX61</w:t>
        </w:r>
      </w:hyperlink>
    </w:p>
    <w:bookmarkEnd w:id="227"/>
    <w:bookmarkStart w:id="229" w:name="ref-CO639"/>
    <w:p>
      <w:pPr>
        <w:pStyle w:val="Bibliography"/>
      </w:pPr>
      <w:r>
        <w:t xml:space="preserve">Woodhouse, C.A., Losleben, M.V., Chowanski, K., Lukas, J.J., 2010.</w:t>
      </w:r>
      <w:r>
        <w:t xml:space="preserve"> </w:t>
      </w:r>
      <w:r>
        <w:t xml:space="preserve">NOAA/WDS Paleoclimatology - Woodhouse - Happy Meadows - PIPO - ITRDB CO639</w:t>
      </w:r>
      <w:r>
        <w:t xml:space="preserve">.</w:t>
      </w:r>
      <w:r>
        <w:t xml:space="preserve"> </w:t>
      </w:r>
      <w:hyperlink r:id="rId228">
        <w:r>
          <w:rPr>
            <w:rStyle w:val="Hyperlink"/>
          </w:rPr>
          <w:t xml:space="preserve">https://doi.org/10.25921/A7T2-YF30</w:t>
        </w:r>
      </w:hyperlink>
    </w:p>
    <w:bookmarkEnd w:id="229"/>
    <w:bookmarkStart w:id="231" w:name="ref-CO622"/>
    <w:p>
      <w:pPr>
        <w:pStyle w:val="Bibliography"/>
      </w:pPr>
      <w:r>
        <w:t xml:space="preserve">Woodhouse, C.A., Lukas, J.J., Huckaby, L., Barger, N., 2006b.</w:t>
      </w:r>
      <w:r>
        <w:t xml:space="preserve"> </w:t>
      </w:r>
      <w:r>
        <w:t xml:space="preserve">NOAA/WDS Paleoclimatology - Woodhouse - Rustic - PIPO - ITRDB CO622</w:t>
      </w:r>
      <w:r>
        <w:t xml:space="preserve">.</w:t>
      </w:r>
      <w:r>
        <w:t xml:space="preserve"> </w:t>
      </w:r>
      <w:hyperlink r:id="rId230">
        <w:r>
          <w:rPr>
            <w:rStyle w:val="Hyperlink"/>
          </w:rPr>
          <w:t xml:space="preserve">https://doi.org/10.25921/H15V-EB36</w:t>
        </w:r>
      </w:hyperlink>
    </w:p>
    <w:bookmarkEnd w:id="231"/>
    <w:bookmarkStart w:id="233" w:name="ref-CO666"/>
    <w:p>
      <w:pPr>
        <w:pStyle w:val="Bibliography"/>
      </w:pPr>
      <w:r>
        <w:t xml:space="preserve">Woodhouse, C.A., Lukas, J.J., Kaye, M., 2019c.</w:t>
      </w:r>
      <w:r>
        <w:t xml:space="preserve"> </w:t>
      </w:r>
      <w:r>
        <w:t xml:space="preserve">NOAA/WDS Paleoclimatology - Woodhouse - Johnny Park - PIPO - ITRDB CO666</w:t>
      </w:r>
      <w:r>
        <w:t xml:space="preserve">.</w:t>
      </w:r>
      <w:r>
        <w:t xml:space="preserve"> </w:t>
      </w:r>
      <w:hyperlink r:id="rId232">
        <w:r>
          <w:rPr>
            <w:rStyle w:val="Hyperlink"/>
          </w:rPr>
          <w:t xml:space="preserve">https://doi.org/10.25921/P9V5-JJ98</w:t>
        </w:r>
      </w:hyperlink>
    </w:p>
    <w:bookmarkEnd w:id="233"/>
    <w:bookmarkStart w:id="235" w:name="ref-CO596"/>
    <w:p>
      <w:pPr>
        <w:pStyle w:val="Bibliography"/>
      </w:pPr>
      <w:r>
        <w:t xml:space="preserve">Woodhouse, C.A., Lukas, J.J., Nepstad-Thornberry, C., 2006c.</w:t>
      </w:r>
      <w:r>
        <w:t xml:space="preserve"> </w:t>
      </w:r>
      <w:r>
        <w:t xml:space="preserve">NOAA/WDS Paleoclimatology - Woodhouse - Crags Hotel - PIPO - ITRDB CO596</w:t>
      </w:r>
      <w:r>
        <w:t xml:space="preserve">.</w:t>
      </w:r>
      <w:r>
        <w:t xml:space="preserve"> </w:t>
      </w:r>
      <w:hyperlink r:id="rId234">
        <w:r>
          <w:rPr>
            <w:rStyle w:val="Hyperlink"/>
          </w:rPr>
          <w:t xml:space="preserve">https://doi.org/10.25921/ZHYS-9Y86</w:t>
        </w:r>
      </w:hyperlink>
    </w:p>
    <w:bookmarkEnd w:id="235"/>
    <w:bookmarkStart w:id="237" w:name="ref-CO611"/>
    <w:p>
      <w:pPr>
        <w:pStyle w:val="Bibliography"/>
      </w:pPr>
      <w:r>
        <w:t xml:space="preserve">Woodhouse, C.A., Lukas, J.J., Nepstad-Thornberry, C., 2006d.</w:t>
      </w:r>
      <w:r>
        <w:t xml:space="preserve"> </w:t>
      </w:r>
      <w:r>
        <w:t xml:space="preserve">NOAA/WDS Paleoclimatology - Woodhouse - Meyer Ranch - PIPO - ITRDB CO611</w:t>
      </w:r>
      <w:r>
        <w:t xml:space="preserve">.</w:t>
      </w:r>
      <w:r>
        <w:t xml:space="preserve"> </w:t>
      </w:r>
      <w:hyperlink r:id="rId236">
        <w:r>
          <w:rPr>
            <w:rStyle w:val="Hyperlink"/>
          </w:rPr>
          <w:t xml:space="preserve">https://doi.org/10.25921/WYH1-YJ70</w:t>
        </w:r>
      </w:hyperlink>
    </w:p>
    <w:bookmarkEnd w:id="237"/>
    <w:bookmarkStart w:id="239" w:name="ref-CO607"/>
    <w:p>
      <w:pPr>
        <w:pStyle w:val="Bibliography"/>
      </w:pPr>
      <w:r>
        <w:t xml:space="preserve">Woodhouse, C.A., Lukas, J.J., Wilkinson Kaye, M., 2015.</w:t>
      </w:r>
      <w:r>
        <w:t xml:space="preserve"> </w:t>
      </w:r>
      <w:r>
        <w:t xml:space="preserve">NOAA/WDS Paleoclimatology - Woodhouse - Jamestown - PIPO - ITRDB CO607</w:t>
      </w:r>
      <w:r>
        <w:t xml:space="preserve">.</w:t>
      </w:r>
      <w:r>
        <w:t xml:space="preserve"> </w:t>
      </w:r>
      <w:hyperlink r:id="rId238">
        <w:r>
          <w:rPr>
            <w:rStyle w:val="Hyperlink"/>
          </w:rPr>
          <w:t xml:space="preserve">https://doi.org/10.25921/QNWC-H995</w:t>
        </w:r>
      </w:hyperlink>
    </w:p>
    <w:bookmarkEnd w:id="239"/>
    <w:bookmarkStart w:id="240" w:name="ref-wulf1987SiteStandCharacteristics"/>
    <w:p>
      <w:pPr>
        <w:pStyle w:val="Bibliography"/>
      </w:pPr>
      <w:r>
        <w:t xml:space="preserve">Wulf, N.W., Cates, R.G., 1987. Site and stand characteristics, in: Brookes, M.H., Campbell, R.W., Colbert, J.J., Mitchell, R.G., Stark, R.W. (Eds.), USDA Forest Service Technical Bulletin 1694. U.S. Department of Agriculture, Forest Service, Washington, D.C.</w:t>
      </w:r>
    </w:p>
    <w:bookmarkEnd w:id="240"/>
    <w:bookmarkStart w:id="242"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41">
        <w:r>
          <w:rPr>
            <w:rStyle w:val="Hyperlink"/>
          </w:rPr>
          <w:t xml:space="preserve">https://doi.org/10.3390/f10040354</w:t>
        </w:r>
      </w:hyperlink>
    </w:p>
    <w:bookmarkEnd w:id="242"/>
    <w:bookmarkStart w:id="244" w:name="ref-yamaguchi1991"/>
    <w:p>
      <w:pPr>
        <w:pStyle w:val="Bibliography"/>
      </w:pPr>
      <w:r>
        <w:t xml:space="preserve">Yamaguchi, D.K., 1991. A simple method for cross-dating increment cores from living trees. Canadian Journal of Forest Research 21, 414–416.</w:t>
      </w:r>
      <w:r>
        <w:t xml:space="preserve"> </w:t>
      </w:r>
      <w:hyperlink r:id="rId243">
        <w:r>
          <w:rPr>
            <w:rStyle w:val="Hyperlink"/>
          </w:rPr>
          <w:t xml:space="preserve">https://doi.org/10.1139/x91-053</w:t>
        </w:r>
      </w:hyperlink>
    </w:p>
    <w:bookmarkEnd w:id="244"/>
    <w:bookmarkEnd w:id="245"/>
    <w:p>
      <w:r>
        <w:br w:type="page"/>
      </w:r>
    </w:p>
    <w:bookmarkEnd w:id="246"/>
    <w:bookmarkStart w:id="247" w:name="SuppMat"/>
    <w:p>
      <w:pPr>
        <w:pStyle w:val="Heading1"/>
      </w:pPr>
      <w:r>
        <w:t xml:space="preserve">Supplementary Material</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2e77166a-50cf-4386-9380-d17d92881686" w:name="hostmeta"/>
      <w:r>
        <w:rPr>
          <w:rFonts/>
          <w:b w:val="true"/>
        </w:rPr>
        <w:fldChar w:fldCharType="begin" w:dirty="true"/>
      </w:r>
      <w:r>
        <w:rPr>
          <w:rFonts/>
          <w:b w:val="true"/>
        </w:rPr>
        <w:instrText xml:space="preserve" w:dirty="true">SEQ supp-tab \* Arabic</w:instrText>
      </w:r>
      <w:r>
        <w:rPr>
          <w:rFonts/>
          <w:b w:val="true"/>
        </w:rPr>
        <w:fldChar w:fldCharType="end" w:dirty="true"/>
      </w:r>
      <w:bookmarkEnd w:id="2e77166a-50cf-4386-9380-d17d92881686"/>
      <w:r>
        <w:rPr>
          <w:rFonts/>
          <w:b w:val="true"/>
        </w:rPr>
        <w:t xml:space="preserve">: </w:t>
      </w:r>
      <w:r>
        <w:t xml:space="preserve">Chronology statistics for 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Reference</w:t>
            </w:r>
          </w:p>
        </w:tc>
      </w:tr>
      <w:tr>
        <w:trPr>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1734-1998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1440-1994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1571-1995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1604-1994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1594-1995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Three Island Lake Trail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1697-1997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1691-1994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Wigwam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Wild Basin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1414-2000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bl>
    <w:p>
      <w:r>
        <w:br w:type="page"/>
      </w:r>
    </w:p>
    <w:p xmlns:w14="http://schemas.microsoft.com/office/word/2010/wordml">
      <w:pPr>
        <w:pStyle w:val="TableCaption"/>
        <w:jc w:val="center"/>
        <w:keepNext/>
      </w:pPr>
      <w:r>
        <w:rPr>
          <w:rFonts/>
          <w:b w:val="true"/>
        </w:rPr>
        <w:t xml:space="preserve">Table S </w:t>
      </w:r>
      <w:bookmarkStart w:id="70c677e9-21e8-4d8d-a4d7-d6636e08092e" w:name="nonhostmeta"/>
      <w:r>
        <w:rPr>
          <w:rFonts/>
          <w:b w:val="true"/>
        </w:rPr>
        <w:fldChar w:fldCharType="begin" w:dirty="true"/>
      </w:r>
      <w:r>
        <w:rPr>
          <w:rFonts/>
          <w:b w:val="true"/>
        </w:rPr>
        <w:instrText xml:space="preserve" w:dirty="true">SEQ supp-tab \* Arabic</w:instrText>
      </w:r>
      <w:r>
        <w:rPr>
          <w:rFonts/>
          <w:b w:val="true"/>
        </w:rPr>
        <w:fldChar w:fldCharType="end" w:dirty="true"/>
      </w:r>
      <w:bookmarkEnd w:id="70c677e9-21e8-4d8d-a4d7-d6636e08092e"/>
      <w:r>
        <w:rPr>
          <w:rFonts/>
          <w:b w:val="true"/>
        </w:rPr>
        <w:t xml:space="preserve">: </w:t>
      </w:r>
      <w:r>
        <w:t xml:space="preserve">Site and chronology statistics for nonhost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Reference</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40.980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1423-2001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2006a</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Crags Hotel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1545-2003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2006b</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Eagle Rock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2006b</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Elevenmile Reservoir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2006c</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1354-2000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2015</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2006c</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2006a</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2010</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2019c</w:t>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Monarch Pass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1627-1999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2019a</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DRIcombo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Veblen et al. 2000</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TCcombo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Turkey Creek Bluff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-104.870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1634-2003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Graybill 2002; Woodhouse et al. 2019b</w:t>
            </w:r>
          </w:p>
        </w:tc>
      </w:tr>
    </w:tbl>
    <w:p>
      <w:pPr>
        <w:sectPr w:officer="true">
          <w:pgSz w:h="11906" w:w="16838" w:orient="landscape"/>
          <w:type w:val="continuous"/>
          <w:cols/>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4ab7fd45-8afc-48f8-8fad-d5556b98290e" w:name="colonizationtab"/>
      <w:r>
        <w:rPr>
          <w:rFonts/>
          <w:b w:val="true"/>
        </w:rPr>
        <w:fldChar w:fldCharType="begin" w:dirty="true"/>
      </w:r>
      <w:r>
        <w:rPr>
          <w:rFonts/>
          <w:b w:val="true"/>
        </w:rPr>
        <w:instrText xml:space="preserve" w:dirty="true">SEQ supp-tab \* Arabic</w:instrText>
      </w:r>
      <w:r>
        <w:rPr>
          <w:rFonts/>
          <w:b w:val="true"/>
        </w:rPr>
        <w:fldChar w:fldCharType="end" w:dirty="true"/>
      </w:r>
      <w:bookmarkEnd w:id="4ab7fd45-8afc-48f8-8fad-d5556b98290e"/>
      <w:r>
        <w:rPr>
          <w:rFonts/>
          <w:b w:val="true"/>
        </w:rPr>
        <w:t xml:space="preserve">: </w:t>
      </w:r>
      <w:r>
        <w:t xml:space="preserve">Summary of modelling results testing the effect of Euro-Americans on WSB outbreak dynamics and ecological effects.</w:t>
      </w:r>
    </w:p>
    <w:tbl xmlns:w14="http://schemas.microsoft.com/office/word/2010/wordml">
      <w:tblPr>
        <w:tblLayout w:type="fixed"/>
        <w:jc w:val="center"/>
        <w:tblLook w:firstRow="1" w:lastRow="0" w:firstColumn="0" w:lastColumn="0" w:noHBand="0" w:noVBand="1"/>
      </w:tblPr>
      <w:tblGrid>
        <w:gridCol w:w="5190"/>
        <w:gridCol w:w="1490"/>
        <w:gridCol w:w="1110"/>
      </w:tblGrid>
      <w:tr>
        <w:trPr>
          <w:trHeight w:val="4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occurrence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0.568</w:t>
            </w:r>
          </w:p>
        </w:tc>
      </w:tr>
      <w:tr>
        <w:trPr>
          <w:trHeight w:val="3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0.035</w:t>
            </w:r>
          </w:p>
        </w:tc>
      </w:tr>
      <w:tr>
        <w:trPr>
          <w:trHeight w:val="4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0.161</w:t>
            </w:r>
          </w:p>
        </w:tc>
      </w:tr>
      <w:tr>
        <w:trPr>
          <w:trHeight w:val="41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0.041</w:t>
            </w:r>
          </w:p>
        </w:tc>
      </w:tr>
      <w:tr>
        <w:trPr>
          <w:trHeight w:val="41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0.115</w:t>
            </w:r>
          </w:p>
        </w:tc>
      </w:tr>
    </w:tbl>
    <w:p>
      <w:pPr>
        <w:pStyle w:val="FirstParagraph"/>
      </w:pPr>
    </w:p>
    <w:p xmlns:w14="http://schemas.microsoft.com/office/word/2010/wordml">
      <w:pPr>
        <w:pStyle w:val="TableCaption"/>
        <w:jc w:val="center"/>
        <w:keepNext/>
      </w:pPr>
      <w:r>
        <w:rPr>
          <w:rFonts/>
          <w:b w:val="true"/>
        </w:rPr>
        <w:t xml:space="preserve">Table S </w:t>
      </w:r>
      <w:bookmarkStart w:id="aed1d923-9ca1-4f38-a735-d219191c3273" w:name="PDSIperiodstab"/>
      <w:r>
        <w:rPr>
          <w:rFonts/>
          <w:b w:val="true"/>
        </w:rPr>
        <w:fldChar w:fldCharType="begin" w:dirty="true"/>
      </w:r>
      <w:r>
        <w:rPr>
          <w:rFonts/>
          <w:b w:val="true"/>
        </w:rPr>
        <w:instrText xml:space="preserve" w:dirty="true">SEQ supp-tab \* Arabic</w:instrText>
      </w:r>
      <w:r>
        <w:rPr>
          <w:rFonts/>
          <w:b w:val="true"/>
        </w:rPr>
        <w:fldChar w:fldCharType="end" w:dirty="true"/>
      </w:r>
      <w:bookmarkEnd w:id="aed1d923-9ca1-4f38-a735-d219191c3273"/>
      <w:r>
        <w:rPr>
          <w:rFonts/>
          <w:b w:val="true"/>
        </w:rPr>
        <w:t xml:space="preserve">: </w:t>
      </w:r>
      <w:r>
        <w:t xml:space="preserve">Results of statistical tests comparing the climate conditions in the dry period prior and wet period coincident outbreak initiation with all periods of above average moisture availability.</w:t>
      </w:r>
    </w:p>
    <w:tbl xmlns:w14="http://schemas.microsoft.com/office/word/2010/wordml">
      <w:tblPr>
        <w:tblLayout w:type="fixed"/>
        <w:jc w:val="center"/>
        <w:tblLook w:firstRow="1" w:lastRow="0" w:firstColumn="0" w:lastColumn="0" w:noHBand="0" w:noVBand="1"/>
      </w:tblPr>
      <w:tblGrid>
        <w:gridCol w:w="4829"/>
        <w:gridCol w:w="2137"/>
        <w:gridCol w:w="1490"/>
        <w:gridCol w:w="1110"/>
      </w:tblGrid>
      <w:tr>
        <w:trPr>
          <w:trHeight w:val="4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Climate 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Measure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0.599</w:t>
            </w:r>
          </w:p>
        </w:tc>
      </w:tr>
      <w:tr>
        <w:trPr>
          <w:trHeight w:val="4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0.001</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0.006</w:t>
            </w:r>
          </w:p>
        </w:tc>
      </w:tr>
      <w:tr>
        <w:trPr>
          <w:trHeight w:val="4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0.108</w:t>
            </w:r>
          </w:p>
        </w:tc>
      </w:tr>
      <w:tr>
        <w:trPr>
          <w:trHeight w:val="4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0.277</w:t>
            </w:r>
          </w:p>
        </w:tc>
      </w:tr>
      <w:tr>
        <w:trPr>
          <w:trHeight w:val="4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0.019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0.286</w:t>
            </w:r>
          </w:p>
        </w:tc>
      </w:tr>
      <w:tr>
        <w:trPr>
          <w:trHeight w:val="4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0.021</w:t>
            </w:r>
          </w:p>
        </w:tc>
      </w:tr>
    </w:tbl>
    <w:p>
      <w:r>
        <w:br w:type="page"/>
      </w:r>
    </w:p>
    <w:p xmlns:w14="http://schemas.microsoft.com/office/word/2010/wordml">
      <w:pPr>
        <w:pStyle w:val="TableCaption"/>
        <w:jc w:val="center"/>
        <w:keepNext/>
      </w:pPr>
      <w:r>
        <w:rPr>
          <w:rFonts/>
          <w:b w:val="true"/>
        </w:rPr>
        <w:t xml:space="preserve">Table S </w:t>
      </w:r>
      <w:bookmarkStart w:id="745b82df-9789-4798-8d2e-d6817ab332cb" w:name="historytab"/>
      <w:r>
        <w:rPr>
          <w:rFonts/>
          <w:b w:val="true"/>
        </w:rPr>
        <w:fldChar w:fldCharType="begin" w:dirty="true"/>
      </w:r>
      <w:r>
        <w:rPr>
          <w:rFonts/>
          <w:b w:val="true"/>
        </w:rPr>
        <w:instrText xml:space="preserve" w:dirty="true">SEQ supp-tab \* Arabic</w:instrText>
      </w:r>
      <w:r>
        <w:rPr>
          <w:rFonts/>
          <w:b w:val="true"/>
        </w:rPr>
        <w:fldChar w:fldCharType="end" w:dirty="true"/>
      </w:r>
      <w:bookmarkEnd w:id="745b82df-9789-4798-8d2e-d6817ab332cb"/>
      <w:r>
        <w:rPr>
          <w:rFonts/>
          <w:b w:val="true"/>
        </w:rPr>
        <w:t xml:space="preserve">: </w:t>
      </w:r>
      <w:r>
        <w:t xml:space="preserve">Published periods of WSB outbreak in Colorado.</w:t>
      </w:r>
    </w:p>
    <w:tbl xmlns:w14="http://schemas.microsoft.com/office/word/2010/wordml">
      <w:tblPr>
        <w:tblLayout w:type="fixed"/>
        <w:jc w:val="center"/>
        <w:tblLook w:firstRow="1" w:lastRow="0" w:firstColumn="0" w:lastColumn="0" w:noHBand="0" w:noVBand="1"/>
      </w:tblPr>
      <w:tblGrid>
        <w:gridCol w:w="891"/>
        <w:gridCol w:w="891"/>
        <w:gridCol w:w="1264"/>
        <w:gridCol w:w="2904"/>
        <w:gridCol w:w="3510"/>
      </w:tblGrid>
      <w:tr>
        <w:trPr>
          <w:trHeight w:val="57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Source</w:t>
            </w:r>
          </w:p>
        </w:tc>
      </w:tr>
      <w:tr>
        <w:trPr>
          <w:trHeight w:val="41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4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bl>
    <w:p>
      <w:r>
        <w:br w:type="page"/>
      </w:r>
    </w:p>
    <w:p>
      <w:pPr>
        <w:jc w:val="center"/>
        <w:pStyle w:val="Figure"/>
      </w:pPr>
      <w:r>
        <w:rPr/>
        <w:drawing>
          <wp:inline distT="0" distB="0" distL="0" distR="0">
            <wp:extent cx="4096512" cy="5943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252"/>
                    <a:stretch>
                      <a:fillRect/>
                    </a:stretch>
                  </pic:blipFill>
                  <pic:spPr bwMode="auto">
                    <a:xfrm>
                      <a:off x="0" y="0"/>
                      <a:ext cx="56896" cy="82550"/>
                    </a:xfrm>
                    <a:prstGeom prst="rect">
                      <a:avLst/>
                    </a:prstGeom>
                    <a:noFill/>
                  </pic:spPr>
                </pic:pic>
              </a:graphicData>
            </a:graphic>
          </wp:inline>
        </w:drawing>
      </w:r>
    </w:p>
    <w:p>
      <w:pPr>
        <w:pStyle w:val="ImageCaption"/>
      </w:pPr>
      <w:r>
        <w:rPr>
          <w:rFonts/>
          <w:b w:val="true"/>
        </w:rPr>
        <w:t xml:space="preserve">Figure S</w:t>
      </w:r>
      <w:bookmarkStart w:id="10ed4a63-4355-444e-8221-9bc74ee5eeb6" w:name="FigPercDefol"/>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10ed4a63-4355-444e-8221-9bc74ee5eeb6"/>
      <w:r>
        <w:rPr>
          <w:rFonts/>
          <w:b w:val="true"/>
        </w:rPr>
        <w:t xml:space="preserve">: </w:t>
      </w:r>
      <w:r>
        <w:t xml:space="preserve">Site-level outbreak records expressed as the percent of trees recording an infestation.</w:t>
      </w:r>
    </w:p>
    <w:p>
      <w:r>
        <w:br w:type="page"/>
      </w:r>
    </w:p>
    <w:p>
      <w:pPr>
        <w:jc w:val="center"/>
        <w:pStyle w:val="Figure"/>
      </w:pPr>
      <w:r>
        <w:rPr/>
        <w:drawing>
          <wp:inline distT="0" distB="0" distL="0" distR="0">
            <wp:extent cx="4096512" cy="27432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53"/>
                    <a:stretch>
                      <a:fillRect/>
                    </a:stretch>
                  </pic:blipFill>
                  <pic:spPr bwMode="auto">
                    <a:xfrm>
                      <a:off x="0" y="0"/>
                      <a:ext cx="56896" cy="38100"/>
                    </a:xfrm>
                    <a:prstGeom prst="rect">
                      <a:avLst/>
                    </a:prstGeom>
                    <a:noFill/>
                  </pic:spPr>
                </pic:pic>
              </a:graphicData>
            </a:graphic>
          </wp:inline>
        </w:drawing>
      </w:r>
    </w:p>
    <w:p>
      <w:pPr>
        <w:pStyle w:val="ImageCaption"/>
      </w:pPr>
      <w:r>
        <w:rPr>
          <w:rFonts/>
          <w:b w:val="true"/>
        </w:rPr>
        <w:t xml:space="preserve">Figure S</w:t>
      </w:r>
      <w:bookmarkStart w:id="1a284392-ae77-4d21-a3d9-3f4138b6aa32" w:name="FigPairwiseCor"/>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1a284392-ae77-4d21-a3d9-3f4138b6aa32"/>
      <w:r>
        <w:rPr>
          <w:rFonts/>
          <w:b w:val="true"/>
        </w:rPr>
        <w:t xml:space="preserve">: </w:t>
      </w:r>
      <w:r>
        <w:t xml:space="preserve">Pairwise Spearman’s correlation between time series of the percent of trees defoliated at each site.</w:t>
      </w:r>
    </w:p>
    <w:p>
      <w:pPr>
        <w:pStyle w:val="BodyText"/>
      </w:pPr>
    </w:p>
    <w:p>
      <w:pPr>
        <w:jc w:val="center"/>
        <w:pStyle w:val="Figure"/>
      </w:pPr>
      <w:r>
        <w:rPr/>
        <w:drawing>
          <wp:inline distT="0" distB="0" distL="0" distR="0">
            <wp:extent cx="64008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254"/>
                    <a:stretch>
                      <a:fillRect/>
                    </a:stretch>
                  </pic:blipFill>
                  <pic:spPr bwMode="auto">
                    <a:xfrm>
                      <a:off x="0" y="0"/>
                      <a:ext cx="88900" cy="38100"/>
                    </a:xfrm>
                    <a:prstGeom prst="rect">
                      <a:avLst/>
                    </a:prstGeom>
                    <a:noFill/>
                  </pic:spPr>
                </pic:pic>
              </a:graphicData>
            </a:graphic>
          </wp:inline>
        </w:drawing>
      </w:r>
    </w:p>
    <w:p>
      <w:pPr>
        <w:pStyle w:val="ImageCaption"/>
      </w:pPr>
      <w:r>
        <w:rPr>
          <w:rFonts/>
          <w:b w:val="true"/>
        </w:rPr>
        <w:t xml:space="preserve">Figure S</w:t>
      </w:r>
      <w:bookmarkStart w:id="24f3c6dc-69bc-4975-affa-22adf9daf555" w:name="FigCovarianceTime"/>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24f3c6dc-69bc-4975-affa-22adf9daf555"/>
      <w:r>
        <w:rPr>
          <w:rFonts/>
          <w:b w:val="true"/>
        </w:rPr>
        <w:t xml:space="preserve">: </w:t>
      </w:r>
      <w:r>
        <w:t xml:space="preserve">Nonparametric spatial covariance function describing the covariance among time series of the percent of trees defoliated at site for the 1750-1995 and the centuries prior to and following extensive Euro-American colonization (1750-1848 and 1890-1989, respectively). Gray shading indicates the 95% confidence interval based on 1,000 bootstrap replications. The dashed horizontal line indicates the average correlation across the study area (regional synchrony)</w:t>
      </w:r>
    </w:p>
    <w:p>
      <w:pPr>
        <w:jc w:val="center"/>
        <w:pStyle w:val="Figure"/>
      </w:pPr>
      <w:r>
        <w:rPr/>
        <w:drawing>
          <wp:inline distT="0" distB="0" distL="0" distR="0">
            <wp:extent cx="3200400" cy="219456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55"/>
                    <a:stretch>
                      <a:fillRect/>
                    </a:stretch>
                  </pic:blipFill>
                  <pic:spPr bwMode="auto">
                    <a:xfrm>
                      <a:off x="0" y="0"/>
                      <a:ext cx="44450" cy="30480"/>
                    </a:xfrm>
                    <a:prstGeom prst="rect">
                      <a:avLst/>
                    </a:prstGeom>
                    <a:noFill/>
                  </pic:spPr>
                </pic:pic>
              </a:graphicData>
            </a:graphic>
          </wp:inline>
        </w:drawing>
      </w:r>
    </w:p>
    <w:p>
      <w:pPr>
        <w:pStyle w:val="ImageCaption"/>
      </w:pPr>
      <w:r>
        <w:rPr>
          <w:rFonts/>
          <w:b w:val="true"/>
        </w:rPr>
        <w:t xml:space="preserve">Figure S</w:t>
      </w:r>
      <w:bookmarkStart w:id="61e6072a-0fd3-4cc9-9f15-5efdf9468600" w:name="FigCovarianceNonHo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61e6072a-0fd3-4cc9-9f15-5efdf9468600"/>
      <w:r>
        <w:rPr>
          <w:rFonts/>
          <w:b w:val="true"/>
        </w:rPr>
        <w:t xml:space="preserve">: </w:t>
      </w:r>
      <w:r>
        <w:t xml:space="preserve">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w:t>
      </w:r>
    </w:p>
    <w:p>
      <w:pPr>
        <w:pStyle w:val="BodyText"/>
      </w:pPr>
    </w:p>
    <w:p>
      <w:pPr>
        <w:jc w:val="center"/>
        <w:pStyle w:val="Figure"/>
      </w:pPr>
      <w:r>
        <w:rPr/>
        <w:drawing>
          <wp:inline distT="0" distB="0" distL="0" distR="0">
            <wp:extent cx="3200400" cy="18288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256"/>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S</w:t>
      </w:r>
      <w:bookmarkStart w:id="7bfa6abd-b6e3-4ae2-9cc9-cbba86d5ff82" w:name="FigPDSI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7bfa6abd-b6e3-4ae2-9cc9-cbba86d5ff82"/>
      <w:r>
        <w:rPr>
          <w:rFonts/>
          <w:b w:val="true"/>
        </w:rPr>
        <w:t xml:space="preserve">: </w:t>
      </w:r>
      <w:r>
        <w:t xml:space="preserve">Boxplots illustrating the mean June-August SC-PDSI during the century prior to and following extensive Euro-American colonization. Letters above bars indicate significant (p&lt;0.05) differences between groups.</w:t>
      </w:r>
    </w:p>
    <w:p>
      <w:r>
        <w:br w:type="page"/>
      </w:r>
    </w:p>
    <w:p>
      <w:pPr>
        <w:pStyle w:val="BodyText"/>
      </w:pPr>
      <w:r>
        <w:t xml:space="preserve">Woodhouse and Losleben (</w:t>
      </w:r>
      <w:hyperlink w:anchor="ref-CO591">
        <w:r>
          <w:rPr>
            <w:rStyle w:val="Hyperlink"/>
          </w:rPr>
          <w:t xml:space="preserve">2006a</w:t>
        </w:r>
      </w:hyperlink>
      <w:r>
        <w:t xml:space="preserve">)</w:t>
      </w:r>
      <w:r>
        <w:t xml:space="preserve">;</w:t>
      </w:r>
      <w:r>
        <w:t xml:space="preserve"> </w:t>
      </w:r>
      <w:r>
        <w:t xml:space="preserve">Woodhouse et al. (</w:t>
      </w:r>
      <w:hyperlink w:anchor="ref-CO596">
        <w:r>
          <w:rPr>
            <w:rStyle w:val="Hyperlink"/>
          </w:rPr>
          <w:t xml:space="preserve">2006c</w:t>
        </w:r>
      </w:hyperlink>
      <w:r>
        <w:t xml:space="preserve">)</w:t>
      </w:r>
      <w:r>
        <w:t xml:space="preserve">;</w:t>
      </w:r>
      <w:r>
        <w:t xml:space="preserve"> </w:t>
      </w:r>
      <w:r>
        <w:t xml:space="preserve">Woodhouse and Losleben (</w:t>
      </w:r>
      <w:hyperlink w:anchor="ref-CO601">
        <w:r>
          <w:rPr>
            <w:rStyle w:val="Hyperlink"/>
          </w:rPr>
          <w:t xml:space="preserve">2006b</w:t>
        </w:r>
      </w:hyperlink>
      <w:r>
        <w:t xml:space="preserve">)</w:t>
      </w:r>
      <w:r>
        <w:t xml:space="preserve">;</w:t>
      </w:r>
      <w:r>
        <w:t xml:space="preserve"> </w:t>
      </w:r>
      <w:r>
        <w:t xml:space="preserve">Woodhouse and Losleben (</w:t>
      </w:r>
      <w:hyperlink w:anchor="ref-CO602">
        <w:r>
          <w:rPr>
            <w:rStyle w:val="Hyperlink"/>
          </w:rPr>
          <w:t xml:space="preserve">2006c</w:t>
        </w:r>
      </w:hyperlink>
      <w:r>
        <w:t xml:space="preserve">)</w:t>
      </w:r>
      <w:r>
        <w:t xml:space="preserve">;</w:t>
      </w:r>
      <w:r>
        <w:t xml:space="preserve"> </w:t>
      </w:r>
      <w:r>
        <w:t xml:space="preserve">Woodhouse et al. (</w:t>
      </w:r>
      <w:hyperlink w:anchor="ref-CO607">
        <w:r>
          <w:rPr>
            <w:rStyle w:val="Hyperlink"/>
          </w:rPr>
          <w:t xml:space="preserve">2015</w:t>
        </w:r>
      </w:hyperlink>
      <w:r>
        <w:t xml:space="preserve">)</w:t>
      </w:r>
      <w:r>
        <w:t xml:space="preserve">;</w:t>
      </w:r>
      <w:r>
        <w:t xml:space="preserve"> </w:t>
      </w:r>
      <w:r>
        <w:t xml:space="preserve">Woodhouse et al. (</w:t>
      </w:r>
      <w:hyperlink w:anchor="ref-CO611">
        <w:r>
          <w:rPr>
            <w:rStyle w:val="Hyperlink"/>
          </w:rPr>
          <w:t xml:space="preserve">2006d</w:t>
        </w:r>
      </w:hyperlink>
      <w:r>
        <w:t xml:space="preserve">)</w:t>
      </w:r>
      <w:r>
        <w:t xml:space="preserve">;</w:t>
      </w:r>
      <w:r>
        <w:t xml:space="preserve"> </w:t>
      </w:r>
      <w:r>
        <w:t xml:space="preserve">Woodhouse et al. (</w:t>
      </w:r>
      <w:hyperlink w:anchor="ref-CO622">
        <w:r>
          <w:rPr>
            <w:rStyle w:val="Hyperlink"/>
          </w:rPr>
          <w:t xml:space="preserve">2006b</w:t>
        </w:r>
      </w:hyperlink>
      <w:r>
        <w:t xml:space="preserve">)</w:t>
      </w:r>
      <w:r>
        <w:t xml:space="preserve">;</w:t>
      </w:r>
      <w:r>
        <w:t xml:space="preserve"> </w:t>
      </w:r>
      <w:r>
        <w:t xml:space="preserve">Woodhouse et al. (</w:t>
      </w:r>
      <w:hyperlink w:anchor="ref-CO639">
        <w:r>
          <w:rPr>
            <w:rStyle w:val="Hyperlink"/>
          </w:rPr>
          <w:t xml:space="preserve">2010</w:t>
        </w:r>
      </w:hyperlink>
      <w:r>
        <w:t xml:space="preserve">)</w:t>
      </w:r>
      <w:r>
        <w:t xml:space="preserve">;</w:t>
      </w:r>
      <w:r>
        <w:t xml:space="preserve"> </w:t>
      </w:r>
      <w:r>
        <w:t xml:space="preserve">Woodhouse et al. (</w:t>
      </w:r>
      <w:hyperlink w:anchor="ref-CO666">
        <w:r>
          <w:rPr>
            <w:rStyle w:val="Hyperlink"/>
          </w:rPr>
          <w:t xml:space="preserve">2019c</w:t>
        </w:r>
      </w:hyperlink>
      <w:r>
        <w:t xml:space="preserve">)</w:t>
      </w:r>
      <w:r>
        <w:t xml:space="preserve">;</w:t>
      </w:r>
      <w:r>
        <w:t xml:space="preserve"> </w:t>
      </w:r>
      <w:r>
        <w:t xml:space="preserve">Woodhouse et al. (</w:t>
      </w:r>
      <w:hyperlink w:anchor="ref-CO669">
        <w:r>
          <w:rPr>
            <w:rStyle w:val="Hyperlink"/>
          </w:rPr>
          <w:t xml:space="preserve">2019a</w:t>
        </w:r>
      </w:hyperlink>
      <w:r>
        <w:t xml:space="preserve">)</w:t>
      </w:r>
      <w:r>
        <w:t xml:space="preserve">;</w:t>
      </w:r>
      <w:r>
        <w:t xml:space="preserve"> </w:t>
      </w:r>
      <w:r>
        <w:t xml:space="preserve">Woodhouse et al. (</w:t>
      </w:r>
      <w:hyperlink w:anchor="Xa3a5d0b1c1f6b2c37633270462d730d07efb675">
        <w:r>
          <w:rPr>
            <w:rStyle w:val="Hyperlink"/>
          </w:rPr>
          <w:t xml:space="preserve">2019b</w:t>
        </w:r>
      </w:hyperlink>
      <w:r>
        <w:t xml:space="preserve">)</w:t>
      </w:r>
      <w:r>
        <w:t xml:space="preserve">;</w:t>
      </w:r>
      <w:r>
        <w:t xml:space="preserve"> </w:t>
      </w:r>
      <w:r>
        <w:t xml:space="preserve">Graybill (</w:t>
      </w:r>
      <w:hyperlink w:anchor="ref-graybill2002NOAAWDSPaleoclimatologyc">
        <w:r>
          <w:rPr>
            <w:rStyle w:val="Hyperlink"/>
          </w:rPr>
          <w:t xml:space="preserve">2002</w:t>
        </w:r>
      </w:hyperlink>
      <w:r>
        <w:t xml:space="preserve">)</w:t>
      </w:r>
      <w:r>
        <w:t xml:space="preserve">;</w:t>
      </w:r>
      <w:r>
        <w:t xml:space="preserve"> </w:t>
      </w:r>
      <w:r>
        <w:t xml:space="preserve">Veblen et al. (</w:t>
      </w:r>
      <w:hyperlink w:anchor="ref-veblen2000">
        <w:r>
          <w:rPr>
            <w:rStyle w:val="Hyperlink"/>
          </w:rPr>
          <w:t xml:space="preserve">2000</w:t>
        </w:r>
      </w:hyperlink>
      <w:r>
        <w:t xml:space="preserve">)</w:t>
      </w:r>
      <w:r>
        <w:t xml:space="preserve">;</w:t>
      </w:r>
      <w:r>
        <w:t xml:space="preserve"> </w:t>
      </w:r>
      <w:r>
        <w:t xml:space="preserve">Rodman et al. (</w:t>
      </w:r>
      <w:hyperlink w:anchor="ref-rodman2020DataChangingClimatea">
        <w:r>
          <w:rPr>
            <w:rStyle w:val="Hyperlink"/>
          </w:rPr>
          <w:t xml:space="preserve">2020</w:t>
        </w:r>
      </w:hyperlink>
      <w:r>
        <w:t xml:space="preserve">)</w:t>
      </w:r>
    </w:p>
    <w:bookmarkEnd w:id="247"/>
    <w:sectPr w:rsidR="00200A7D" w:rsidRPr="00200A7D" w:rsidSect="0060109F">
      <w:footerReference r:id="rId10" w:type="even"/>
      <w:footerReference r:id="rId9" w:type="default"/>
      <w:pgSz w:h="15840" w:w="12240"/>
      <w:pgMar w:bottom="1440" w:footer="720" w:gutter="0" w:header="720" w:left="1080" w:right="1080" w:top="1440"/>
      <w:lnNumType w:countBy="1" w:restart="continuous"/>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 w:numId="1001">
    <w:abstractNumId w:val="991"/>
  </w:num>
</w:numbering>
</file>

<file path=word/settings.xml><?xml version="1.0" encoding="utf-8"?>
<w:settings xmlns:w="http://schemas.openxmlformats.org/wordprocessingml/2006/main">
  <w:zoom w:percent="132"/>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265419"/>
    <w:pPr>
      <w:spacing w:before="0"/>
    </w:pPr>
    <w:rPr>
      <w:i/>
    </w:rPr>
  </w:style>
  <w:style w:customStyle="1" w:styleId="TableCaption" w:type="paragraph">
    <w:name w:val="Table Caption"/>
    <w:basedOn w:val="Caption"/>
    <w:rsid w:val="00897C9E"/>
    <w:pPr>
      <w:keepNext/>
      <w:spacing w:after="120" w:before="240"/>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505F6D"/>
    <w:pPr>
      <w:keepNext/>
    </w:pPr>
  </w:style>
  <w:style w:customStyle="1" w:styleId="CaptionChar" w:type="character">
    <w:name w:val="Caption Char"/>
    <w:basedOn w:val="DefaultParagraphFont"/>
    <w:link w:val="Caption"/>
    <w:rsid w:val="00265419"/>
    <w:rPr>
      <w:rFonts w:ascii="Times" w:hAnsi="Times"/>
      <w:i/>
      <w:color w:themeColor="text1" w:val="000000"/>
    </w:rPr>
  </w:style>
  <w:style w:customStyle="1" w:styleId="VerbatimChar" w:type="character">
    <w:name w:val="Verbatim Char"/>
    <w:basedOn w:val="CaptionChar"/>
    <w:link w:val="SourceCode"/>
    <w:rPr>
      <w:rFonts w:ascii="Consolas" w:hAnsi="Consolas"/>
      <w:i/>
      <w:color w:themeColor="text1" w:val="000000"/>
      <w:sz w:val="22"/>
    </w:rPr>
  </w:style>
  <w:style w:customStyle="1" w:styleId="SectionNumber" w:type="character">
    <w:name w:val="Section Number"/>
    <w:basedOn w:val="CaptionChar"/>
    <w:rPr>
      <w:rFonts w:ascii="Times" w:hAnsi="Times"/>
      <w:i/>
      <w:color w:themeColor="text1" w:val="000000"/>
    </w:rPr>
  </w:style>
  <w:style w:styleId="FootnoteReference" w:type="character">
    <w:name w:val="footnote reference"/>
    <w:basedOn w:val="CaptionChar"/>
    <w:rPr>
      <w:rFonts w:ascii="Times" w:hAnsi="Times"/>
      <w:i/>
      <w:color w:themeColor="text1" w:val="000000"/>
      <w:vertAlign w:val="superscript"/>
    </w:rPr>
  </w:style>
  <w:style w:styleId="Hyperlink" w:type="character">
    <w:name w:val="Hyperlink"/>
    <w:basedOn w:val="CaptionChar"/>
    <w:rPr>
      <w:rFonts w:ascii="Times" w:hAnsi="Times"/>
      <w:i/>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color w:themeColor="text1" w:val="000000"/>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color w:themeColor="text1" w:val="000000"/>
      <w:sz w:val="22"/>
      <w:shd w:color="auto" w:fill="F8F8F8" w:val="clear"/>
    </w:rPr>
  </w:style>
  <w:style w:customStyle="1" w:styleId="ExtensionTok" w:type="character">
    <w:name w:val="ExtensionTok"/>
    <w:basedOn w:val="VerbatimChar"/>
    <w:rPr>
      <w:rFonts w:ascii="Consolas" w:hAnsi="Consolas"/>
      <w:i/>
      <w:color w:themeColor="text1" w:val="000000"/>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color w:themeColor="text1" w:val="000000"/>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2" Type="http://schemas.openxmlformats.org/officeDocument/2006/relationships/hyperlink" Target="http://CRAN.R-project.org/package=ncf" TargetMode="External"/>
<Relationship Id="rId64" Type="http://schemas.openxmlformats.org/officeDocument/2006/relationships/hyperlink" Target="http://link.springer.com/article/10.1023/A:1009601932481" TargetMode="External"/>
<Relationship Id="rId163" Type="http://schemas.openxmlformats.org/officeDocument/2006/relationships/hyperlink" Target="http://www.R-project.org" TargetMode="External"/>
<Relationship Id="rId70" Type="http://schemas.openxmlformats.org/officeDocument/2006/relationships/hyperlink" Target="https://CRAN.R-project.org/package=dplR" TargetMode="External"/>
<Relationship Id="rId155" Type="http://schemas.openxmlformats.org/officeDocument/2006/relationships/hyperlink" Target="https://CRAN.R-project.org/package=nlme" TargetMode="External"/>
<Relationship Id="rId109" Type="http://schemas.openxmlformats.org/officeDocument/2006/relationships/hyperlink" Target="https://doi.org/10.1002/ecs2.2126" TargetMode="External"/>
<Relationship Id="rId167" Type="http://schemas.openxmlformats.org/officeDocument/2006/relationships/hyperlink" Target="https://doi.org/10.1002/ecs2.2594" TargetMode="External"/>
<Relationship Id="rId150" Type="http://schemas.openxmlformats.org/officeDocument/2006/relationships/hyperlink" Target="https://doi.org/10.1002/ecs2.3667" TargetMode="External"/>
<Relationship Id="rId153" Type="http://schemas.openxmlformats.org/officeDocument/2006/relationships/hyperlink" Target="https://doi.org/10.1002/fee.2297" TargetMode="External"/>
<Relationship Id="rId73" Type="http://schemas.openxmlformats.org/officeDocument/2006/relationships/hyperlink" Target="https://doi.org/10.1002/jqs.1303" TargetMode="External"/>
<Relationship Id="rId132" Type="http://schemas.openxmlformats.org/officeDocument/2006/relationships/hyperlink" Target="https://doi.org/10.1007/BF00143903" TargetMode="External"/>
<Relationship Id="rId204" Type="http://schemas.openxmlformats.org/officeDocument/2006/relationships/hyperlink" Target="https://doi.org/10.1007/BF00195274" TargetMode="External"/>
<Relationship Id="rId210" Type="http://schemas.openxmlformats.org/officeDocument/2006/relationships/hyperlink" Target="https://doi.org/10.1007/BF00379790" TargetMode="External"/>
<Relationship Id="rId181" Type="http://schemas.openxmlformats.org/officeDocument/2006/relationships/hyperlink" Target="https://doi.org/10.1007/s10021-007-9022-2" TargetMode="External"/>
<Relationship Id="rId78" Type="http://schemas.openxmlformats.org/officeDocument/2006/relationships/hyperlink" Target="https://doi.org/10.1007/s10021-010-9364-z" TargetMode="External"/>
<Relationship Id="rId54" Type="http://schemas.openxmlformats.org/officeDocument/2006/relationships/hyperlink" Target="https://doi.org/10.1016/0378-1127(92)90107-K" TargetMode="External"/>
<Relationship Id="rId188" Type="http://schemas.openxmlformats.org/officeDocument/2006/relationships/hyperlink" Target="https://doi.org/10.1016/j.agrformet.2012.09.008" TargetMode="External"/>
<Relationship Id="rId135" Type="http://schemas.openxmlformats.org/officeDocument/2006/relationships/hyperlink" Target="https://doi.org/10.1016/j.agrformet.2022.109183" TargetMode="External"/>
<Relationship Id="rId68" Type="http://schemas.openxmlformats.org/officeDocument/2006/relationships/hyperlink" Target="https://doi.org/10.1016/j.dendro.2008.01.002" TargetMode="External"/>
<Relationship Id="rId101" Type="http://schemas.openxmlformats.org/officeDocument/2006/relationships/hyperlink" Target="https://doi.org/10.1016/j.dendro.2020.125750" TargetMode="External"/>
<Relationship Id="rId52" Type="http://schemas.openxmlformats.org/officeDocument/2006/relationships/hyperlink" Target="https://doi.org/10.1016/j.foreco.2013.12.026" TargetMode="External"/>
<Relationship Id="rId85" Type="http://schemas.openxmlformats.org/officeDocument/2006/relationships/hyperlink" Target="https://doi.org/10.1016/j.foreco.2014.03.042" TargetMode="External"/>
<Relationship Id="rId138" Type="http://schemas.openxmlformats.org/officeDocument/2006/relationships/hyperlink" Target="https://doi.org/10.1016/j.foreco.2014.11.030" TargetMode="External"/>
<Relationship Id="rId206" Type="http://schemas.openxmlformats.org/officeDocument/2006/relationships/hyperlink" Target="https://doi.org/10.1016/j.scitotenv.2020.137782" TargetMode="External"/>
<Relationship Id="rId216" Type="http://schemas.openxmlformats.org/officeDocument/2006/relationships/hyperlink" Target="https://doi.org/10.1029/2005WR004455" TargetMode="External"/>
<Relationship Id="rId161" Type="http://schemas.openxmlformats.org/officeDocument/2006/relationships/hyperlink" Target="https://doi.org/10.1046/j.0022-0477.2001.00652.x" TargetMode="External"/>
<Relationship Id="rId60" Type="http://schemas.openxmlformats.org/officeDocument/2006/relationships/hyperlink" Target="https://doi.org/10.1046/j.1365-2486.2002.00451.x" TargetMode="External"/>
<Relationship Id="rId142" Type="http://schemas.openxmlformats.org/officeDocument/2006/relationships/hyperlink" Target="https://doi.org/10.1071/zo9530163" TargetMode="External"/>
<Relationship Id="rId179" Type="http://schemas.openxmlformats.org/officeDocument/2006/relationships/hyperlink" Target="https://doi.org/10.1080/07038992.2016.1220828" TargetMode="External"/>
<Relationship Id="rId126" Type="http://schemas.openxmlformats.org/officeDocument/2006/relationships/hyperlink" Target="https://doi.org/10.1080/09670874.2012.678405" TargetMode="External"/>
<Relationship Id="rId130" Type="http://schemas.openxmlformats.org/officeDocument/2006/relationships/hyperlink" Target="https://doi.org/10.1086/589746" TargetMode="External"/>
<Relationship Id="rId114" Type="http://schemas.openxmlformats.org/officeDocument/2006/relationships/hyperlink" Target="https://doi.org/10.1111/1365-2745.14408" TargetMode="External"/>
<Relationship Id="rId95" Type="http://schemas.openxmlformats.org/officeDocument/2006/relationships/hyperlink" Target="https://doi.org/10.1111/2041-210X.12188" TargetMode="External"/>
<Relationship Id="rId93" Type="http://schemas.openxmlformats.org/officeDocument/2006/relationships/hyperlink" Target="https://doi.org/10.1111/brv.12571" TargetMode="External"/>
<Relationship Id="rId146" Type="http://schemas.openxmlformats.org/officeDocument/2006/relationships/hyperlink" Target="https://doi.org/10.1111/een.12336" TargetMode="External"/>
<Relationship Id="rId212" Type="http://schemas.openxmlformats.org/officeDocument/2006/relationships/hyperlink" Target="https://doi.org/10.1111/ele.12861" TargetMode="External"/>
<Relationship Id="rId121" Type="http://schemas.openxmlformats.org/officeDocument/2006/relationships/hyperlink" Target="https://doi.org/10.1111/ele.13173" TargetMode="External"/>
<Relationship Id="rId87" Type="http://schemas.openxmlformats.org/officeDocument/2006/relationships/hyperlink" Target="https://doi.org/10.1111/gcb.14367" TargetMode="External"/>
<Relationship Id="rId128" Type="http://schemas.openxmlformats.org/officeDocument/2006/relationships/hyperlink" Target="https://doi.org/10.1111/j.0030-1299.2004.12722.x" TargetMode="External"/>
<Relationship Id="rId148" Type="http://schemas.openxmlformats.org/officeDocument/2006/relationships/hyperlink" Target="https://doi.org/10.1111/j.1461-9563.2008.00414.x" TargetMode="External"/>
<Relationship Id="rId183" Type="http://schemas.openxmlformats.org/officeDocument/2006/relationships/hyperlink" Target="https://doi.org/10.1111/j.1654-1103.2006.tb02494.x" TargetMode="External"/>
<Relationship Id="rId165" Type="http://schemas.openxmlformats.org/officeDocument/2006/relationships/hyperlink" Target="https://doi.org/10.1111/nph.13273" TargetMode="External"/>
<Relationship Id="rId107" Type="http://schemas.openxmlformats.org/officeDocument/2006/relationships/hyperlink" Target="https://doi.org/10.1111/nph.15048" TargetMode="External"/>
<Relationship Id="rId105" Type="http://schemas.openxmlformats.org/officeDocument/2006/relationships/hyperlink" Target="https://doi.org/10.1111/nph.17036" TargetMode="External"/>
<Relationship Id="rId56" Type="http://schemas.openxmlformats.org/officeDocument/2006/relationships/hyperlink" Target="https://doi.org/10.1139/x82-117" TargetMode="External"/>
<Relationship Id="rId243" Type="http://schemas.openxmlformats.org/officeDocument/2006/relationships/hyperlink" Target="https://doi.org/10.1139/x91-053" TargetMode="External"/>
<Relationship Id="rId103" Type="http://schemas.openxmlformats.org/officeDocument/2006/relationships/hyperlink" Target="https://doi.org/10.1139/x93-066" TargetMode="External"/>
<Relationship Id="rId123" Type="http://schemas.openxmlformats.org/officeDocument/2006/relationships/hyperlink" Target="https://doi.org/10.1139/x99-255" TargetMode="External"/>
<Relationship Id="rId208" Type="http://schemas.openxmlformats.org/officeDocument/2006/relationships/hyperlink" Target="https://doi.org/10.1175/1520-0442(2004)017&lt;2335:ASPDSI&gt;2.0.CO;2" TargetMode="External"/>
<Relationship Id="rId49" Type="http://schemas.openxmlformats.org/officeDocument/2006/relationships/hyperlink" Target="https://doi.org/10.1175/BAMS-D-16-0193.1" TargetMode="External"/>
<Relationship Id="rId83" Type="http://schemas.openxmlformats.org/officeDocument/2006/relationships/hyperlink" Target="https://doi.org/10.1371/journal.pone.0164737" TargetMode="External"/>
<Relationship Id="rId91" Type="http://schemas.openxmlformats.org/officeDocument/2006/relationships/hyperlink" Target="https://doi.org/10.1890/0012-9658(2006)87[1722:WCCOSF]2.0.CO;2" TargetMode="External"/>
<Relationship Id="rId116" Type="http://schemas.openxmlformats.org/officeDocument/2006/relationships/hyperlink" Target="https://doi.org/10.1890/03-0352" TargetMode="External"/>
<Relationship Id="rId140" Type="http://schemas.openxmlformats.org/officeDocument/2006/relationships/hyperlink" Target="https://doi.org/10.1890/06-1715.1@10.1002/(ISSN)1939-5582(CAT)SpecialCollection(VI)VirtualIssue" TargetMode="External"/>
<Relationship Id="rId176" Type="http://schemas.openxmlformats.org/officeDocument/2006/relationships/hyperlink" Target="https://doi.org/10.1890/06-1860.1" TargetMode="External"/>
<Relationship Id="rId174" Type="http://schemas.openxmlformats.org/officeDocument/2006/relationships/hyperlink" Target="https://doi.org/10.1890/10-1222.1" TargetMode="External"/>
<Relationship Id="rId200" Type="http://schemas.openxmlformats.org/officeDocument/2006/relationships/hyperlink" Target="https://doi.org/10.1890/1051-0761(2000)010[1178:CAHIOF]2.0.CO;2" TargetMode="External"/>
<Relationship Id="rId171" Type="http://schemas.openxmlformats.org/officeDocument/2006/relationships/hyperlink" Target="https://doi.org/10.2307/1942595" TargetMode="External"/>
<Relationship Id="rId97" Type="http://schemas.openxmlformats.org/officeDocument/2006/relationships/hyperlink" Target="https://doi.org/10.2307/2937170" TargetMode="External"/>
<Relationship Id="rId157" Type="http://schemas.openxmlformats.org/officeDocument/2006/relationships/hyperlink" Target="https://doi.org/10.2307/3545270" TargetMode="External"/>
<Relationship Id="rId99" Type="http://schemas.openxmlformats.org/officeDocument/2006/relationships/hyperlink" Target="https://doi.org/10.25921/79K5-WM65" TargetMode="External"/>
<Relationship Id="rId228" Type="http://schemas.openxmlformats.org/officeDocument/2006/relationships/hyperlink" Target="https://doi.org/10.25921/A7T2-YF30" TargetMode="External"/>
<Relationship Id="rId230" Type="http://schemas.openxmlformats.org/officeDocument/2006/relationships/hyperlink" Target="https://doi.org/10.25921/H15V-EB36" TargetMode="External"/>
<Relationship Id="rId226" Type="http://schemas.openxmlformats.org/officeDocument/2006/relationships/hyperlink" Target="https://doi.org/10.25921/H9PQ-XX61" TargetMode="External"/>
<Relationship Id="rId224" Type="http://schemas.openxmlformats.org/officeDocument/2006/relationships/hyperlink" Target="https://doi.org/10.25921/P3RZ-2R66" TargetMode="External"/>
<Relationship Id="rId232" Type="http://schemas.openxmlformats.org/officeDocument/2006/relationships/hyperlink" Target="https://doi.org/10.25921/P9V5-JJ98" TargetMode="External"/>
<Relationship Id="rId220" Type="http://schemas.openxmlformats.org/officeDocument/2006/relationships/hyperlink" Target="https://doi.org/10.25921/PMVY-ZX98" TargetMode="External"/>
<Relationship Id="rId218" Type="http://schemas.openxmlformats.org/officeDocument/2006/relationships/hyperlink" Target="https://doi.org/10.25921/PVQK-VB36" TargetMode="External"/>
<Relationship Id="rId238" Type="http://schemas.openxmlformats.org/officeDocument/2006/relationships/hyperlink" Target="https://doi.org/10.25921/QNWC-H995" TargetMode="External"/>
<Relationship Id="rId236" Type="http://schemas.openxmlformats.org/officeDocument/2006/relationships/hyperlink" Target="https://doi.org/10.25921/WYH1-YJ70" TargetMode="External"/>
<Relationship Id="rId222" Type="http://schemas.openxmlformats.org/officeDocument/2006/relationships/hyperlink" Target="https://doi.org/10.25921/YCHK-ZA37" TargetMode="External"/>
<Relationship Id="rId234" Type="http://schemas.openxmlformats.org/officeDocument/2006/relationships/hyperlink" Target="https://doi.org/10.25921/ZHYS-9Y86" TargetMode="External"/>
<Relationship Id="rId112" Type="http://schemas.openxmlformats.org/officeDocument/2006/relationships/hyperlink" Target="https://doi.org/10.3389/fevo.2019.00239" TargetMode="External"/>
<Relationship Id="rId241" Type="http://schemas.openxmlformats.org/officeDocument/2006/relationships/hyperlink" Target="https://doi.org/10.3390/f10040354" TargetMode="External"/>
<Relationship Id="rId214" Type="http://schemas.openxmlformats.org/officeDocument/2006/relationships/hyperlink" Target="https://doi.org/10.3390/f12060798" TargetMode="External"/>
<Relationship Id="rId58" Type="http://schemas.openxmlformats.org/officeDocument/2006/relationships/hyperlink" Target="https://doi.org/10.3390/fire6110428" TargetMode="External"/>
<Relationship Id="rId193" Type="http://schemas.openxmlformats.org/officeDocument/2006/relationships/hyperlink" Target="https://doi.org/10.4039/Ent116375-3" TargetMode="External"/>
<Relationship Id="rId169" Type="http://schemas.openxmlformats.org/officeDocument/2006/relationships/hyperlink" Target="https://doi.org/10.5061/DRYAD.QZ612JMB7" TargetMode="External"/>
<Relationship Id="rId76" Type="http://schemas.openxmlformats.org/officeDocument/2006/relationships/hyperlink" Target="https://doi.org/10.5849/forsci.13-507" TargetMode="External"/>
<Relationship Id="rId197" Type="http://schemas.openxmlformats.org/officeDocument/2006/relationships/hyperlink" Target="https://doi.org/10.7930/NCA5.2023" TargetMode="External"/>
<Relationship Id="rId144" Type="http://schemas.openxmlformats.org/officeDocument/2006/relationships/hyperlink" Target="https://mtbs.gov/direct-download" TargetMode="External"/>
<Relationship Id="rId66" Type="http://schemas.openxmlformats.org/officeDocument/2006/relationships/hyperlink" Target="https://naldc.nal.usda.gov/download/CAT89231792/PDF" TargetMode="External"/>
<Relationship Id="rId89" Type="http://schemas.openxmlformats.org/officeDocument/2006/relationships/hyperlink" Target="https://pages.uoregon.edu/dgavin/software.html" TargetMode="External"/>
<Relationship Id="rId159" Type="http://schemas.openxmlformats.org/officeDocument/2006/relationships/hyperlink" Target="https://prism.oregonstate.edu/normals/" TargetMode="External"/>
<Relationship Id="rId118" Type="http://schemas.openxmlformats.org/officeDocument/2006/relationships/hyperlink" Target="https://research.fs.usda.gov/treesearch/46667" TargetMode="External"/>
<Relationship Id="rId195" Type="http://schemas.openxmlformats.org/officeDocument/2006/relationships/hyperlink" Target="https://www.fs.fed.us/foresthealth/applied-sciences/mapping-reporting/detection-surveys.shtml" TargetMode="External"/>
<Relationship Id="rId244" Type="http://schemas.openxmlformats.org/officeDocument/2006/relationships/image" Target="media/f2a68dbd925aac530b0498d4f58d7ad6721c2bf0.jpg"/>
<Relationship Id="rId245" Type="http://schemas.openxmlformats.org/officeDocument/2006/relationships/image" Target="media/08cc375e03c3e836bca540885ae13e76c3d3560d.jpg"/>
<Relationship Id="rId246" Type="http://schemas.openxmlformats.org/officeDocument/2006/relationships/image" Target="media/6267e282fa0e7d96cd2fd5467da26b5f7d7b637b.jpg"/>
<Relationship Id="rId247" Type="http://schemas.openxmlformats.org/officeDocument/2006/relationships/image" Target="media/24eb4fe2d53b364ac120661a61771aa8140758ea.jpg"/>
<Relationship Id="rId248" Type="http://schemas.openxmlformats.org/officeDocument/2006/relationships/image" Target="media/bfdabfd65506646e7daf02bfb8a5c2105dc47759.jpg"/>
<Relationship Id="rId249" Type="http://schemas.openxmlformats.org/officeDocument/2006/relationships/image" Target="media/112064f6d72f9674c554ae94ad04d5bc2e434d61.jpg"/>
<Relationship Id="rId250" Type="http://schemas.openxmlformats.org/officeDocument/2006/relationships/image" Target="media/eedd5b68fd829aab7056055896899803fd9b47ca.jpg"/>
<Relationship Id="rId251" Type="http://schemas.openxmlformats.org/officeDocument/2006/relationships/image" Target="media/da1b64908a95fe446374929c418ec5422c9a90c6.jpg"/>
<Relationship Id="rId252" Type="http://schemas.openxmlformats.org/officeDocument/2006/relationships/image" Target="media/c3cce4366876df3c911afbfcac83a900823eae93.jpg"/>
<Relationship Id="rId253" Type="http://schemas.openxmlformats.org/officeDocument/2006/relationships/image" Target="media/0c6c99be93e1ec6095528f5faebf147cddd0d0e5.jpg"/>
<Relationship Id="rId254" Type="http://schemas.openxmlformats.org/officeDocument/2006/relationships/image" Target="media/f1210918f1db6ecfdfda0784cab189842d774d77.jpg"/>
<Relationship Id="rId255" Type="http://schemas.openxmlformats.org/officeDocument/2006/relationships/image" Target="media/444a9e186091978bc68865780118eda262102f0a.jpg"/>
<Relationship Id="rId256" Type="http://schemas.openxmlformats.org/officeDocument/2006/relationships/image" Target="media/7f3f7809f6152efe1397296ddb44330b3be93629.jpg"/>
</Relationships>

</file>

<file path=word/_rels/footnotes.xml.rels><?xml version="1.0" encoding="UTF-8" standalone="yes"?>

<Relationships  xmlns="http://schemas.openxmlformats.org/package/2006/relationships">
<Relationship Id="rId62" Type="http://schemas.openxmlformats.org/officeDocument/2006/relationships/hyperlink" Target="http://CRAN.R-project.org/package=ncf" TargetMode="External"/>
<Relationship Id="rId64" Type="http://schemas.openxmlformats.org/officeDocument/2006/relationships/hyperlink" Target="http://link.springer.com/article/10.1023/A:1009601932481" TargetMode="External"/>
<Relationship Id="rId163" Type="http://schemas.openxmlformats.org/officeDocument/2006/relationships/hyperlink" Target="http://www.R-project.org" TargetMode="External"/>
<Relationship Id="rId70" Type="http://schemas.openxmlformats.org/officeDocument/2006/relationships/hyperlink" Target="https://CRAN.R-project.org/package=dplR" TargetMode="External"/>
<Relationship Id="rId155" Type="http://schemas.openxmlformats.org/officeDocument/2006/relationships/hyperlink" Target="https://CRAN.R-project.org/package=nlme" TargetMode="External"/>
<Relationship Id="rId109" Type="http://schemas.openxmlformats.org/officeDocument/2006/relationships/hyperlink" Target="https://doi.org/10.1002/ecs2.2126" TargetMode="External"/>
<Relationship Id="rId167" Type="http://schemas.openxmlformats.org/officeDocument/2006/relationships/hyperlink" Target="https://doi.org/10.1002/ecs2.2594" TargetMode="External"/>
<Relationship Id="rId150" Type="http://schemas.openxmlformats.org/officeDocument/2006/relationships/hyperlink" Target="https://doi.org/10.1002/ecs2.3667" TargetMode="External"/>
<Relationship Id="rId153" Type="http://schemas.openxmlformats.org/officeDocument/2006/relationships/hyperlink" Target="https://doi.org/10.1002/fee.2297" TargetMode="External"/>
<Relationship Id="rId73" Type="http://schemas.openxmlformats.org/officeDocument/2006/relationships/hyperlink" Target="https://doi.org/10.1002/jqs.1303" TargetMode="External"/>
<Relationship Id="rId132" Type="http://schemas.openxmlformats.org/officeDocument/2006/relationships/hyperlink" Target="https://doi.org/10.1007/BF00143903" TargetMode="External"/>
<Relationship Id="rId204" Type="http://schemas.openxmlformats.org/officeDocument/2006/relationships/hyperlink" Target="https://doi.org/10.1007/BF00195274" TargetMode="External"/>
<Relationship Id="rId210" Type="http://schemas.openxmlformats.org/officeDocument/2006/relationships/hyperlink" Target="https://doi.org/10.1007/BF00379790" TargetMode="External"/>
<Relationship Id="rId181" Type="http://schemas.openxmlformats.org/officeDocument/2006/relationships/hyperlink" Target="https://doi.org/10.1007/s10021-007-9022-2" TargetMode="External"/>
<Relationship Id="rId78" Type="http://schemas.openxmlformats.org/officeDocument/2006/relationships/hyperlink" Target="https://doi.org/10.1007/s10021-010-9364-z" TargetMode="External"/>
<Relationship Id="rId54" Type="http://schemas.openxmlformats.org/officeDocument/2006/relationships/hyperlink" Target="https://doi.org/10.1016/0378-1127(92)90107-K" TargetMode="External"/>
<Relationship Id="rId188" Type="http://schemas.openxmlformats.org/officeDocument/2006/relationships/hyperlink" Target="https://doi.org/10.1016/j.agrformet.2012.09.008" TargetMode="External"/>
<Relationship Id="rId135" Type="http://schemas.openxmlformats.org/officeDocument/2006/relationships/hyperlink" Target="https://doi.org/10.1016/j.agrformet.2022.109183" TargetMode="External"/>
<Relationship Id="rId68" Type="http://schemas.openxmlformats.org/officeDocument/2006/relationships/hyperlink" Target="https://doi.org/10.1016/j.dendro.2008.01.002" TargetMode="External"/>
<Relationship Id="rId101" Type="http://schemas.openxmlformats.org/officeDocument/2006/relationships/hyperlink" Target="https://doi.org/10.1016/j.dendro.2020.125750" TargetMode="External"/>
<Relationship Id="rId52" Type="http://schemas.openxmlformats.org/officeDocument/2006/relationships/hyperlink" Target="https://doi.org/10.1016/j.foreco.2013.12.026" TargetMode="External"/>
<Relationship Id="rId85" Type="http://schemas.openxmlformats.org/officeDocument/2006/relationships/hyperlink" Target="https://doi.org/10.1016/j.foreco.2014.03.042" TargetMode="External"/>
<Relationship Id="rId138" Type="http://schemas.openxmlformats.org/officeDocument/2006/relationships/hyperlink" Target="https://doi.org/10.1016/j.foreco.2014.11.030" TargetMode="External"/>
<Relationship Id="rId206" Type="http://schemas.openxmlformats.org/officeDocument/2006/relationships/hyperlink" Target="https://doi.org/10.1016/j.scitotenv.2020.137782" TargetMode="External"/>
<Relationship Id="rId216" Type="http://schemas.openxmlformats.org/officeDocument/2006/relationships/hyperlink" Target="https://doi.org/10.1029/2005WR004455" TargetMode="External"/>
<Relationship Id="rId161" Type="http://schemas.openxmlformats.org/officeDocument/2006/relationships/hyperlink" Target="https://doi.org/10.1046/j.0022-0477.2001.00652.x" TargetMode="External"/>
<Relationship Id="rId60" Type="http://schemas.openxmlformats.org/officeDocument/2006/relationships/hyperlink" Target="https://doi.org/10.1046/j.1365-2486.2002.00451.x" TargetMode="External"/>
<Relationship Id="rId142" Type="http://schemas.openxmlformats.org/officeDocument/2006/relationships/hyperlink" Target="https://doi.org/10.1071/zo9530163" TargetMode="External"/>
<Relationship Id="rId179" Type="http://schemas.openxmlformats.org/officeDocument/2006/relationships/hyperlink" Target="https://doi.org/10.1080/07038992.2016.1220828" TargetMode="External"/>
<Relationship Id="rId126" Type="http://schemas.openxmlformats.org/officeDocument/2006/relationships/hyperlink" Target="https://doi.org/10.1080/09670874.2012.678405" TargetMode="External"/>
<Relationship Id="rId130" Type="http://schemas.openxmlformats.org/officeDocument/2006/relationships/hyperlink" Target="https://doi.org/10.1086/589746" TargetMode="External"/>
<Relationship Id="rId114" Type="http://schemas.openxmlformats.org/officeDocument/2006/relationships/hyperlink" Target="https://doi.org/10.1111/1365-2745.14408" TargetMode="External"/>
<Relationship Id="rId95" Type="http://schemas.openxmlformats.org/officeDocument/2006/relationships/hyperlink" Target="https://doi.org/10.1111/2041-210X.12188" TargetMode="External"/>
<Relationship Id="rId93" Type="http://schemas.openxmlformats.org/officeDocument/2006/relationships/hyperlink" Target="https://doi.org/10.1111/brv.12571" TargetMode="External"/>
<Relationship Id="rId146" Type="http://schemas.openxmlformats.org/officeDocument/2006/relationships/hyperlink" Target="https://doi.org/10.1111/een.12336" TargetMode="External"/>
<Relationship Id="rId212" Type="http://schemas.openxmlformats.org/officeDocument/2006/relationships/hyperlink" Target="https://doi.org/10.1111/ele.12861" TargetMode="External"/>
<Relationship Id="rId121" Type="http://schemas.openxmlformats.org/officeDocument/2006/relationships/hyperlink" Target="https://doi.org/10.1111/ele.13173" TargetMode="External"/>
<Relationship Id="rId87" Type="http://schemas.openxmlformats.org/officeDocument/2006/relationships/hyperlink" Target="https://doi.org/10.1111/gcb.14367" TargetMode="External"/>
<Relationship Id="rId128" Type="http://schemas.openxmlformats.org/officeDocument/2006/relationships/hyperlink" Target="https://doi.org/10.1111/j.0030-1299.2004.12722.x" TargetMode="External"/>
<Relationship Id="rId148" Type="http://schemas.openxmlformats.org/officeDocument/2006/relationships/hyperlink" Target="https://doi.org/10.1111/j.1461-9563.2008.00414.x" TargetMode="External"/>
<Relationship Id="rId183" Type="http://schemas.openxmlformats.org/officeDocument/2006/relationships/hyperlink" Target="https://doi.org/10.1111/j.1654-1103.2006.tb02494.x" TargetMode="External"/>
<Relationship Id="rId165" Type="http://schemas.openxmlformats.org/officeDocument/2006/relationships/hyperlink" Target="https://doi.org/10.1111/nph.13273" TargetMode="External"/>
<Relationship Id="rId107" Type="http://schemas.openxmlformats.org/officeDocument/2006/relationships/hyperlink" Target="https://doi.org/10.1111/nph.15048" TargetMode="External"/>
<Relationship Id="rId105" Type="http://schemas.openxmlformats.org/officeDocument/2006/relationships/hyperlink" Target="https://doi.org/10.1111/nph.17036" TargetMode="External"/>
<Relationship Id="rId56" Type="http://schemas.openxmlformats.org/officeDocument/2006/relationships/hyperlink" Target="https://doi.org/10.1139/x82-117" TargetMode="External"/>
<Relationship Id="rId243" Type="http://schemas.openxmlformats.org/officeDocument/2006/relationships/hyperlink" Target="https://doi.org/10.1139/x91-053" TargetMode="External"/>
<Relationship Id="rId103" Type="http://schemas.openxmlformats.org/officeDocument/2006/relationships/hyperlink" Target="https://doi.org/10.1139/x93-066" TargetMode="External"/>
<Relationship Id="rId123" Type="http://schemas.openxmlformats.org/officeDocument/2006/relationships/hyperlink" Target="https://doi.org/10.1139/x99-255" TargetMode="External"/>
<Relationship Id="rId208" Type="http://schemas.openxmlformats.org/officeDocument/2006/relationships/hyperlink" Target="https://doi.org/10.1175/1520-0442(2004)017&lt;2335:ASPDSI&gt;2.0.CO;2" TargetMode="External"/>
<Relationship Id="rId49" Type="http://schemas.openxmlformats.org/officeDocument/2006/relationships/hyperlink" Target="https://doi.org/10.1175/BAMS-D-16-0193.1" TargetMode="External"/>
<Relationship Id="rId83" Type="http://schemas.openxmlformats.org/officeDocument/2006/relationships/hyperlink" Target="https://doi.org/10.1371/journal.pone.0164737" TargetMode="External"/>
<Relationship Id="rId91" Type="http://schemas.openxmlformats.org/officeDocument/2006/relationships/hyperlink" Target="https://doi.org/10.1890/0012-9658(2006)87[1722:WCCOSF]2.0.CO;2" TargetMode="External"/>
<Relationship Id="rId116" Type="http://schemas.openxmlformats.org/officeDocument/2006/relationships/hyperlink" Target="https://doi.org/10.1890/03-0352" TargetMode="External"/>
<Relationship Id="rId140" Type="http://schemas.openxmlformats.org/officeDocument/2006/relationships/hyperlink" Target="https://doi.org/10.1890/06-1715.1@10.1002/(ISSN)1939-5582(CAT)SpecialCollection(VI)VirtualIssue" TargetMode="External"/>
<Relationship Id="rId176" Type="http://schemas.openxmlformats.org/officeDocument/2006/relationships/hyperlink" Target="https://doi.org/10.1890/06-1860.1" TargetMode="External"/>
<Relationship Id="rId174" Type="http://schemas.openxmlformats.org/officeDocument/2006/relationships/hyperlink" Target="https://doi.org/10.1890/10-1222.1" TargetMode="External"/>
<Relationship Id="rId200" Type="http://schemas.openxmlformats.org/officeDocument/2006/relationships/hyperlink" Target="https://doi.org/10.1890/1051-0761(2000)010[1178:CAHIOF]2.0.CO;2" TargetMode="External"/>
<Relationship Id="rId171" Type="http://schemas.openxmlformats.org/officeDocument/2006/relationships/hyperlink" Target="https://doi.org/10.2307/1942595" TargetMode="External"/>
<Relationship Id="rId97" Type="http://schemas.openxmlformats.org/officeDocument/2006/relationships/hyperlink" Target="https://doi.org/10.2307/2937170" TargetMode="External"/>
<Relationship Id="rId157" Type="http://schemas.openxmlformats.org/officeDocument/2006/relationships/hyperlink" Target="https://doi.org/10.2307/3545270" TargetMode="External"/>
<Relationship Id="rId99" Type="http://schemas.openxmlformats.org/officeDocument/2006/relationships/hyperlink" Target="https://doi.org/10.25921/79K5-WM65" TargetMode="External"/>
<Relationship Id="rId228" Type="http://schemas.openxmlformats.org/officeDocument/2006/relationships/hyperlink" Target="https://doi.org/10.25921/A7T2-YF30" TargetMode="External"/>
<Relationship Id="rId230" Type="http://schemas.openxmlformats.org/officeDocument/2006/relationships/hyperlink" Target="https://doi.org/10.25921/H15V-EB36" TargetMode="External"/>
<Relationship Id="rId226" Type="http://schemas.openxmlformats.org/officeDocument/2006/relationships/hyperlink" Target="https://doi.org/10.25921/H9PQ-XX61" TargetMode="External"/>
<Relationship Id="rId224" Type="http://schemas.openxmlformats.org/officeDocument/2006/relationships/hyperlink" Target="https://doi.org/10.25921/P3RZ-2R66" TargetMode="External"/>
<Relationship Id="rId232" Type="http://schemas.openxmlformats.org/officeDocument/2006/relationships/hyperlink" Target="https://doi.org/10.25921/P9V5-JJ98" TargetMode="External"/>
<Relationship Id="rId220" Type="http://schemas.openxmlformats.org/officeDocument/2006/relationships/hyperlink" Target="https://doi.org/10.25921/PMVY-ZX98" TargetMode="External"/>
<Relationship Id="rId218" Type="http://schemas.openxmlformats.org/officeDocument/2006/relationships/hyperlink" Target="https://doi.org/10.25921/PVQK-VB36" TargetMode="External"/>
<Relationship Id="rId238" Type="http://schemas.openxmlformats.org/officeDocument/2006/relationships/hyperlink" Target="https://doi.org/10.25921/QNWC-H995" TargetMode="External"/>
<Relationship Id="rId236" Type="http://schemas.openxmlformats.org/officeDocument/2006/relationships/hyperlink" Target="https://doi.org/10.25921/WYH1-YJ70" TargetMode="External"/>
<Relationship Id="rId222" Type="http://schemas.openxmlformats.org/officeDocument/2006/relationships/hyperlink" Target="https://doi.org/10.25921/YCHK-ZA37" TargetMode="External"/>
<Relationship Id="rId234" Type="http://schemas.openxmlformats.org/officeDocument/2006/relationships/hyperlink" Target="https://doi.org/10.25921/ZHYS-9Y86" TargetMode="External"/>
<Relationship Id="rId112" Type="http://schemas.openxmlformats.org/officeDocument/2006/relationships/hyperlink" Target="https://doi.org/10.3389/fevo.2019.00239" TargetMode="External"/>
<Relationship Id="rId241" Type="http://schemas.openxmlformats.org/officeDocument/2006/relationships/hyperlink" Target="https://doi.org/10.3390/f10040354" TargetMode="External"/>
<Relationship Id="rId214" Type="http://schemas.openxmlformats.org/officeDocument/2006/relationships/hyperlink" Target="https://doi.org/10.3390/f12060798" TargetMode="External"/>
<Relationship Id="rId58" Type="http://schemas.openxmlformats.org/officeDocument/2006/relationships/hyperlink" Target="https://doi.org/10.3390/fire6110428" TargetMode="External"/>
<Relationship Id="rId193" Type="http://schemas.openxmlformats.org/officeDocument/2006/relationships/hyperlink" Target="https://doi.org/10.4039/Ent116375-3" TargetMode="External"/>
<Relationship Id="rId169" Type="http://schemas.openxmlformats.org/officeDocument/2006/relationships/hyperlink" Target="https://doi.org/10.5061/DRYAD.QZ612JMB7" TargetMode="External"/>
<Relationship Id="rId76" Type="http://schemas.openxmlformats.org/officeDocument/2006/relationships/hyperlink" Target="https://doi.org/10.5849/forsci.13-507" TargetMode="External"/>
<Relationship Id="rId197" Type="http://schemas.openxmlformats.org/officeDocument/2006/relationships/hyperlink" Target="https://doi.org/10.7930/NCA5.2023" TargetMode="External"/>
<Relationship Id="rId144" Type="http://schemas.openxmlformats.org/officeDocument/2006/relationships/hyperlink" Target="https://mtbs.gov/direct-download" TargetMode="External"/>
<Relationship Id="rId66" Type="http://schemas.openxmlformats.org/officeDocument/2006/relationships/hyperlink" Target="https://naldc.nal.usda.gov/download/CAT89231792/PDF" TargetMode="External"/>
<Relationship Id="rId89" Type="http://schemas.openxmlformats.org/officeDocument/2006/relationships/hyperlink" Target="https://pages.uoregon.edu/dgavin/software.html" TargetMode="External"/>
<Relationship Id="rId159" Type="http://schemas.openxmlformats.org/officeDocument/2006/relationships/hyperlink" Target="https://prism.oregonstate.edu/normals/" TargetMode="External"/>
<Relationship Id="rId118" Type="http://schemas.openxmlformats.org/officeDocument/2006/relationships/hyperlink" Target="https://research.fs.usda.gov/treesearch/46667" TargetMode="External"/>
<Relationship Id="rId195" Type="http://schemas.openxmlformats.org/officeDocument/2006/relationships/hyperlink" Target="https://www.fs.fed.us/foresthealth/applied-sciences/mapping-reporting/detection-surveys.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65</Words>
  <Characters>376</Characters>
  <Application>Microsoft Office Word</Application>
  <DocSecurity>0</DocSecurity>
  <Lines>3</Lines>
  <Paragraphs>1</Paragraphs>
  <ScaleCrop>false</ScaleCrop>
  <Company/>
  <LinksUpToDate>false</LinksUpToDate>
  <CharactersWithSpaces>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Drought may initiate western spruce budworm outbreaks, but multi-year periods of increased moisture availability promote widespread defoliation</dc:title>
  <dc:creator>Sarah J. Hart, Olivia Santiago, Josh D. Carrell, and Thomas T. Veblen</dc:creator>
  <cp:keywords/>
  <dcterms:created xsi:type="dcterms:W3CDTF">2025-01-15T20:54:56Z</dcterms:created>
  <dcterms:modified xsi:type="dcterms:W3CDTF">2025-01-15T13:54:57Z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Drive/JOB/RESEARCH/Analyses/WSBxClimate/citationstyle.csl</vt:lpwstr>
  </property>
  <property fmtid="{D5CDD505-2E9C-101B-9397-08002B2CF9AE}" pid="5" name="date">
    <vt:lpwstr>January 15, 2025</vt:lpwstr>
  </property>
  <property fmtid="{D5CDD505-2E9C-101B-9397-08002B2CF9AE}" pid="6" name="email">
    <vt:lpwstr>sarah.hart@colostate.edu</vt:lpwstr>
  </property>
  <property fmtid="{D5CDD505-2E9C-101B-9397-08002B2CF9AE}" pid="7" name="link-citations">
    <vt:lpwstr>True</vt:lpwstr>
  </property>
  <property fmtid="{D5CDD505-2E9C-101B-9397-08002B2CF9AE}" pid="8" name="linkcolor">
    <vt:lpwstr>blue</vt:lpwstr>
  </property>
  <property fmtid="{D5CDD505-2E9C-101B-9397-08002B2CF9AE}" pid="9" name="output">
    <vt:lpwstr/>
  </property>
  <property fmtid="{D5CDD505-2E9C-101B-9397-08002B2CF9AE}" pid="10" name="urlcolor">
    <vt:lpwstr>blue</vt:lpwstr>
  </property>
</Properties>
</file>