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1.14 — 19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1.13,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Las pestañas de catálogo</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t xml:space="preserve">El siguiente mapa resume </w:t>
      </w:r>
      <w:r>
        <w:rPr>
          <w:b/>
        </w:rPr>
        <w:t>qué hace el sistema y dónde está cada cosa</w:t>
      </w:r>
      <w:r>
        <w:t xml:space="preserve"> (barra lateral, pestañas y ventanas):</w:t>
      </w:r>
    </w:p>
    <w:p>
      <w:pPr>
        <w:jc w:val="center"/>
      </w:pPr>
      <w:r>
        <w:drawing>
          <wp:inline xmlns:a="http://schemas.openxmlformats.org/drawingml/2006/main" xmlns:pic="http://schemas.openxmlformats.org/drawingml/2006/picture">
            <wp:extent cx="5486400" cy="4160319"/>
            <wp:docPr id="1" name="Picture 1"/>
            <wp:cNvGraphicFramePr>
              <a:graphicFrameLocks noChangeAspect="1"/>
            </wp:cNvGraphicFramePr>
            <a:graphic>
              <a:graphicData uri="http://schemas.openxmlformats.org/drawingml/2006/picture">
                <pic:pic>
                  <pic:nvPicPr>
                    <pic:cNvPr id="0" name="09_mapa_funcional.png"/>
                    <pic:cNvPicPr/>
                  </pic:nvPicPr>
                  <pic:blipFill>
                    <a:blip r:embed="rId9"/>
                    <a:stretch>
                      <a:fillRect/>
                    </a:stretch>
                  </pic:blipFill>
                  <pic:spPr>
                    <a:xfrm>
                      <a:off x="0" y="0"/>
                      <a:ext cx="5486400" cy="4160319"/>
                    </a:xfrm>
                    <a:prstGeom prst="rect"/>
                  </pic:spPr>
                </pic:pic>
              </a:graphicData>
            </a:graphic>
          </wp:inline>
        </w:drawing>
      </w:r>
    </w:p>
    <w:p>
      <w:pPr>
        <w:jc w:val="center"/>
      </w:pPr>
      <w:r>
        <w:rPr>
          <w:i/>
          <w:sz w:val="18"/>
        </w:rPr>
        <w:t>Mapa funcional de RCS</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2" name="Picture 2"/>
            <wp:cNvGraphicFramePr>
              <a:graphicFrameLocks noChangeAspect="1"/>
            </wp:cNvGraphicFramePr>
            <a:graphic>
              <a:graphicData uri="http://schemas.openxmlformats.org/drawingml/2006/picture">
                <pic:pic>
                  <pic:nvPicPr>
                    <pic:cNvPr id="0" name="01_solicitud.png"/>
                    <pic:cNvPicPr/>
                  </pic:nvPicPr>
                  <pic:blipFill>
                    <a:blip r:embed="rId10"/>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3" name="Picture 3"/>
            <wp:cNvGraphicFramePr>
              <a:graphicFrameLocks noChangeAspect="1"/>
            </wp:cNvGraphicFramePr>
            <a:graphic>
              <a:graphicData uri="http://schemas.openxmlformats.org/drawingml/2006/picture">
                <pic:pic>
                  <pic:nvPicPr>
                    <pic:cNvPr id="0" name="02_principal.png"/>
                    <pic:cNvPicPr/>
                  </pic:nvPicPr>
                  <pic:blipFill>
                    <a:blip r:embed="rId11"/>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Arriba, la tabla con los informes de repeticiones por fuente y filtro (amplio y estricto). Al elegir uno, abajo se muestra </w:t>
      </w:r>
      <w:r>
        <w:rPr>
          <w:b/>
        </w:rPr>
        <w:t>como tabla ordenable</w:t>
      </w:r>
      <w:r>
        <w:t xml:space="preserve">: clic en el encabezado ordena, «Filtrar» acota por texto y </w:t>
      </w:r>
      <w:r>
        <w:rPr>
          <w:b/>
        </w:rPr>
        <w:t>«Descargar»</w:t>
      </w:r>
      <w:r>
        <w:t xml:space="preserve"> baja lo filtrado mientras </w:t>
      </w:r>
      <w:r>
        <w:rPr>
          <w:b/>
        </w:rPr>
        <w:t>«Descargar todo»</w:t>
      </w:r>
      <w:r>
        <w:t xml:space="preserve"> baja el informe completo (en CSV o TXT, con el nombre que se elija). En los repetidos publicados (eventquery), que no traen responsable, se agregan dos columnas </w:t>
      </w:r>
      <w:r>
        <w:rPr>
          <w:b/>
        </w:rPr>
        <w:t>«Analista probable (Seisan)»</w:t>
      </w:r>
      <w:r>
        <w:t xml:space="preserve"> y </w:t>
      </w:r>
      <w:r>
        <w:rPr>
          <w:b/>
        </w:rPr>
        <w:t>«Analista probable (SeisComp)»</w:t>
      </w:r>
      <w:r>
        <w:t>, deducidas cruzando cada evento con esas fuentes como en el catálogo:</w:t>
      </w:r>
    </w:p>
    <w:p>
      <w:pPr>
        <w:jc w:val="center"/>
      </w:pPr>
      <w:r>
        <w:drawing>
          <wp:inline xmlns:a="http://schemas.openxmlformats.org/drawingml/2006/main" xmlns:pic="http://schemas.openxmlformats.org/drawingml/2006/picture">
            <wp:extent cx="5486400" cy="2493818"/>
            <wp:docPr id="4" name="Picture 4"/>
            <wp:cNvGraphicFramePr>
              <a:graphicFrameLocks noChangeAspect="1"/>
            </wp:cNvGraphicFramePr>
            <a:graphic>
              <a:graphicData uri="http://schemas.openxmlformats.org/drawingml/2006/picture">
                <pic:pic>
                  <pic:nvPicPr>
                    <pic:cNvPr id="0" name="11_repetidos.png"/>
                    <pic:cNvPicPr/>
                  </pic:nvPicPr>
                  <pic:blipFill>
                    <a:blip r:embed="rId12"/>
                    <a:stretch>
                      <a:fillRect/>
                    </a:stretch>
                  </pic:blipFill>
                  <pic:spPr>
                    <a:xfrm>
                      <a:off x="0" y="0"/>
                      <a:ext cx="5486400" cy="2493818"/>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3413760"/>
            <wp:docPr id="5" name="Picture 5"/>
            <wp:cNvGraphicFramePr>
              <a:graphicFrameLocks noChangeAspect="1"/>
            </wp:cNvGraphicFramePr>
            <a:graphic>
              <a:graphicData uri="http://schemas.openxmlformats.org/drawingml/2006/picture">
                <pic:pic>
                  <pic:nvPicPr>
                    <pic:cNvPr id="0" name="10_no_publicados.png"/>
                    <pic:cNvPicPr/>
                  </pic:nvPicPr>
                  <pic:blipFill>
                    <a:blip r:embed="rId13"/>
                    <a:stretch>
                      <a:fillRect/>
                    </a:stretch>
                  </pic:blipFill>
                  <pic:spPr>
                    <a:xfrm>
                      <a:off x="0" y="0"/>
                      <a:ext cx="5486400" cy="3413760"/>
                    </a:xfrm>
                    <a:prstGeom prst="rect"/>
                  </pic:spPr>
                </pic:pic>
              </a:graphicData>
            </a:graphic>
          </wp:inline>
        </w:drawing>
      </w:r>
    </w:p>
    <w:p>
      <w:pPr>
        <w:jc w:val="center"/>
      </w:pPr>
      <w:r>
        <w:rPr>
          <w:i/>
          <w:sz w:val="18"/>
        </w:rPr>
        <w:t>Ventana de no publicados</w:t>
      </w:r>
    </w:p>
    <w:p>
      <w:pPr>
        <w:pStyle w:val="ListBullet"/>
      </w:pPr>
      <w:r>
        <w:rPr>
          <w:b/>
        </w:rPr>
        <w:t>«Filtrar»</w:t>
      </w:r>
      <w:r>
        <w:t xml:space="preserve"> + </w:t>
      </w:r>
      <w:r>
        <w:rPr>
          <w:b/>
        </w:rPr>
        <w:t>«Aplicar»</w:t>
      </w:r>
      <w:r>
        <w:t xml:space="preserve"> (o Enter): filtra el listado por texto libre</w:t>
      </w:r>
    </w:p>
    <w:p>
      <w:r>
        <w:t>(busca en todas las columnas). No se aplica al escribir.</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6" name="Picture 6"/>
            <wp:cNvGraphicFramePr>
              <a:graphicFrameLocks noChangeAspect="1"/>
            </wp:cNvGraphicFramePr>
            <a:graphic>
              <a:graphicData uri="http://schemas.openxmlformats.org/drawingml/2006/picture">
                <pic:pic>
                  <pic:nvPicPr>
                    <pic:cNvPr id="0" name="14_plot_evento.png"/>
                    <pic:cNvPicPr/>
                  </pic:nvPicPr>
                  <pic:blipFill>
                    <a:blip r:embed="rId14"/>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 xml:space="preserve">. Tiene un filtro por texto que se aplica con </w:t>
      </w:r>
      <w:r>
        <w:rPr>
          <w:b/>
        </w:rPr>
        <w:t>«Aplicar»</w:t>
      </w:r>
      <w:r>
        <w:t xml:space="preserve"> (o Enter), no al escribir:</w:t>
      </w:r>
    </w:p>
    <w:p>
      <w:pPr>
        <w:jc w:val="center"/>
      </w:pPr>
      <w:r>
        <w:drawing>
          <wp:inline xmlns:a="http://schemas.openxmlformats.org/drawingml/2006/main" xmlns:pic="http://schemas.openxmlformats.org/drawingml/2006/picture">
            <wp:extent cx="5486400" cy="1653436"/>
            <wp:docPr id="7" name="Picture 7"/>
            <wp:cNvGraphicFramePr>
              <a:graphicFrameLocks noChangeAspect="1"/>
            </wp:cNvGraphicFramePr>
            <a:graphic>
              <a:graphicData uri="http://schemas.openxmlformats.org/drawingml/2006/picture">
                <pic:pic>
                  <pic:nvPicPr>
                    <pic:cNvPr id="0" name="09_no_actualizados.png"/>
                    <pic:cNvPicPr/>
                  </pic:nvPicPr>
                  <pic:blipFill>
                    <a:blip r:embed="rId15"/>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8" name="Picture 8"/>
            <wp:cNvGraphicFramePr>
              <a:graphicFrameLocks noChangeAspect="1"/>
            </wp:cNvGraphicFramePr>
            <a:graphic>
              <a:graphicData uri="http://schemas.openxmlformats.org/drawingml/2006/picture">
                <pic:pic>
                  <pic:nvPicPr>
                    <pic:cNvPr id="0" name="15_comparacion.png"/>
                    <pic:cNvPicPr/>
                  </pic:nvPicPr>
                  <pic:blipFill>
                    <a:blip r:embed="rId16"/>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9" name="Picture 9"/>
            <wp:cNvGraphicFramePr>
              <a:graphicFrameLocks noChangeAspect="1"/>
            </wp:cNvGraphicFramePr>
            <a:graphic>
              <a:graphicData uri="http://schemas.openxmlformats.org/drawingml/2006/picture">
                <pic:pic>
                  <pic:nvPicPr>
                    <pic:cNvPr id="0" name="12_panel_analisis.png"/>
                    <pic:cNvPicPr/>
                  </pic:nvPicPr>
                  <pic:blipFill>
                    <a:blip r:embed="rId17"/>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Las pestañas de catálogo</w:t>
      </w:r>
    </w:p>
    <w:p>
      <w:r>
        <w:t xml:space="preserve">La ventana </w:t>
      </w:r>
      <w:r>
        <w:rPr>
          <w:b/>
        </w:rPr>
        <w:t>«Catálogos»</w:t>
      </w:r>
      <w:r>
        <w:t xml:space="preserve"> (barra lateral) tiene una pestaña por fuente: </w:t>
      </w:r>
      <w:r>
        <w:rPr>
          <w:b/>
        </w:rPr>
        <w:t>SeisComp</w:t>
      </w:r>
      <w:r>
        <w:t xml:space="preserve">, </w:t>
      </w:r>
      <w:r>
        <w:rPr>
          <w:b/>
        </w:rPr>
        <w:t>Seisan</w:t>
      </w:r>
      <w:r>
        <w:t xml:space="preserve"> y </w:t>
      </w:r>
      <w:r>
        <w:rPr>
          <w:b/>
        </w:rPr>
        <w:t>eventquery</w:t>
      </w:r>
      <w:r>
        <w:t xml:space="preserve">. En las tres, la lista comparte la ventana con una </w:t>
      </w:r>
      <w:r>
        <w:rPr>
          <w:b/>
        </w:rPr>
        <w:t>miniatura del perfil</w:t>
      </w:r>
      <w:r>
        <w:t xml:space="preserve"> del evento seleccionado: al elegir una fila —con el mouse o con las flechas del teclado— la miniatura se redibuja con el perfil de ese evento. La miniatura usa el mismo perfil del panel de análisis, con los ejes comparables, y para un evento sin perfil asignado (fuera de cobertura o sin coordenadas o profundidad) muestra un aviso en lugar del dibujo.</w:t>
      </w:r>
    </w:p>
    <w:p>
      <w:r>
        <w:t xml:space="preserve">La casilla </w:t>
      </w:r>
      <w:r>
        <w:rPr>
          <w:b/>
        </w:rPr>
        <w:t>«Sismicidad histórica»</w:t>
      </w:r>
      <w:r>
        <w:t xml:space="preserve"> de la barra superior agrega o quita el fondo de sismicidad histórica en la miniatura. Afecta </w:t>
      </w:r>
      <w:r>
        <w:rPr>
          <w:b/>
        </w:rPr>
        <w:t>solo</w:t>
      </w:r>
      <w:r>
        <w:t xml:space="preserve"> a la miniatura (las ventanas de detalle siempre traen el fondo) y es independiente en cada pestaña.</w:t>
      </w:r>
    </w:p>
    <w:p>
      <w:r>
        <w:t xml:space="preserve">Los filtros de texto, magnitud y coordenadas </w:t>
      </w:r>
      <w:r>
        <w:rPr>
          <w:b/>
        </w:rPr>
        <w:t>no se aplican al escribir</w:t>
      </w:r>
      <w:r>
        <w:t xml:space="preserve">: se escriben y se aplican con el botón </w:t>
      </w:r>
      <w:r>
        <w:rPr>
          <w:b/>
        </w:rPr>
        <w:t>«Aplicar»</w:t>
      </w:r>
      <w:r>
        <w:t xml:space="preserve"> (o Enter en cualquier casilla). Así, con catálogos grandes, no se reconstruye la tabla en cada tecla.</w:t>
      </w:r>
    </w:p>
    <w:p>
      <w:pPr>
        <w:pStyle w:val="Heading3"/>
      </w:pPr>
      <w:r>
        <w:t>Pestaña de SeisComp</w:t>
      </w:r>
    </w:p>
    <w:p>
      <w:pPr>
        <w:jc w:val="center"/>
      </w:pPr>
      <w:r>
        <w:drawing>
          <wp:inline xmlns:a="http://schemas.openxmlformats.org/drawingml/2006/main" xmlns:pic="http://schemas.openxmlformats.org/drawingml/2006/picture">
            <wp:extent cx="5486400" cy="2372497"/>
            <wp:docPr id="10" name="Picture 10"/>
            <wp:cNvGraphicFramePr>
              <a:graphicFrameLocks noChangeAspect="1"/>
            </wp:cNvGraphicFramePr>
            <a:graphic>
              <a:graphicData uri="http://schemas.openxmlformats.org/drawingml/2006/picture">
                <pic:pic>
                  <pic:nvPicPr>
                    <pic:cNvPr id="0" name="03_catalogo_seiscomp.png"/>
                    <pic:cNvPicPr/>
                  </pic:nvPicPr>
                  <pic:blipFill>
                    <a:blip r:embed="rId18"/>
                    <a:stretch>
                      <a:fillRect/>
                    </a:stretch>
                  </pic:blipFill>
                  <pic:spPr>
                    <a:xfrm>
                      <a:off x="0" y="0"/>
                      <a:ext cx="5486400" cy="2372497"/>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xml:space="preserve"> (o Enter): aplica los filtros anteriores.</w:t>
      </w:r>
    </w:p>
    <w:p>
      <w:pPr>
        <w:pStyle w:val="ListBullet"/>
      </w:pPr>
      <w:r>
        <w:rPr>
          <w:b/>
        </w:rPr>
        <w:t>«Sismicidad histórica»</w:t>
      </w:r>
      <w:r>
        <w:t>: agrega o quita ese fondo en la miniatura.</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Pestañas de Seisan y eventquery</w:t>
      </w:r>
    </w:p>
    <w:p>
      <w:pPr>
        <w:jc w:val="center"/>
      </w:pPr>
      <w:r>
        <w:drawing>
          <wp:inline xmlns:a="http://schemas.openxmlformats.org/drawingml/2006/main" xmlns:pic="http://schemas.openxmlformats.org/drawingml/2006/picture">
            <wp:extent cx="5486400" cy="2477729"/>
            <wp:docPr id="11" name="Picture 11"/>
            <wp:cNvGraphicFramePr>
              <a:graphicFrameLocks noChangeAspect="1"/>
            </wp:cNvGraphicFramePr>
            <a:graphic>
              <a:graphicData uri="http://schemas.openxmlformats.org/drawingml/2006/picture">
                <pic:pic>
                  <pic:nvPicPr>
                    <pic:cNvPr id="0" name="03b_catalogo_seisan.png"/>
                    <pic:cNvPicPr/>
                  </pic:nvPicPr>
                  <pic:blipFill>
                    <a:blip r:embed="rId19"/>
                    <a:stretch>
                      <a:fillRect/>
                    </a:stretch>
                  </pic:blipFill>
                  <pic:spPr>
                    <a:xfrm>
                      <a:off x="0" y="0"/>
                      <a:ext cx="5486400" cy="2477729"/>
                    </a:xfrm>
                    <a:prstGeom prst="rect"/>
                  </pic:spPr>
                </pic:pic>
              </a:graphicData>
            </a:graphic>
          </wp:inline>
        </w:drawing>
      </w:r>
    </w:p>
    <w:p>
      <w:pPr>
        <w:jc w:val="center"/>
      </w:pPr>
      <w:r>
        <w:rPr>
          <w:i/>
          <w:sz w:val="18"/>
        </w:rPr>
        <w:t>Catálogo de Seisan</w:t>
      </w:r>
    </w:p>
    <w:p>
      <w:r>
        <w:t xml:space="preserve">Son listados simples (sin detalle de llegadas), con su propio filtro por texto, magnitud mínima y coordenadas (también con </w:t>
      </w:r>
      <w:r>
        <w:rPr>
          <w:b/>
        </w:rPr>
        <w:t>«Aplicar»</w:t>
      </w:r>
      <w:r>
        <w:t xml:space="preserve"> o Enter), y la misma casilla </w:t>
      </w:r>
      <w:r>
        <w:rPr>
          <w:b/>
        </w:rPr>
        <w:t>«Sismicidad histórica»</w:t>
      </w:r>
      <w:r>
        <w:t xml:space="preserve"> para la miniatura.</w:t>
      </w:r>
    </w:p>
    <w:p>
      <w:pPr>
        <w:pStyle w:val="Heading3"/>
      </w:pPr>
      <w:r>
        <w:t>Abrir un evento</w:t>
      </w:r>
    </w:p>
    <w:p>
      <w:r>
        <w:t>El detalle del evento abre aparte, y difiere según la fuente:</w:t>
      </w:r>
    </w:p>
    <w:p>
      <w:pPr>
        <w:pStyle w:val="ListBullet"/>
      </w:pPr>
      <w:r>
        <w:t xml:space="preserve">En </w:t>
      </w:r>
      <w:r>
        <w:rPr>
          <w:b/>
        </w:rPr>
        <w:t>SeisComp</w:t>
      </w:r>
      <w:r>
        <w:t xml:space="preserve">, al hacer </w:t>
      </w:r>
      <w:r>
        <w:rPr>
          <w:b/>
        </w:rPr>
        <w:t>doble clic</w:t>
      </w:r>
      <w:r>
        <w:t xml:space="preserve"> en una fila (o Enter con la fila</w:t>
      </w:r>
    </w:p>
    <w:p>
      <w:r>
        <w:t xml:space="preserve">elegida) se abren los </w:t>
      </w:r>
      <w:r>
        <w:rPr>
          <w:b/>
        </w:rPr>
        <w:t>Parámetros del evento</w:t>
      </w:r>
      <w:r>
        <w:t xml:space="preserve"> en una ventana aparte, que se reutiliza al cambiar de evento y </w:t>
      </w:r>
      <w:r>
        <w:rPr>
          <w:b/>
        </w:rPr>
        <w:t>no bloquea</w:t>
      </w:r>
      <w:r>
        <w:t xml:space="preserve"> la lista. Desde ahí, el botón </w:t>
      </w:r>
      <w:r>
        <w:rPr>
          <w:b/>
        </w:rPr>
        <w:t>«Planta y perfil»</w:t>
      </w:r>
      <w:r>
        <w:t xml:space="preserve"> plotea la vista en planta y el perfil del evento.</w:t>
      </w:r>
    </w:p>
    <w:p>
      <w:pPr>
        <w:pStyle w:val="ListBullet"/>
      </w:pPr>
      <w:r>
        <w:t xml:space="preserve">En </w:t>
      </w:r>
      <w:r>
        <w:rPr>
          <w:b/>
        </w:rPr>
        <w:t>Seisan</w:t>
      </w:r>
      <w:r>
        <w:t xml:space="preserve"> y </w:t>
      </w:r>
      <w:r>
        <w:rPr>
          <w:b/>
        </w:rPr>
        <w:t>eventquery</w:t>
      </w:r>
      <w:r>
        <w:t>, que no tienen esa ventana de parámetros, el</w:t>
      </w:r>
    </w:p>
    <w:p>
      <w:r>
        <w:rPr>
          <w:b/>
        </w:rPr>
        <w:t>doble clic</w:t>
      </w:r>
      <w:r>
        <w:t xml:space="preserve"> (o Enter) plotea directamente planta + perfil del evento.</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2" name="Picture 12"/>
            <wp:cNvGraphicFramePr>
              <a:graphicFrameLocks noChangeAspect="1"/>
            </wp:cNvGraphicFramePr>
            <a:graphic>
              <a:graphicData uri="http://schemas.openxmlformats.org/drawingml/2006/picture">
                <pic:pic>
                  <pic:nvPicPr>
                    <pic:cNvPr id="0" name="04_parametros_evento.png"/>
                    <pic:cNvPicPr/>
                  </pic:nvPicPr>
                  <pic:blipFill>
                    <a:blip r:embed="rId20"/>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 y </w:t>
      </w:r>
      <w:r>
        <w:rPr>
          <w:b/>
        </w:rPr>
        <w:t>«Planta y perfil»</w:t>
      </w:r>
      <w:r>
        <w:t xml:space="preserve"> plotea la vista en planta y el perfil del evento en una ventana nueva.</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3" name="Picture 13"/>
            <wp:cNvGraphicFramePr>
              <a:graphicFrameLocks noChangeAspect="1"/>
            </wp:cNvGraphicFramePr>
            <a:graphic>
              <a:graphicData uri="http://schemas.openxmlformats.org/drawingml/2006/picture">
                <pic:pic>
                  <pic:nvPicPr>
                    <pic:cNvPr id="0" name="05_estaciones_con_arribos.png"/>
                    <pic:cNvPicPr/>
                  </pic:nvPicPr>
                  <pic:blipFill>
                    <a:blip r:embed="rId21"/>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4" name="Picture 14"/>
            <wp:cNvGraphicFramePr>
              <a:graphicFrameLocks noChangeAspect="1"/>
            </wp:cNvGraphicFramePr>
            <a:graphic>
              <a:graphicData uri="http://schemas.openxmlformats.org/drawingml/2006/picture">
                <pic:pic>
                  <pic:nvPicPr>
                    <pic:cNvPr id="0" name="06_estaciones_sin_arribos.png"/>
                    <pic:cNvPicPr/>
                  </pic:nvPicPr>
                  <pic:blipFill>
                    <a:blip r:embed="rId22"/>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«Indicio ±2 h»</w:t>
      </w:r>
      <w:r>
        <w:t xml:space="preserve"> es solo un indicador indirecto: cuenta otros eventos que esa estación picó entre 2 h antes y 2 h después del origen (4 h en total). Un 0 no prueba que la estación estuviera caída.  La columna </w:t>
      </w:r>
      <w:r>
        <w:rPr>
          <w:b/>
        </w:rPr>
        <w:t>«Formas de onda»</w:t>
      </w:r>
      <w:r>
        <w:t xml:space="preserve">, con el botón </w:t>
      </w:r>
      <w:r>
        <w:rPr>
          <w:b/>
        </w:rPr>
        <w:t>«Consultar formas de onda»</w:t>
      </w:r>
      <w:r>
        <w:t xml:space="preserve">, sí consulta las ondas: revisa el archivo SDS y, si no las encuentra, el flujo de tiempo real y los demás streams vigentes de la estación. Si aparece </w:t>
      </w:r>
      <w:r>
        <w:rPr>
          <w:b/>
        </w:rPr>
        <w:t>SDS</w:t>
      </w:r>
      <w:r>
        <w:t xml:space="preserve"> o </w:t>
      </w:r>
      <w:r>
        <w:rPr>
          <w:b/>
        </w:rPr>
        <w:t>Tiempo real</w:t>
      </w:r>
      <w:r>
        <w:t xml:space="preserve">, la estación estaba grabando y no se usó; </w:t>
      </w:r>
      <w:r>
        <w:rPr>
          <w:b/>
        </w:rPr>
        <w:t>Sin datos</w:t>
      </w:r>
      <w:r>
        <w:t xml:space="preserve"> indica que no se encontraron ondas en ninguno de los dos.  Mientras consulta se muestra una </w:t>
      </w:r>
      <w:r>
        <w:rPr>
          <w:b/>
        </w:rPr>
        <w:t>barra de progreso</w:t>
      </w:r>
      <w:r>
        <w:t xml:space="preserve"> y la fase en curso («SDS…», «tiempo real…») con los segundos transcurridos; el botón y la descarga quedan deshabilitados hasta que termina. Puede tardar hasta ~40 s si tiene que pasar por las dos fuentes.  La columna </w:t>
      </w:r>
      <w:r>
        <w:rPr>
          <w:b/>
        </w:rPr>
        <w:t>«Evidencia»</w:t>
      </w:r>
      <w:r>
        <w:t xml:space="preserve"> resume la diferencia entre </w:t>
      </w:r>
      <w:r>
        <w:rPr>
          <w:b/>
        </w:rPr>
        <w:t>certeza</w:t>
      </w:r>
      <w:r>
        <w:t xml:space="preserve"> y </w:t>
      </w:r>
      <w:r>
        <w:rPr>
          <w:b/>
        </w:rPr>
        <w:t>deducción</w:t>
      </w:r>
      <w:r>
        <w:t xml:space="preserve">: </w:t>
      </w:r>
      <w:r>
        <w:rPr>
          <w:b/>
        </w:rPr>
        <w:t>Verificado (SDS/tiempo real)</w:t>
      </w:r>
      <w:r>
        <w:t xml:space="preserve"> = hay ondas; </w:t>
      </w:r>
      <w:r>
        <w:rPr>
          <w:b/>
        </w:rPr>
        <w:t>Indicio (actividad)</w:t>
      </w:r>
      <w:r>
        <w:t xml:space="preserve"> = solo picó otros eventos; </w:t>
      </w:r>
      <w:r>
        <w:rPr>
          <w:b/>
        </w:rPr>
        <w:t>Sin evidencia</w:t>
      </w:r>
      <w:r>
        <w:t xml:space="preserve"> = se miraron las ondas y no hay, ni actividad; </w:t>
      </w:r>
      <w:r>
        <w:rPr>
          <w:b/>
        </w:rPr>
        <w:t>Sin consultar</w:t>
      </w:r>
      <w:r>
        <w:t xml:space="preserve"> = todavía no se consultaron.  </w:t>
      </w:r>
      <w:r>
        <w:rPr>
          <w:b/>
        </w:rPr>
        <w:t>Pasá el mouse por una estación</w:t>
      </w:r>
      <w:r>
        <w:t xml:space="preserve"> para ver su evidencia en detalle y, si está verificada, la cobertura de las formas de onda.</w:t>
      </w:r>
    </w:p>
    <w:p>
      <w:r>
        <w:t>El resaltado cruza el umbral de distancia con la evidencia:</w:t>
      </w:r>
    </w:p>
    <w:p>
      <w:pPr>
        <w:pStyle w:val="ListBullet"/>
      </w:pPr>
      <w:r>
        <w:rPr>
          <w:b/>
        </w:rPr>
        <w:t>fondo verde</w:t>
      </w:r>
      <w:r>
        <w:t xml:space="preserve"> — </w:t>
      </w:r>
      <w:r>
        <w:rPr>
          <w:i/>
        </w:rPr>
        <w:t xml:space="preserve">cerca </w:t>
      </w:r>
      <w:r>
        <w:rPr>
          <w:i/>
        </w:rPr>
        <w:t>y</w:t>
      </w:r>
      <w:r>
        <w:rPr>
          <w:i/>
        </w:rPr>
        <w:t xml:space="preserve"> verificado con ondas</w:t>
      </w:r>
      <w:r>
        <w:t>: estaba grabando cerca y</w:t>
      </w:r>
    </w:p>
    <w:p>
      <w:r>
        <w:rPr>
          <w:b/>
        </w:rPr>
        <w:t>no se usó</w:t>
      </w:r>
      <w:r>
        <w:t xml:space="preserve"> en la solución (certeza, posible pérdida de calidad).</w:t>
      </w:r>
    </w:p>
    <w:p>
      <w:pPr>
        <w:pStyle w:val="ListBullet"/>
      </w:pPr>
      <w:r>
        <w:rPr>
          <w:b/>
        </w:rPr>
        <w:t>fondo ámbar</w:t>
      </w:r>
      <w:r>
        <w:t xml:space="preserve"> — </w:t>
      </w:r>
      <w:r>
        <w:rPr>
          <w:i/>
        </w:rPr>
        <w:t xml:space="preserve">cerca </w:t>
      </w:r>
      <w:r>
        <w:rPr>
          <w:i/>
        </w:rPr>
        <w:t>y</w:t>
      </w:r>
      <w:r>
        <w:rPr>
          <w:i/>
        </w:rPr>
        <w:t xml:space="preserve"> con indicio por actividad</w:t>
      </w:r>
      <w:r>
        <w:t>: probablemente</w:t>
      </w:r>
    </w:p>
    <w:p>
      <w:r>
        <w:t>operaba, pero es una deducción, no una prueba.</w:t>
      </w:r>
    </w:p>
    <w:p>
      <w:pPr>
        <w:pStyle w:val="ListBullet"/>
      </w:pPr>
      <w:r>
        <w:rPr>
          <w:b/>
        </w:rPr>
        <w:t>negrita</w:t>
      </w:r>
      <w:r>
        <w:t xml:space="preserve"> — </w:t>
      </w:r>
      <w:r>
        <w:rPr>
          <w:i/>
        </w:rPr>
        <w:t xml:space="preserve">cerca </w:t>
      </w:r>
      <w:r>
        <w:rPr>
          <w:i/>
        </w:rPr>
        <w:t>y</w:t>
      </w:r>
      <w:r>
        <w:rPr>
          <w:i/>
        </w:rPr>
        <w:t xml:space="preserve"> sin evidencia</w:t>
      </w:r>
      <w:r>
        <w:t xml:space="preserve">: </w:t>
      </w:r>
      <w:r>
        <w:rPr>
          <w:b/>
        </w:rPr>
        <w:t>¿caída?</w:t>
      </w:r>
      <w:r>
        <w:t>.</w:t>
      </w:r>
    </w:p>
    <w:p>
      <w:pPr>
        <w:pStyle w:val="ListBullet"/>
      </w:pPr>
      <w:r>
        <w:rPr>
          <w:b/>
        </w:rPr>
        <w:t>normal</w:t>
      </w:r>
      <w:r>
        <w:t xml:space="preserve"> — </w:t>
      </w:r>
      <w:r>
        <w:rPr>
          <w:i/>
        </w:rPr>
        <w:t>lejos</w:t>
      </w:r>
      <w:r>
        <w:t xml:space="preserve">, o </w:t>
      </w:r>
      <w:r>
        <w:rPr>
          <w:i/>
        </w:rPr>
        <w:t>sin consultar</w:t>
      </w:r>
      <w:r>
        <w:t xml:space="preserve"> (use «Consultar formas de onda»).</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100122"/>
            <wp:docPr id="15" name="Picture 15"/>
            <wp:cNvGraphicFramePr>
              <a:graphicFrameLocks noChangeAspect="1"/>
            </wp:cNvGraphicFramePr>
            <a:graphic>
              <a:graphicData uri="http://schemas.openxmlformats.org/drawingml/2006/picture">
                <pic:pic>
                  <pic:nvPicPr>
                    <pic:cNvPr id="0" name="07_analisis_contexto.png"/>
                    <pic:cNvPicPr/>
                  </pic:nvPicPr>
                  <pic:blipFill>
                    <a:blip r:embed="rId23"/>
                    <a:stretch>
                      <a:fillRect/>
                    </a:stretch>
                  </pic:blipFill>
                  <pic:spPr>
                    <a:xfrm>
                      <a:off x="0" y="0"/>
                      <a:ext cx="5486400" cy="3100122"/>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100122"/>
            <wp:docPr id="16" name="Picture 16"/>
            <wp:cNvGraphicFramePr>
              <a:graphicFrameLocks noChangeAspect="1"/>
            </wp:cNvGraphicFramePr>
            <a:graphic>
              <a:graphicData uri="http://schemas.openxmlformats.org/drawingml/2006/picture">
                <pic:pic>
                  <pic:nvPicPr>
                    <pic:cNvPr id="0" name="08_analisis_resultados.png"/>
                    <pic:cNvPicPr/>
                  </pic:nvPicPr>
                  <pic:blipFill>
                    <a:blip r:embed="rId24"/>
                    <a:stretch>
                      <a:fillRect/>
                    </a:stretch>
                  </pic:blipFill>
                  <pic:spPr>
                    <a:xfrm>
                      <a:off x="0" y="0"/>
                      <a:ext cx="5486400" cy="3100122"/>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tres contadores de estaciones cercanas: </w:t>
      </w:r>
      <w:r>
        <w:rPr>
          <w:b/>
        </w:rPr>
        <w:t>Verificadas</w:t>
      </w:r>
      <w:r>
        <w:t xml:space="preserve"> (hay ondas), </w:t>
      </w:r>
      <w:r>
        <w:rPr>
          <w:b/>
        </w:rPr>
        <w:t>Indicios</w:t>
      </w:r>
      <w:r>
        <w:t xml:space="preserve"> (solo actividad ±2 h) y </w:t>
      </w:r>
      <w:r>
        <w:rPr>
          <w:b/>
        </w:rPr>
        <w:t>Sin evid.</w:t>
      </w:r>
      <w:r>
        <w:t xml:space="preserve"> (ni ondas ni actividad; posible caída).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La carpeta es siempre la misma: no se puede elegir otra. Al descargar, la app pregunta el nombre y el formato:</w:t>
      </w:r>
    </w:p>
    <w:p>
      <w:pPr>
        <w:jc w:val="center"/>
      </w:pPr>
      <w:r>
        <w:drawing>
          <wp:inline xmlns:a="http://schemas.openxmlformats.org/drawingml/2006/main" xmlns:pic="http://schemas.openxmlformats.org/drawingml/2006/picture">
            <wp:extent cx="5486400" cy="3454912"/>
            <wp:docPr id="17" name="Picture 17"/>
            <wp:cNvGraphicFramePr>
              <a:graphicFrameLocks noChangeAspect="1"/>
            </wp:cNvGraphicFramePr>
            <a:graphic>
              <a:graphicData uri="http://schemas.openxmlformats.org/drawingml/2006/picture">
                <pic:pic>
                  <pic:nvPicPr>
                    <pic:cNvPr id="0" name="13_formato_descarga.png"/>
                    <pic:cNvPicPr/>
                  </pic:nvPicPr>
                  <pic:blipFill>
                    <a:blip r:embed="rId25"/>
                    <a:stretch>
                      <a:fillRect/>
                    </a:stretch>
                  </pic:blipFill>
                  <pic:spPr>
                    <a:xfrm>
                      <a:off x="0" y="0"/>
                      <a:ext cx="5486400" cy="3454912"/>
                    </a:xfrm>
                    <a:prstGeom prst="rect"/>
                  </pic:spPr>
                </pic:pic>
              </a:graphicData>
            </a:graphic>
          </wp:inline>
        </w:drawing>
      </w:r>
    </w:p>
    <w:p>
      <w:pPr>
        <w:jc w:val="center"/>
      </w:pPr>
      <w:r>
        <w:rPr>
          <w:i/>
          <w:sz w:val="18"/>
        </w:rPr>
        <w:t>Descarga: nombre y formato</w:t>
      </w:r>
    </w:p>
    <w:p>
      <w:pPr>
        <w:pStyle w:val="ListBullet"/>
      </w:pPr>
      <w:r>
        <w:rPr>
          <w:b/>
        </w:rPr>
        <w:t>Nombre</w:t>
      </w:r>
      <w:r>
        <w:t>: viene propuesto uno con la fecha y la hora; se puede escribir el</w:t>
      </w:r>
    </w:p>
    <w:p>
      <w:r>
        <w:t>que uno quiera. La extensión no se escribe a mano: la pone el formato.</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Si ya hay un archivo con ese nombre, la app pregunta si se quiere sobrescribir. Si se contesta que no, el diálogo sigue abierto para cambiar el nombre. Nunca se pisa un archivo sin preguntar.</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r>
        <w:t xml:space="preserve">En </w:t>
      </w:r>
      <w:r>
        <w:rPr>
          <w:b/>
        </w:rPr>
        <w:t>Comparar agencias → Comparación</w:t>
      </w:r>
      <w:r>
        <w:t xml:space="preserve"> se bajan varios archivos de una vez: el nombre que se elige es la base, y cada archivo agrega su sufijo (</w:t>
      </w:r>
      <w:r>
        <w:rPr>
          <w:rFonts w:ascii="Consolas" w:hAnsi="Consolas"/>
          <w:sz w:val="18"/>
        </w:rPr>
        <w:t>_larga</w:t>
      </w:r>
      <w:r>
        <w:t xml:space="preserve"> para la comparación larga, </w:t>
      </w:r>
      <w:r>
        <w:rPr>
          <w:rFonts w:ascii="Consolas" w:hAnsi="Consolas"/>
          <w:sz w:val="18"/>
        </w:rPr>
        <w:t>_cobertura</w:t>
      </w:r>
      <w:r>
        <w:t xml:space="preserve"> para la cobertura).</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Evidencia</w:t>
            </w:r>
          </w:p>
        </w:tc>
        <w:tc>
          <w:tcPr>
            <w:tcW w:type="dxa" w:w="4320"/>
          </w:tcPr>
          <w:p>
            <w:r/>
            <w:r>
              <w:rPr>
                <w:b/>
              </w:rPr>
              <w:t>Verificado (SDS/tiempo real)</w:t>
            </w:r>
            <w:r>
              <w:t xml:space="preserve">, </w:t>
            </w:r>
            <w:r>
              <w:rPr>
                <w:b/>
              </w:rPr>
              <w:t>Indicio (actividad)</w:t>
            </w:r>
            <w:r>
              <w:t xml:space="preserve">, </w:t>
            </w:r>
            <w:r>
              <w:rPr>
                <w:b/>
              </w:rPr>
              <w:t>Sin evidencia</w:t>
            </w:r>
            <w:r>
              <w:t xml:space="preserve"> o </w:t>
            </w:r>
            <w:r>
              <w:rPr>
                <w:b/>
              </w:rPr>
              <w:t>Sin consultar</w:t>
            </w:r>
            <w:r>
              <w:t>: separa la certeza de la deducción.</w:t>
            </w:r>
          </w:p>
        </w:tc>
      </w:tr>
      <w:tr>
        <w:tc>
          <w:tcPr>
            <w:tcW w:type="dxa" w:w="4320"/>
          </w:tcPr>
          <w:p>
            <w:r/>
            <w:r>
              <w:rPr>
                <w:b/>
              </w:rPr>
              <w:t>Formas de onda</w:t>
            </w:r>
          </w:p>
        </w:tc>
        <w:tc>
          <w:tcPr>
            <w:tcW w:type="dxa" w:w="4320"/>
          </w:tcPr>
          <w:p>
            <w:r/>
            <w:r>
              <w:t xml:space="preserve">Resultado de «Consultar formas de onda»: </w:t>
            </w:r>
            <w:r>
              <w:rPr>
                <w:b/>
              </w:rPr>
              <w:t>SDS</w:t>
            </w:r>
            <w:r>
              <w:t xml:space="preserve">, </w:t>
            </w:r>
            <w:r>
              <w:rPr>
                <w:b/>
              </w:rPr>
              <w:t>Tiempo real</w:t>
            </w:r>
            <w:r>
              <w:t xml:space="preserve"> o </w:t>
            </w:r>
            <w:r>
              <w:rPr>
                <w:b/>
              </w:rPr>
              <w:t>Sin datos</w:t>
            </w:r>
            <w:r>
              <w:t xml:space="preserve"> (y «—» si no se consultó).</w:t>
            </w:r>
          </w:p>
        </w:tc>
      </w:tr>
      <w:tr>
        <w:tc>
          <w:tcPr>
            <w:tcW w:type="dxa" w:w="4320"/>
          </w:tcPr>
          <w:p>
            <w:r/>
            <w:r>
              <w:rPr>
                <w:b/>
              </w:rPr>
              <w:t>Indicio ±2 h</w:t>
            </w:r>
          </w:p>
        </w:tc>
        <w:tc>
          <w:tcPr>
            <w:tcW w:type="dxa" w:w="4320"/>
          </w:tcPr>
          <w:p>
            <w:r/>
            <w:r>
              <w:t xml:space="preserve">Cuántos </w:t>
            </w:r>
            <w:r>
              <w:rPr>
                <w:i/>
              </w:rPr>
              <w:t>otros</w:t>
            </w:r>
            <w:r>
              <w:t xml:space="preserve"> eventos picó esa estación entre 2 h antes y 2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Verificadas</w:t>
            </w:r>
          </w:p>
        </w:tc>
        <w:tc>
          <w:tcPr>
            <w:tcW w:type="dxa" w:w="4320"/>
          </w:tcPr>
          <w:p>
            <w:r/>
            <w:r>
              <w:t xml:space="preserve">Estaciones cercanas </w:t>
            </w:r>
            <w:r>
              <w:rPr>
                <w:b/>
              </w:rPr>
              <w:t>con formas de onda</w:t>
            </w:r>
            <w:r>
              <w:t xml:space="preserve"> que </w:t>
            </w:r>
            <w:r>
              <w:rPr>
                <w:b/>
              </w:rPr>
              <w:t>no</w:t>
            </w:r>
            <w:r>
              <w:t xml:space="preserve"> se usaron en la solución (certeza).</w:t>
            </w:r>
          </w:p>
        </w:tc>
      </w:tr>
      <w:tr>
        <w:tc>
          <w:tcPr>
            <w:tcW w:type="dxa" w:w="4320"/>
          </w:tcPr>
          <w:p>
            <w:r/>
            <w:r>
              <w:rPr>
                <w:b/>
              </w:rPr>
              <w:t>Indicios</w:t>
            </w:r>
          </w:p>
        </w:tc>
        <w:tc>
          <w:tcPr>
            <w:tcW w:type="dxa" w:w="4320"/>
          </w:tcPr>
          <w:p>
            <w:r/>
            <w:r>
              <w:t>Estaciones cercanas que picaron otros eventos ±2 h, sin ondas verificadas (deducción).</w:t>
            </w:r>
          </w:p>
        </w:tc>
      </w:tr>
      <w:tr>
        <w:tc>
          <w:tcPr>
            <w:tcW w:type="dxa" w:w="4320"/>
          </w:tcPr>
          <w:p>
            <w:r/>
            <w:r>
              <w:rPr>
                <w:b/>
              </w:rPr>
              <w:t>Sin evid.</w:t>
            </w:r>
          </w:p>
        </w:tc>
        <w:tc>
          <w:tcPr>
            <w:tcW w:type="dxa" w:w="4320"/>
          </w:tcPr>
          <w:p>
            <w:r/>
            <w:r>
              <w:t>Estaciones cercanas sin ondas verificadas ni actividad (posible caída; «sin consultar» si la exportación no trae ondas).</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 xml:space="preserve">En la descarga larga: </w:t>
            </w:r>
            <w:r>
              <w:rPr>
                <w:rFonts w:ascii="Consolas" w:hAnsi="Consolas"/>
                <w:sz w:val="18"/>
              </w:rPr>
              <w:t>verificado</w:t>
            </w:r>
            <w:r>
              <w:t xml:space="preserve">, </w:t>
            </w:r>
            <w:r>
              <w:rPr>
                <w:rFonts w:ascii="Consolas" w:hAnsi="Consolas"/>
                <w:sz w:val="18"/>
              </w:rPr>
              <w:t>indicio</w:t>
            </w:r>
            <w:r>
              <w:t xml:space="preserve">, </w:t>
            </w:r>
            <w:r>
              <w:rPr>
                <w:rFonts w:ascii="Consolas" w:hAnsi="Consolas"/>
                <w:sz w:val="18"/>
              </w:rPr>
              <w:t>sin evidencia</w:t>
            </w:r>
            <w:r>
              <w:t xml:space="preserve"> o </w:t>
            </w:r>
            <w:r>
              <w:rPr>
                <w:rFonts w:ascii="Consolas" w:hAnsi="Consolas"/>
                <w:sz w:val="18"/>
              </w:rPr>
              <w:t>sin consultar</w:t>
            </w:r>
            <w:r>
              <w:t>.</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Indicio ±2 h</w:t>
      </w:r>
      <w:r>
        <w:t xml:space="preserve">: cuántos </w:t>
      </w:r>
      <w:r>
        <w:rPr>
          <w:i/>
        </w:rPr>
        <w:t>otros</w:t>
      </w:r>
      <w:r>
        <w:t xml:space="preserve"> eventos picó esa estación dentro de las</w:t>
      </w:r>
    </w:p>
    <w:p>
      <w:r>
        <w:t>2 h anteriores y posteriores al origen. Indicador indirecto de que estaba operando (una deducción, no una certeza).</w:t>
      </w:r>
    </w:p>
    <w:p>
      <w:pPr>
        <w:pStyle w:val="ListBullet"/>
      </w:pPr>
      <w:r>
        <w:rPr>
          <w:b/>
        </w:rPr>
        <w:t>Formas de onda</w:t>
      </w:r>
      <w:r>
        <w:t>: consulta directa al archivo SDS y al flujo de tiempo real</w:t>
      </w:r>
    </w:p>
    <w:p>
      <w:r>
        <w:t>para saber si la estación estaba grabando; es la verificación que supera al indicio.</w:t>
      </w:r>
    </w:p>
    <w:p>
      <w:pPr>
        <w:pStyle w:val="ListBullet"/>
      </w:pPr>
      <w:r>
        <w:rPr>
          <w:b/>
        </w:rPr>
        <w:t>Evidencia</w:t>
      </w:r>
      <w:r>
        <w:t xml:space="preserve">: resumen que separa </w:t>
      </w:r>
      <w:r>
        <w:rPr>
          <w:b/>
        </w:rPr>
        <w:t>Verificado</w:t>
      </w:r>
      <w:r>
        <w:t xml:space="preserve"> (ondas), </w:t>
      </w:r>
      <w:r>
        <w:rPr>
          <w:b/>
        </w:rPr>
        <w:t>Indicio</w:t>
      </w:r>
    </w:p>
    <w:p>
      <w:r>
        <w:t xml:space="preserve">(actividad), </w:t>
      </w:r>
      <w:r>
        <w:rPr>
          <w:b/>
        </w:rPr>
        <w:t>Sin evidencia</w:t>
      </w:r>
      <w:r>
        <w:t xml:space="preserve"> y </w:t>
      </w:r>
      <w:r>
        <w:rPr>
          <w:b/>
        </w:rPr>
        <w:t>Sin consultar</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