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1.13 — 16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1.12,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Las pestañas de catálogo</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t xml:space="preserve">El siguiente mapa resume </w:t>
      </w:r>
      <w:r>
        <w:rPr>
          <w:b/>
        </w:rPr>
        <w:t>qué hace el sistema y dónde está cada cosa</w:t>
      </w:r>
      <w:r>
        <w:t xml:space="preserve"> (barra lateral, pestañas y ventanas):</w:t>
      </w:r>
    </w:p>
    <w:p>
      <w:pPr>
        <w:jc w:val="center"/>
      </w:pPr>
      <w:r>
        <w:drawing>
          <wp:inline xmlns:a="http://schemas.openxmlformats.org/drawingml/2006/main" xmlns:pic="http://schemas.openxmlformats.org/drawingml/2006/picture">
            <wp:extent cx="5486400" cy="4160319"/>
            <wp:docPr id="1" name="Picture 1"/>
            <wp:cNvGraphicFramePr>
              <a:graphicFrameLocks noChangeAspect="1"/>
            </wp:cNvGraphicFramePr>
            <a:graphic>
              <a:graphicData uri="http://schemas.openxmlformats.org/drawingml/2006/picture">
                <pic:pic>
                  <pic:nvPicPr>
                    <pic:cNvPr id="0" name="09_mapa_funcional.png"/>
                    <pic:cNvPicPr/>
                  </pic:nvPicPr>
                  <pic:blipFill>
                    <a:blip r:embed="rId9"/>
                    <a:stretch>
                      <a:fillRect/>
                    </a:stretch>
                  </pic:blipFill>
                  <pic:spPr>
                    <a:xfrm>
                      <a:off x="0" y="0"/>
                      <a:ext cx="5486400" cy="4160319"/>
                    </a:xfrm>
                    <a:prstGeom prst="rect"/>
                  </pic:spPr>
                </pic:pic>
              </a:graphicData>
            </a:graphic>
          </wp:inline>
        </w:drawing>
      </w:r>
    </w:p>
    <w:p>
      <w:pPr>
        <w:jc w:val="center"/>
      </w:pPr>
      <w:r>
        <w:rPr>
          <w:i/>
          <w:sz w:val="18"/>
        </w:rPr>
        <w:t>Mapa funcional de RCS</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2" name="Picture 2"/>
            <wp:cNvGraphicFramePr>
              <a:graphicFrameLocks noChangeAspect="1"/>
            </wp:cNvGraphicFramePr>
            <a:graphic>
              <a:graphicData uri="http://schemas.openxmlformats.org/drawingml/2006/picture">
                <pic:pic>
                  <pic:nvPicPr>
                    <pic:cNvPr id="0" name="01_solicitud.png"/>
                    <pic:cNvPicPr/>
                  </pic:nvPicPr>
                  <pic:blipFill>
                    <a:blip r:embed="rId10"/>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3" name="Picture 3"/>
            <wp:cNvGraphicFramePr>
              <a:graphicFrameLocks noChangeAspect="1"/>
            </wp:cNvGraphicFramePr>
            <a:graphic>
              <a:graphicData uri="http://schemas.openxmlformats.org/drawingml/2006/picture">
                <pic:pic>
                  <pic:nvPicPr>
                    <pic:cNvPr id="0" name="02_principal.png"/>
                    <pic:cNvPicPr/>
                  </pic:nvPicPr>
                  <pic:blipFill>
                    <a:blip r:embed="rId11"/>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Arriba, la tabla con los informes de repeticiones por fuente y filtro (amplio y estricto). Al elegir uno, abajo se muestra </w:t>
      </w:r>
      <w:r>
        <w:rPr>
          <w:b/>
        </w:rPr>
        <w:t>como tabla ordenable</w:t>
      </w:r>
      <w:r>
        <w:t xml:space="preserve">: clic en el encabezado ordena, «Filtrar» acota por texto y </w:t>
      </w:r>
      <w:r>
        <w:rPr>
          <w:b/>
        </w:rPr>
        <w:t>«Descargar»</w:t>
      </w:r>
      <w:r>
        <w:t xml:space="preserve"> baja lo filtrado mientras </w:t>
      </w:r>
      <w:r>
        <w:rPr>
          <w:b/>
        </w:rPr>
        <w:t>«Descargar todo»</w:t>
      </w:r>
      <w:r>
        <w:t xml:space="preserve"> baja el informe completo (en CSV o TXT, con el nombre que se elija). En los repetidos publicados (eventquery), que no traen responsable, se agregan dos columnas </w:t>
      </w:r>
      <w:r>
        <w:rPr>
          <w:b/>
        </w:rPr>
        <w:t>«Analista probable (Seisan)»</w:t>
      </w:r>
      <w:r>
        <w:t xml:space="preserve"> y </w:t>
      </w:r>
      <w:r>
        <w:rPr>
          <w:b/>
        </w:rPr>
        <w:t>«Analista probable (SeisComp)»</w:t>
      </w:r>
      <w:r>
        <w:t>, deducidas cruzando cada evento con esas fuentes como en el catálogo:</w:t>
      </w:r>
    </w:p>
    <w:p>
      <w:pPr>
        <w:jc w:val="center"/>
      </w:pPr>
      <w:r>
        <w:drawing>
          <wp:inline xmlns:a="http://schemas.openxmlformats.org/drawingml/2006/main" xmlns:pic="http://schemas.openxmlformats.org/drawingml/2006/picture">
            <wp:extent cx="5486400" cy="2493818"/>
            <wp:docPr id="4" name="Picture 4"/>
            <wp:cNvGraphicFramePr>
              <a:graphicFrameLocks noChangeAspect="1"/>
            </wp:cNvGraphicFramePr>
            <a:graphic>
              <a:graphicData uri="http://schemas.openxmlformats.org/drawingml/2006/picture">
                <pic:pic>
                  <pic:nvPicPr>
                    <pic:cNvPr id="0" name="11_repetidos.png"/>
                    <pic:cNvPicPr/>
                  </pic:nvPicPr>
                  <pic:blipFill>
                    <a:blip r:embed="rId12"/>
                    <a:stretch>
                      <a:fillRect/>
                    </a:stretch>
                  </pic:blipFill>
                  <pic:spPr>
                    <a:xfrm>
                      <a:off x="0" y="0"/>
                      <a:ext cx="5486400" cy="2493818"/>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3413760"/>
            <wp:docPr id="5" name="Picture 5"/>
            <wp:cNvGraphicFramePr>
              <a:graphicFrameLocks noChangeAspect="1"/>
            </wp:cNvGraphicFramePr>
            <a:graphic>
              <a:graphicData uri="http://schemas.openxmlformats.org/drawingml/2006/picture">
                <pic:pic>
                  <pic:nvPicPr>
                    <pic:cNvPr id="0" name="10_no_publicados.png"/>
                    <pic:cNvPicPr/>
                  </pic:nvPicPr>
                  <pic:blipFill>
                    <a:blip r:embed="rId13"/>
                    <a:stretch>
                      <a:fillRect/>
                    </a:stretch>
                  </pic:blipFill>
                  <pic:spPr>
                    <a:xfrm>
                      <a:off x="0" y="0"/>
                      <a:ext cx="5486400" cy="3413760"/>
                    </a:xfrm>
                    <a:prstGeom prst="rect"/>
                  </pic:spPr>
                </pic:pic>
              </a:graphicData>
            </a:graphic>
          </wp:inline>
        </w:drawing>
      </w:r>
    </w:p>
    <w:p>
      <w:pPr>
        <w:jc w:val="center"/>
      </w:pPr>
      <w:r>
        <w:rPr>
          <w:i/>
          <w:sz w:val="18"/>
        </w:rPr>
        <w:t>Ventana de no publicados</w:t>
      </w:r>
    </w:p>
    <w:p>
      <w:pPr>
        <w:pStyle w:val="ListBullet"/>
      </w:pPr>
      <w:r>
        <w:rPr>
          <w:b/>
        </w:rPr>
        <w:t>«Filtrar»</w:t>
      </w:r>
      <w:r>
        <w:t xml:space="preserve"> + </w:t>
      </w:r>
      <w:r>
        <w:rPr>
          <w:b/>
        </w:rPr>
        <w:t>«Aplicar»</w:t>
      </w:r>
      <w:r>
        <w:t xml:space="preserve"> (o Enter): filtra el listado por texto libre</w:t>
      </w:r>
    </w:p>
    <w:p>
      <w:r>
        <w:t>(busca en todas las columnas). No se aplica al escribir.</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6" name="Picture 6"/>
            <wp:cNvGraphicFramePr>
              <a:graphicFrameLocks noChangeAspect="1"/>
            </wp:cNvGraphicFramePr>
            <a:graphic>
              <a:graphicData uri="http://schemas.openxmlformats.org/drawingml/2006/picture">
                <pic:pic>
                  <pic:nvPicPr>
                    <pic:cNvPr id="0" name="14_plot_evento.png"/>
                    <pic:cNvPicPr/>
                  </pic:nvPicPr>
                  <pic:blipFill>
                    <a:blip r:embed="rId14"/>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 xml:space="preserve">. Tiene un filtro por texto que se aplica con </w:t>
      </w:r>
      <w:r>
        <w:rPr>
          <w:b/>
        </w:rPr>
        <w:t>«Aplicar»</w:t>
      </w:r>
      <w:r>
        <w:t xml:space="preserve"> (o Enter), no al escribir:</w:t>
      </w:r>
    </w:p>
    <w:p>
      <w:pPr>
        <w:jc w:val="center"/>
      </w:pPr>
      <w:r>
        <w:drawing>
          <wp:inline xmlns:a="http://schemas.openxmlformats.org/drawingml/2006/main" xmlns:pic="http://schemas.openxmlformats.org/drawingml/2006/picture">
            <wp:extent cx="5486400" cy="1653436"/>
            <wp:docPr id="7" name="Picture 7"/>
            <wp:cNvGraphicFramePr>
              <a:graphicFrameLocks noChangeAspect="1"/>
            </wp:cNvGraphicFramePr>
            <a:graphic>
              <a:graphicData uri="http://schemas.openxmlformats.org/drawingml/2006/picture">
                <pic:pic>
                  <pic:nvPicPr>
                    <pic:cNvPr id="0" name="09_no_actualizados.png"/>
                    <pic:cNvPicPr/>
                  </pic:nvPicPr>
                  <pic:blipFill>
                    <a:blip r:embed="rId15"/>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8" name="Picture 8"/>
            <wp:cNvGraphicFramePr>
              <a:graphicFrameLocks noChangeAspect="1"/>
            </wp:cNvGraphicFramePr>
            <a:graphic>
              <a:graphicData uri="http://schemas.openxmlformats.org/drawingml/2006/picture">
                <pic:pic>
                  <pic:nvPicPr>
                    <pic:cNvPr id="0" name="15_comparacion.png"/>
                    <pic:cNvPicPr/>
                  </pic:nvPicPr>
                  <pic:blipFill>
                    <a:blip r:embed="rId16"/>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9" name="Picture 9"/>
            <wp:cNvGraphicFramePr>
              <a:graphicFrameLocks noChangeAspect="1"/>
            </wp:cNvGraphicFramePr>
            <a:graphic>
              <a:graphicData uri="http://schemas.openxmlformats.org/drawingml/2006/picture">
                <pic:pic>
                  <pic:nvPicPr>
                    <pic:cNvPr id="0" name="12_panel_analisis.png"/>
                    <pic:cNvPicPr/>
                  </pic:nvPicPr>
                  <pic:blipFill>
                    <a:blip r:embed="rId17"/>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Las pestañas de catálogo</w:t>
      </w:r>
    </w:p>
    <w:p>
      <w:r>
        <w:t xml:space="preserve">La ventana </w:t>
      </w:r>
      <w:r>
        <w:rPr>
          <w:b/>
        </w:rPr>
        <w:t>«Catálogos»</w:t>
      </w:r>
      <w:r>
        <w:t xml:space="preserve"> (barra lateral) tiene una pestaña por fuente: </w:t>
      </w:r>
      <w:r>
        <w:rPr>
          <w:b/>
        </w:rPr>
        <w:t>SeisComp</w:t>
      </w:r>
      <w:r>
        <w:t xml:space="preserve">, </w:t>
      </w:r>
      <w:r>
        <w:rPr>
          <w:b/>
        </w:rPr>
        <w:t>Seisan</w:t>
      </w:r>
      <w:r>
        <w:t xml:space="preserve"> y </w:t>
      </w:r>
      <w:r>
        <w:rPr>
          <w:b/>
        </w:rPr>
        <w:t>eventquery</w:t>
      </w:r>
      <w:r>
        <w:t xml:space="preserve">. En las tres, la lista comparte la ventana con una </w:t>
      </w:r>
      <w:r>
        <w:rPr>
          <w:b/>
        </w:rPr>
        <w:t>miniatura del perfil</w:t>
      </w:r>
      <w:r>
        <w:t xml:space="preserve"> del evento seleccionado: al elegir una fila —con el mouse o con las flechas del teclado— la miniatura se redibuja con el perfil de ese evento. La miniatura usa el mismo perfil del panel de análisis, con los ejes comparables, y para un evento sin perfil asignado (fuera de cobertura o sin coordenadas o profundidad) muestra un aviso en lugar del dibujo.</w:t>
      </w:r>
    </w:p>
    <w:p>
      <w:r>
        <w:t xml:space="preserve">La casilla </w:t>
      </w:r>
      <w:r>
        <w:rPr>
          <w:b/>
        </w:rPr>
        <w:t>«Sismicidad histórica»</w:t>
      </w:r>
      <w:r>
        <w:t xml:space="preserve"> de la barra superior agrega o quita el fondo de sismicidad histórica en la miniatura. Afecta </w:t>
      </w:r>
      <w:r>
        <w:rPr>
          <w:b/>
        </w:rPr>
        <w:t>solo</w:t>
      </w:r>
      <w:r>
        <w:t xml:space="preserve"> a la miniatura (las ventanas de detalle siempre traen el fondo) y es independiente en cada pestaña.</w:t>
      </w:r>
    </w:p>
    <w:p>
      <w:r>
        <w:t xml:space="preserve">Los filtros de texto, magnitud y coordenadas </w:t>
      </w:r>
      <w:r>
        <w:rPr>
          <w:b/>
        </w:rPr>
        <w:t>no se aplican al escribir</w:t>
      </w:r>
      <w:r>
        <w:t xml:space="preserve">: se escriben y se aplican con el botón </w:t>
      </w:r>
      <w:r>
        <w:rPr>
          <w:b/>
        </w:rPr>
        <w:t>«Aplicar»</w:t>
      </w:r>
      <w:r>
        <w:t xml:space="preserve"> (o Enter en cualquier casilla). Así, con catálogos grandes, no se reconstruye la tabla en cada tecla.</w:t>
      </w:r>
    </w:p>
    <w:p>
      <w:pPr>
        <w:pStyle w:val="Heading3"/>
      </w:pPr>
      <w:r>
        <w:t>Pestaña de SeisComp</w:t>
      </w:r>
    </w:p>
    <w:p>
      <w:pPr>
        <w:jc w:val="center"/>
      </w:pPr>
      <w:r>
        <w:drawing>
          <wp:inline xmlns:a="http://schemas.openxmlformats.org/drawingml/2006/main" xmlns:pic="http://schemas.openxmlformats.org/drawingml/2006/picture">
            <wp:extent cx="5486400" cy="2372497"/>
            <wp:docPr id="10" name="Picture 10"/>
            <wp:cNvGraphicFramePr>
              <a:graphicFrameLocks noChangeAspect="1"/>
            </wp:cNvGraphicFramePr>
            <a:graphic>
              <a:graphicData uri="http://schemas.openxmlformats.org/drawingml/2006/picture">
                <pic:pic>
                  <pic:nvPicPr>
                    <pic:cNvPr id="0" name="03_catalogo_seiscomp.png"/>
                    <pic:cNvPicPr/>
                  </pic:nvPicPr>
                  <pic:blipFill>
                    <a:blip r:embed="rId18"/>
                    <a:stretch>
                      <a:fillRect/>
                    </a:stretch>
                  </pic:blipFill>
                  <pic:spPr>
                    <a:xfrm>
                      <a:off x="0" y="0"/>
                      <a:ext cx="5486400" cy="2372497"/>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xml:space="preserve"> (o Enter): aplica los filtros anteriores.</w:t>
      </w:r>
    </w:p>
    <w:p>
      <w:pPr>
        <w:pStyle w:val="ListBullet"/>
      </w:pPr>
      <w:r>
        <w:rPr>
          <w:b/>
        </w:rPr>
        <w:t>«Sismicidad histórica»</w:t>
      </w:r>
      <w:r>
        <w:t>: agrega o quita ese fondo en la miniatura.</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Pestañas de Seisan y eventquery</w:t>
      </w:r>
    </w:p>
    <w:p>
      <w:pPr>
        <w:jc w:val="center"/>
      </w:pPr>
      <w:r>
        <w:drawing>
          <wp:inline xmlns:a="http://schemas.openxmlformats.org/drawingml/2006/main" xmlns:pic="http://schemas.openxmlformats.org/drawingml/2006/picture">
            <wp:extent cx="5486400" cy="2477729"/>
            <wp:docPr id="11" name="Picture 11"/>
            <wp:cNvGraphicFramePr>
              <a:graphicFrameLocks noChangeAspect="1"/>
            </wp:cNvGraphicFramePr>
            <a:graphic>
              <a:graphicData uri="http://schemas.openxmlformats.org/drawingml/2006/picture">
                <pic:pic>
                  <pic:nvPicPr>
                    <pic:cNvPr id="0" name="03b_catalogo_seisan.png"/>
                    <pic:cNvPicPr/>
                  </pic:nvPicPr>
                  <pic:blipFill>
                    <a:blip r:embed="rId19"/>
                    <a:stretch>
                      <a:fillRect/>
                    </a:stretch>
                  </pic:blipFill>
                  <pic:spPr>
                    <a:xfrm>
                      <a:off x="0" y="0"/>
                      <a:ext cx="5486400" cy="2477729"/>
                    </a:xfrm>
                    <a:prstGeom prst="rect"/>
                  </pic:spPr>
                </pic:pic>
              </a:graphicData>
            </a:graphic>
          </wp:inline>
        </w:drawing>
      </w:r>
    </w:p>
    <w:p>
      <w:pPr>
        <w:jc w:val="center"/>
      </w:pPr>
      <w:r>
        <w:rPr>
          <w:i/>
          <w:sz w:val="18"/>
        </w:rPr>
        <w:t>Catálogo de Seisan</w:t>
      </w:r>
    </w:p>
    <w:p>
      <w:r>
        <w:t xml:space="preserve">Son listados simples (sin detalle de llegadas), con su propio filtro por texto, magnitud mínima y coordenadas (también con </w:t>
      </w:r>
      <w:r>
        <w:rPr>
          <w:b/>
        </w:rPr>
        <w:t>«Aplicar»</w:t>
      </w:r>
      <w:r>
        <w:t xml:space="preserve"> o Enter), y la misma casilla </w:t>
      </w:r>
      <w:r>
        <w:rPr>
          <w:b/>
        </w:rPr>
        <w:t>«Sismicidad histórica»</w:t>
      </w:r>
      <w:r>
        <w:t xml:space="preserve"> para la miniatura.</w:t>
      </w:r>
    </w:p>
    <w:p>
      <w:pPr>
        <w:pStyle w:val="Heading3"/>
      </w:pPr>
      <w:r>
        <w:t>Abrir un evento</w:t>
      </w:r>
    </w:p>
    <w:p>
      <w:r>
        <w:t>El detalle del evento abre aparte, y difiere según la fuente:</w:t>
      </w:r>
    </w:p>
    <w:p>
      <w:pPr>
        <w:pStyle w:val="ListBullet"/>
      </w:pPr>
      <w:r>
        <w:t xml:space="preserve">En </w:t>
      </w:r>
      <w:r>
        <w:rPr>
          <w:b/>
        </w:rPr>
        <w:t>SeisComp</w:t>
      </w:r>
      <w:r>
        <w:t xml:space="preserve">, al hacer </w:t>
      </w:r>
      <w:r>
        <w:rPr>
          <w:b/>
        </w:rPr>
        <w:t>doble clic</w:t>
      </w:r>
      <w:r>
        <w:t xml:space="preserve"> en una fila (o Enter con la fila</w:t>
      </w:r>
    </w:p>
    <w:p>
      <w:r>
        <w:t xml:space="preserve">elegida) se abren los </w:t>
      </w:r>
      <w:r>
        <w:rPr>
          <w:b/>
        </w:rPr>
        <w:t>Parámetros del evento</w:t>
      </w:r>
      <w:r>
        <w:t xml:space="preserve"> en una ventana aparte, que se reutiliza al cambiar de evento y </w:t>
      </w:r>
      <w:r>
        <w:rPr>
          <w:b/>
        </w:rPr>
        <w:t>no bloquea</w:t>
      </w:r>
      <w:r>
        <w:t xml:space="preserve"> la lista. Desde ahí, el botón </w:t>
      </w:r>
      <w:r>
        <w:rPr>
          <w:b/>
        </w:rPr>
        <w:t>«Planta y perfil»</w:t>
      </w:r>
      <w:r>
        <w:t xml:space="preserve"> plotea la vista en planta y el perfil del evento.</w:t>
      </w:r>
    </w:p>
    <w:p>
      <w:pPr>
        <w:pStyle w:val="ListBullet"/>
      </w:pPr>
      <w:r>
        <w:t xml:space="preserve">En </w:t>
      </w:r>
      <w:r>
        <w:rPr>
          <w:b/>
        </w:rPr>
        <w:t>Seisan</w:t>
      </w:r>
      <w:r>
        <w:t xml:space="preserve"> y </w:t>
      </w:r>
      <w:r>
        <w:rPr>
          <w:b/>
        </w:rPr>
        <w:t>eventquery</w:t>
      </w:r>
      <w:r>
        <w:t>, que no tienen esa ventana de parámetros, el</w:t>
      </w:r>
    </w:p>
    <w:p>
      <w:r>
        <w:rPr>
          <w:b/>
        </w:rPr>
        <w:t>doble clic</w:t>
      </w:r>
      <w:r>
        <w:t xml:space="preserve"> (o Enter) plotea directamente planta + perfil del evento.</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2" name="Picture 12"/>
            <wp:cNvGraphicFramePr>
              <a:graphicFrameLocks noChangeAspect="1"/>
            </wp:cNvGraphicFramePr>
            <a:graphic>
              <a:graphicData uri="http://schemas.openxmlformats.org/drawingml/2006/picture">
                <pic:pic>
                  <pic:nvPicPr>
                    <pic:cNvPr id="0" name="04_parametros_evento.png"/>
                    <pic:cNvPicPr/>
                  </pic:nvPicPr>
                  <pic:blipFill>
                    <a:blip r:embed="rId20"/>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 y </w:t>
      </w:r>
      <w:r>
        <w:rPr>
          <w:b/>
        </w:rPr>
        <w:t>«Planta y perfil»</w:t>
      </w:r>
      <w:r>
        <w:t xml:space="preserve"> plotea la vista en planta y el perfil del evento en una ventana nueva.</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3" name="Picture 13"/>
            <wp:cNvGraphicFramePr>
              <a:graphicFrameLocks noChangeAspect="1"/>
            </wp:cNvGraphicFramePr>
            <a:graphic>
              <a:graphicData uri="http://schemas.openxmlformats.org/drawingml/2006/picture">
                <pic:pic>
                  <pic:nvPicPr>
                    <pic:cNvPr id="0" name="05_estaciones_con_arribos.png"/>
                    <pic:cNvPicPr/>
                  </pic:nvPicPr>
                  <pic:blipFill>
                    <a:blip r:embed="rId21"/>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4" name="Picture 14"/>
            <wp:cNvGraphicFramePr>
              <a:graphicFrameLocks noChangeAspect="1"/>
            </wp:cNvGraphicFramePr>
            <a:graphic>
              <a:graphicData uri="http://schemas.openxmlformats.org/drawingml/2006/picture">
                <pic:pic>
                  <pic:nvPicPr>
                    <pic:cNvPr id="0" name="06_estaciones_sin_arribos.png"/>
                    <pic:cNvPicPr/>
                  </pic:nvPicPr>
                  <pic:blipFill>
                    <a:blip r:embed="rId22"/>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«Actividad ±24 h»</w:t>
      </w:r>
      <w:r>
        <w:t xml:space="preserve"> es solo un indicador indirecto: cuenta otros eventos que esa estación picó entre 24 h antes y 24 h después del origen (48 h en total). Un 0 no prueba que la estación estuviera caída.</w:t>
      </w:r>
    </w:p>
    <w:p>
      <w:r>
        <w:t>El resaltado cruza dos umbrales independientes del radio:</w:t>
      </w:r>
    </w:p>
    <w:p>
      <w:pPr>
        <w:pStyle w:val="ListBullet"/>
      </w:pPr>
      <w:r>
        <w:rPr>
          <w:b/>
        </w:rPr>
        <w:t>fondo destacado</w:t>
      </w:r>
      <w:r>
        <w:t xml:space="preserve"> — </w:t>
      </w:r>
      <w:r>
        <w:rPr>
          <w:i/>
        </w:rPr>
        <w:t xml:space="preserve">cerca </w:t>
      </w:r>
      <w:r>
        <w:rPr>
          <w:i/>
        </w:rPr>
        <w:t>y</w:t>
      </w:r>
      <w:r>
        <w:rPr>
          <w:i/>
        </w:rPr>
        <w:t xml:space="preserve"> con actividad</w:t>
      </w:r>
      <w:r>
        <w:t>: estaba operando cerca y</w:t>
      </w:r>
    </w:p>
    <w:p>
      <w:r>
        <w:rPr>
          <w:b/>
        </w:rPr>
        <w:t>no se usó</w:t>
      </w:r>
      <w:r>
        <w:t xml:space="preserve"> en la solución (posible pérdida de calidad).</w:t>
      </w:r>
    </w:p>
    <w:p>
      <w:pPr>
        <w:pStyle w:val="ListBullet"/>
      </w:pPr>
      <w:r>
        <w:rPr>
          <w:b/>
        </w:rPr>
        <w:t>verde</w:t>
      </w:r>
      <w:r>
        <w:t xml:space="preserve"> — </w:t>
      </w:r>
      <w:r>
        <w:rPr>
          <w:i/>
        </w:rPr>
        <w:t>con actividad, más lejos</w:t>
      </w:r>
      <w:r>
        <w:t>.</w:t>
      </w:r>
    </w:p>
    <w:p>
      <w:pPr>
        <w:pStyle w:val="ListBullet"/>
      </w:pPr>
      <w:r>
        <w:rPr>
          <w:b/>
        </w:rPr>
        <w:t>negrita</w:t>
      </w:r>
      <w:r>
        <w:t xml:space="preserve"> — </w:t>
      </w:r>
      <w:r>
        <w:rPr>
          <w:i/>
        </w:rPr>
        <w:t xml:space="preserve">cerca </w:t>
      </w:r>
      <w:r>
        <w:rPr>
          <w:i/>
        </w:rPr>
        <w:t>y</w:t>
      </w:r>
      <w:r>
        <w:rPr>
          <w:i/>
        </w:rPr>
        <w:t xml:space="preserve"> sin actividad</w:t>
      </w:r>
      <w:r>
        <w:t xml:space="preserve">: </w:t>
      </w:r>
      <w:r>
        <w:rPr>
          <w:b/>
        </w:rPr>
        <w:t>¿caída?</w:t>
      </w:r>
      <w:r>
        <w:t>.</w:t>
      </w:r>
    </w:p>
    <w:p>
      <w:pPr>
        <w:pStyle w:val="ListBullet"/>
      </w:pPr>
      <w:r>
        <w:rPr>
          <w:b/>
        </w:rPr>
        <w:t>normal</w:t>
      </w:r>
      <w:r>
        <w:t xml:space="preserve"> — </w:t>
      </w:r>
      <w:r>
        <w:rPr>
          <w:i/>
        </w:rPr>
        <w:t>lejos y sin actividad</w:t>
      </w:r>
      <w:r>
        <w:t>.</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296177"/>
            <wp:docPr id="15" name="Picture 15"/>
            <wp:cNvGraphicFramePr>
              <a:graphicFrameLocks noChangeAspect="1"/>
            </wp:cNvGraphicFramePr>
            <a:graphic>
              <a:graphicData uri="http://schemas.openxmlformats.org/drawingml/2006/picture">
                <pic:pic>
                  <pic:nvPicPr>
                    <pic:cNvPr id="0" name="07_analisis_contexto.png"/>
                    <pic:cNvPicPr/>
                  </pic:nvPicPr>
                  <pic:blipFill>
                    <a:blip r:embed="rId23"/>
                    <a:stretch>
                      <a:fillRect/>
                    </a:stretch>
                  </pic:blipFill>
                  <pic:spPr>
                    <a:xfrm>
                      <a:off x="0" y="0"/>
                      <a:ext cx="5486400" cy="3296177"/>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296177"/>
            <wp:docPr id="16" name="Picture 16"/>
            <wp:cNvGraphicFramePr>
              <a:graphicFrameLocks noChangeAspect="1"/>
            </wp:cNvGraphicFramePr>
            <a:graphic>
              <a:graphicData uri="http://schemas.openxmlformats.org/drawingml/2006/picture">
                <pic:pic>
                  <pic:nvPicPr>
                    <pic:cNvPr id="0" name="08_analisis_resultados.png"/>
                    <pic:cNvPicPr/>
                  </pic:nvPicPr>
                  <pic:blipFill>
                    <a:blip r:embed="rId24"/>
                    <a:stretch>
                      <a:fillRect/>
                    </a:stretch>
                  </pic:blipFill>
                  <pic:spPr>
                    <a:xfrm>
                      <a:off x="0" y="0"/>
                      <a:ext cx="5486400" cy="3296177"/>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cuántas estaciones cercanas son </w:t>
      </w:r>
      <w:r>
        <w:rPr>
          <w:i/>
        </w:rPr>
        <w:t>con actividad</w:t>
      </w:r>
      <w:r>
        <w:t xml:space="preserve"> (</w:t>
      </w:r>
      <w:r>
        <w:rPr>
          <w:b/>
        </w:rPr>
        <w:t>no se usó</w:t>
      </w:r>
      <w:r>
        <w:t xml:space="preserve">) y cuántas </w:t>
      </w:r>
      <w:r>
        <w:rPr>
          <w:i/>
        </w:rPr>
        <w:t>sin actividad</w:t>
      </w:r>
      <w:r>
        <w:t xml:space="preserve"> (</w:t>
      </w:r>
      <w:r>
        <w:rPr>
          <w:b/>
        </w:rPr>
        <w:t>¿caída?</w:t>
      </w:r>
      <w:r>
        <w:t>).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La carpeta es siempre la misma: no se puede elegir otra. Al descargar, la app pregunta el nombre y el formato:</w:t>
      </w:r>
    </w:p>
    <w:p>
      <w:pPr>
        <w:jc w:val="center"/>
      </w:pPr>
      <w:r>
        <w:drawing>
          <wp:inline xmlns:a="http://schemas.openxmlformats.org/drawingml/2006/main" xmlns:pic="http://schemas.openxmlformats.org/drawingml/2006/picture">
            <wp:extent cx="5486400" cy="3454912"/>
            <wp:docPr id="17" name="Picture 17"/>
            <wp:cNvGraphicFramePr>
              <a:graphicFrameLocks noChangeAspect="1"/>
            </wp:cNvGraphicFramePr>
            <a:graphic>
              <a:graphicData uri="http://schemas.openxmlformats.org/drawingml/2006/picture">
                <pic:pic>
                  <pic:nvPicPr>
                    <pic:cNvPr id="0" name="13_formato_descarga.png"/>
                    <pic:cNvPicPr/>
                  </pic:nvPicPr>
                  <pic:blipFill>
                    <a:blip r:embed="rId25"/>
                    <a:stretch>
                      <a:fillRect/>
                    </a:stretch>
                  </pic:blipFill>
                  <pic:spPr>
                    <a:xfrm>
                      <a:off x="0" y="0"/>
                      <a:ext cx="5486400" cy="3454912"/>
                    </a:xfrm>
                    <a:prstGeom prst="rect"/>
                  </pic:spPr>
                </pic:pic>
              </a:graphicData>
            </a:graphic>
          </wp:inline>
        </w:drawing>
      </w:r>
    </w:p>
    <w:p>
      <w:pPr>
        <w:jc w:val="center"/>
      </w:pPr>
      <w:r>
        <w:rPr>
          <w:i/>
          <w:sz w:val="18"/>
        </w:rPr>
        <w:t>Descarga: nombre y formato</w:t>
      </w:r>
    </w:p>
    <w:p>
      <w:pPr>
        <w:pStyle w:val="ListBullet"/>
      </w:pPr>
      <w:r>
        <w:rPr>
          <w:b/>
        </w:rPr>
        <w:t>Nombre</w:t>
      </w:r>
      <w:r>
        <w:t>: viene propuesto uno con la fecha y la hora; se puede escribir el</w:t>
      </w:r>
    </w:p>
    <w:p>
      <w:r>
        <w:t>que uno quiera. La extensión no se escribe a mano: la pone el formato.</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Si ya hay un archivo con ese nombre, la app pregunta si se quiere sobrescribir. Si se contesta que no, el diálogo sigue abierto para cambiar el nombre. Nunca se pisa un archivo sin preguntar.</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r>
        <w:t xml:space="preserve">En </w:t>
      </w:r>
      <w:r>
        <w:rPr>
          <w:b/>
        </w:rPr>
        <w:t>Comparar agencias → Comparación</w:t>
      </w:r>
      <w:r>
        <w:t xml:space="preserve"> se bajan varios archivos de una vez: el nombre que se elige es la base, y cada archivo agrega su sufijo (</w:t>
      </w:r>
      <w:r>
        <w:rPr>
          <w:rFonts w:ascii="Consolas" w:hAnsi="Consolas"/>
          <w:sz w:val="18"/>
        </w:rPr>
        <w:t>_larga</w:t>
      </w:r>
      <w:r>
        <w:t xml:space="preserve"> para la comparación larga, </w:t>
      </w:r>
      <w:r>
        <w:rPr>
          <w:rFonts w:ascii="Consolas" w:hAnsi="Consolas"/>
          <w:sz w:val="18"/>
        </w:rPr>
        <w:t>_cobertura</w:t>
      </w:r>
      <w:r>
        <w:t xml:space="preserve"> para la cobertura).</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Actividad ±24 h</w:t>
            </w:r>
          </w:p>
        </w:tc>
        <w:tc>
          <w:tcPr>
            <w:tcW w:type="dxa" w:w="4320"/>
          </w:tcPr>
          <w:p>
            <w:r/>
            <w:r>
              <w:t xml:space="preserve">Cuántos </w:t>
            </w:r>
            <w:r>
              <w:rPr>
                <w:i/>
              </w:rPr>
              <w:t>otros</w:t>
            </w:r>
            <w:r>
              <w:t xml:space="preserve"> eventos picó esa estación entre 24 h antes y 24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Destacadas</w:t>
            </w:r>
          </w:p>
        </w:tc>
        <w:tc>
          <w:tcPr>
            <w:tcW w:type="dxa" w:w="4320"/>
          </w:tcPr>
          <w:p>
            <w:r/>
            <w:r>
              <w:t xml:space="preserve">Estaciones cercanas </w:t>
            </w:r>
            <w:r>
              <w:rPr>
                <w:b/>
              </w:rPr>
              <w:t>y</w:t>
            </w:r>
            <w:r>
              <w:t xml:space="preserve"> con actividad que </w:t>
            </w:r>
            <w:r>
              <w:rPr>
                <w:b/>
              </w:rPr>
              <w:t>no</w:t>
            </w:r>
            <w:r>
              <w:t xml:space="preserve"> se usaron en la solución.</w:t>
            </w:r>
          </w:p>
        </w:tc>
      </w:tr>
      <w:tr>
        <w:tc>
          <w:tcPr>
            <w:tcW w:type="dxa" w:w="4320"/>
          </w:tcPr>
          <w:p>
            <w:r/>
            <w:r>
              <w:rPr>
                <w:b/>
              </w:rPr>
              <w:t>Cercanas</w:t>
            </w:r>
          </w:p>
        </w:tc>
        <w:tc>
          <w:tcPr>
            <w:tcW w:type="dxa" w:w="4320"/>
          </w:tcPr>
          <w:p>
            <w:r/>
            <w:r>
              <w:t>Estaciones cercanas sin actividad (posible caída).</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Categoría del evento en el análisis (según las estaciones cercanas).</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Actividad ±24 h</w:t>
      </w:r>
      <w:r>
        <w:t xml:space="preserve">: cuántos </w:t>
      </w:r>
      <w:r>
        <w:rPr>
          <w:i/>
        </w:rPr>
        <w:t>otros</w:t>
      </w:r>
      <w:r>
        <w:t xml:space="preserve"> eventos picó esa estación dentro de las</w:t>
      </w:r>
    </w:p>
    <w:p>
      <w:r>
        <w:t>24 h anteriores y posteriores al origen. Indicador indirecto de que estaba operando.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