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1.15 — 25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1.14,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Las pestañas de catálogo</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rPr>
          <w:b/>
        </w:rPr>
        <w:t>En cinco pasos:</w:t>
      </w:r>
      <w:r>
        <w:t xml:space="preserve"> solicitar los catálogos, procesarlos, revisar los eventos dudosos o faltantes, usar la información para decidir acciones sobre la publicación y descargar los entregables. RCS informa y ordena; no publica, corrige ni despublica por sí sola.</w:t>
      </w:r>
    </w:p>
    <w:p>
      <w:pPr>
        <w:jc w:val="center"/>
      </w:pPr>
      <w:r>
        <w:drawing>
          <wp:inline xmlns:a="http://schemas.openxmlformats.org/drawingml/2006/main" xmlns:pic="http://schemas.openxmlformats.org/drawingml/2006/picture">
            <wp:extent cx="5486400" cy="5956370"/>
            <wp:docPr id="1" name="Picture 1"/>
            <wp:cNvGraphicFramePr>
              <a:graphicFrameLocks noChangeAspect="1"/>
            </wp:cNvGraphicFramePr>
            <a:graphic>
              <a:graphicData uri="http://schemas.openxmlformats.org/drawingml/2006/picture">
                <pic:pic>
                  <pic:nvPicPr>
                    <pic:cNvPr id="0" name="10_flujo_general.png"/>
                    <pic:cNvPicPr/>
                  </pic:nvPicPr>
                  <pic:blipFill>
                    <a:blip r:embed="rId9"/>
                    <a:stretch>
                      <a:fillRect/>
                    </a:stretch>
                  </pic:blipFill>
                  <pic:spPr>
                    <a:xfrm>
                      <a:off x="0" y="0"/>
                      <a:ext cx="5486400" cy="5956370"/>
                    </a:xfrm>
                    <a:prstGeom prst="rect"/>
                  </pic:spPr>
                </pic:pic>
              </a:graphicData>
            </a:graphic>
          </wp:inline>
        </w:drawing>
      </w:r>
    </w:p>
    <w:p>
      <w:pPr>
        <w:jc w:val="center"/>
      </w:pPr>
      <w:r>
        <w:rPr>
          <w:i/>
          <w:sz w:val="18"/>
        </w:rPr>
        <w:t>RCS en 5 pasos</w:t>
      </w:r>
    </w:p>
    <w:p>
      <w:r>
        <w:t xml:space="preserve">El siguiente mapa resume </w:t>
      </w:r>
      <w:r>
        <w:rPr>
          <w:b/>
        </w:rPr>
        <w:t>qué hace el sistema y dónde está cada cosa</w:t>
      </w:r>
      <w:r>
        <w:t xml:space="preserve"> (barra lateral, pestañas y ventanas):</w:t>
      </w:r>
    </w:p>
    <w:p>
      <w:pPr>
        <w:jc w:val="center"/>
      </w:pPr>
      <w:r>
        <w:drawing>
          <wp:inline xmlns:a="http://schemas.openxmlformats.org/drawingml/2006/main" xmlns:pic="http://schemas.openxmlformats.org/drawingml/2006/picture">
            <wp:extent cx="5486400" cy="3670735"/>
            <wp:docPr id="2" name="Picture 2"/>
            <wp:cNvGraphicFramePr>
              <a:graphicFrameLocks noChangeAspect="1"/>
            </wp:cNvGraphicFramePr>
            <a:graphic>
              <a:graphicData uri="http://schemas.openxmlformats.org/drawingml/2006/picture">
                <pic:pic>
                  <pic:nvPicPr>
                    <pic:cNvPr id="0" name="09_mapa_funcional.png"/>
                    <pic:cNvPicPr/>
                  </pic:nvPicPr>
                  <pic:blipFill>
                    <a:blip r:embed="rId10"/>
                    <a:stretch>
                      <a:fillRect/>
                    </a:stretch>
                  </pic:blipFill>
                  <pic:spPr>
                    <a:xfrm>
                      <a:off x="0" y="0"/>
                      <a:ext cx="5486400" cy="3670735"/>
                    </a:xfrm>
                    <a:prstGeom prst="rect"/>
                  </pic:spPr>
                </pic:pic>
              </a:graphicData>
            </a:graphic>
          </wp:inline>
        </w:drawing>
      </w:r>
    </w:p>
    <w:p>
      <w:pPr>
        <w:jc w:val="center"/>
      </w:pPr>
      <w:r>
        <w:rPr>
          <w:i/>
          <w:sz w:val="18"/>
        </w:rPr>
        <w:t>Mapa funcional de RCS</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3" name="Picture 3"/>
            <wp:cNvGraphicFramePr>
              <a:graphicFrameLocks noChangeAspect="1"/>
            </wp:cNvGraphicFramePr>
            <a:graphic>
              <a:graphicData uri="http://schemas.openxmlformats.org/drawingml/2006/picture">
                <pic:pic>
                  <pic:nvPicPr>
                    <pic:cNvPr id="0" name="01_solicitud.png"/>
                    <pic:cNvPicPr/>
                  </pic:nvPicPr>
                  <pic:blipFill>
                    <a:blip r:embed="rId11"/>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4" name="Picture 4"/>
            <wp:cNvGraphicFramePr>
              <a:graphicFrameLocks noChangeAspect="1"/>
            </wp:cNvGraphicFramePr>
            <a:graphic>
              <a:graphicData uri="http://schemas.openxmlformats.org/drawingml/2006/picture">
                <pic:pic>
                  <pic:nvPicPr>
                    <pic:cNvPr id="0" name="02_principal.png"/>
                    <pic:cNvPicPr/>
                  </pic:nvPicPr>
                  <pic:blipFill>
                    <a:blip r:embed="rId12"/>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 Pacífico Sur Oriental —incluida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Arriba, la tabla con los informes de repeticiones por fuente y filtro (amplio y estricto). Al elegir uno, abajo se muestra </w:t>
      </w:r>
      <w:r>
        <w:rPr>
          <w:b/>
        </w:rPr>
        <w:t>como tabla ordenable</w:t>
      </w:r>
      <w:r>
        <w:t xml:space="preserve">: clic en el encabezado ordena, «Filtrar» acota por texto y </w:t>
      </w:r>
      <w:r>
        <w:rPr>
          <w:b/>
        </w:rPr>
        <w:t>«Descargar»</w:t>
      </w:r>
      <w:r>
        <w:t xml:space="preserve"> baja lo filtrado mientras </w:t>
      </w:r>
      <w:r>
        <w:rPr>
          <w:b/>
        </w:rPr>
        <w:t>«Descargar todo»</w:t>
      </w:r>
      <w:r>
        <w:t xml:space="preserve"> baja el informe completo (en CSV o TXT, con el nombre que se elija). Con una fila seleccionada, </w:t>
      </w:r>
      <w:r>
        <w:rPr>
          <w:b/>
        </w:rPr>
        <w:t>«Abrir en sismologia.cl»</w:t>
      </w:r>
      <w:r>
        <w:t xml:space="preserve"> abre en el navegador el catálogo diario correspondiente a la fecha del evento. En los repetidos publicados (eventquery), que no traen responsable, se agregan dos columnas </w:t>
      </w:r>
      <w:r>
        <w:rPr>
          <w:b/>
        </w:rPr>
        <w:t>«Analista probable (Seisan)»</w:t>
      </w:r>
      <w:r>
        <w:t xml:space="preserve"> y </w:t>
      </w:r>
      <w:r>
        <w:rPr>
          <w:b/>
        </w:rPr>
        <w:t>«Analista probable (SeisComp)»</w:t>
      </w:r>
      <w:r>
        <w:t>, deducidas cruzando cada evento con esas fuentes como en el catálogo:</w:t>
      </w:r>
    </w:p>
    <w:p>
      <w:pPr>
        <w:jc w:val="center"/>
      </w:pPr>
      <w:r>
        <w:drawing>
          <wp:inline xmlns:a="http://schemas.openxmlformats.org/drawingml/2006/main" xmlns:pic="http://schemas.openxmlformats.org/drawingml/2006/picture">
            <wp:extent cx="5486400" cy="2493818"/>
            <wp:docPr id="5" name="Picture 5"/>
            <wp:cNvGraphicFramePr>
              <a:graphicFrameLocks noChangeAspect="1"/>
            </wp:cNvGraphicFramePr>
            <a:graphic>
              <a:graphicData uri="http://schemas.openxmlformats.org/drawingml/2006/picture">
                <pic:pic>
                  <pic:nvPicPr>
                    <pic:cNvPr id="0" name="11_repetidos.png"/>
                    <pic:cNvPicPr/>
                  </pic:nvPicPr>
                  <pic:blipFill>
                    <a:blip r:embed="rId13"/>
                    <a:stretch>
                      <a:fillRect/>
                    </a:stretch>
                  </pic:blipFill>
                  <pic:spPr>
                    <a:xfrm>
                      <a:off x="0" y="0"/>
                      <a:ext cx="5486400" cy="2493818"/>
                    </a:xfrm>
                    <a:prstGeom prst="rect"/>
                  </pic:spPr>
                </pic:pic>
              </a:graphicData>
            </a:graphic>
          </wp:inline>
        </w:drawing>
      </w:r>
    </w:p>
    <w:p>
      <w:pPr>
        <w:jc w:val="center"/>
      </w:pPr>
      <w:r>
        <w:rPr>
          <w:i/>
          <w:sz w:val="18"/>
        </w:rPr>
        <w:t>Ventana de eventos repetidos</w:t>
      </w:r>
    </w:p>
    <w:p>
      <w:r>
        <w:t xml:space="preserve">La ventana crece al abrirse y al cambiar de informe para mostrar las columnas del informe elegido. Si no entra en la pantalla, use la barra horizontal. Cada informe se lee una sola vez: al volver a uno ya abierto se reutiliza la tabla (con su filtro y orden) y solo se relee si el </w:t>
      </w:r>
      <w:r>
        <w:rPr>
          <w:rFonts w:ascii="Consolas" w:hAnsi="Consolas"/>
          <w:sz w:val="18"/>
        </w:rPr>
        <w:t>.txt</w:t>
      </w:r>
      <w:r>
        <w:t xml:space="preserve"> cambió.</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2785887"/>
            <wp:docPr id="6" name="Picture 6"/>
            <wp:cNvGraphicFramePr>
              <a:graphicFrameLocks noChangeAspect="1"/>
            </wp:cNvGraphicFramePr>
            <a:graphic>
              <a:graphicData uri="http://schemas.openxmlformats.org/drawingml/2006/picture">
                <pic:pic>
                  <pic:nvPicPr>
                    <pic:cNvPr id="0" name="10_no_publicados.png"/>
                    <pic:cNvPicPr/>
                  </pic:nvPicPr>
                  <pic:blipFill>
                    <a:blip r:embed="rId14"/>
                    <a:stretch>
                      <a:fillRect/>
                    </a:stretch>
                  </pic:blipFill>
                  <pic:spPr>
                    <a:xfrm>
                      <a:off x="0" y="0"/>
                      <a:ext cx="5486400" cy="2785887"/>
                    </a:xfrm>
                    <a:prstGeom prst="rect"/>
                  </pic:spPr>
                </pic:pic>
              </a:graphicData>
            </a:graphic>
          </wp:inline>
        </w:drawing>
      </w:r>
    </w:p>
    <w:p>
      <w:pPr>
        <w:jc w:val="center"/>
      </w:pPr>
      <w:r>
        <w:rPr>
          <w:i/>
          <w:sz w:val="18"/>
        </w:rPr>
        <w:t>Ventana de no publicados</w:t>
      </w:r>
    </w:p>
    <w:p>
      <w:r>
        <w:t>La ventana crece al abrirse y al cambiar de fuente para mostrar todas sus columnas. Si no entra en la pantalla, use la barra horizontal.</w:t>
      </w:r>
    </w:p>
    <w:p>
      <w:r>
        <w:t xml:space="preserve">Sobre la tabla hay una leyenda con el resumen de los estados y el botón </w:t>
      </w:r>
      <w:r>
        <w:rPr>
          <w:b/>
        </w:rPr>
        <w:t>«Criterios de clasificación»</w:t>
      </w:r>
      <w:r>
        <w:t>, que abre el detalle de cada uno, los umbrales de confirmación/revisión y el significado de las columnas de cruce.</w:t>
      </w:r>
    </w:p>
    <w:p>
      <w:r>
        <w:t xml:space="preserve">Un evento puede no aparecer publicado según una fuente y, aun así, ser el mismo sismo que la otra fuente sí publicó: las dos entregan su localización, pero el catálogo público terminó usando una de las dos. Para no tener que adivinarlo, el listado agrega cinco columnas y </w:t>
      </w:r>
      <w:r>
        <w:rPr>
          <w:b/>
        </w:rPr>
        <w:t>no elimina ni reclasifica ningún evento</w:t>
      </w:r>
      <w:r>
        <w:t>:</w:t>
      </w:r>
    </w:p>
    <w:p>
      <w:pPr>
        <w:pStyle w:val="ListBullet"/>
      </w:pPr>
      <w:r>
        <w:rPr>
          <w:b/>
        </w:rPr>
        <w:t>«Publicado en»</w:t>
      </w:r>
      <w:r>
        <w:t xml:space="preserve">: </w:t>
      </w:r>
      <w:r>
        <w:rPr>
          <w:rFonts w:ascii="Consolas" w:hAnsi="Consolas"/>
          <w:sz w:val="18"/>
        </w:rPr>
        <w:t>Seisan</w:t>
      </w:r>
      <w:r>
        <w:t xml:space="preserve"> o </w:t>
      </w:r>
      <w:r>
        <w:rPr>
          <w:rFonts w:ascii="Consolas" w:hAnsi="Consolas"/>
          <w:sz w:val="18"/>
        </w:rPr>
        <w:t>SeisComp</w:t>
      </w:r>
      <w:r>
        <w:t xml:space="preserve"> solo cuando la otra fuente tiene una</w:t>
      </w:r>
    </w:p>
    <w:p>
      <w:r>
        <w:t>solución publicada del mismo sismo y es la única candidata; vacío en el resto de los casos.</w:t>
      </w:r>
    </w:p>
    <w:p>
      <w:pPr>
        <w:pStyle w:val="ListBullet"/>
      </w:pPr>
      <w:r>
        <w:rPr>
          <w:b/>
        </w:rPr>
        <w:t>«Estado»</w:t>
      </w:r>
      <w:r>
        <w:t>: explica qué ocurrió:</w:t>
      </w:r>
    </w:p>
    <w:p>
      <w:pPr>
        <w:pStyle w:val="ListBullet2"/>
      </w:pPr>
      <w:r>
        <w:rPr>
          <w:rFonts w:ascii="Consolas" w:hAnsi="Consolas"/>
          <w:sz w:val="18"/>
        </w:rPr>
        <w:t>Publicado en Seisan</w:t>
      </w:r>
      <w:r>
        <w:t xml:space="preserve"> / </w:t>
      </w:r>
      <w:r>
        <w:rPr>
          <w:rFonts w:ascii="Consolas" w:hAnsi="Consolas"/>
          <w:sz w:val="18"/>
        </w:rPr>
        <w:t>Publicado en SeisComp</w:t>
      </w:r>
      <w:r>
        <w:t>: coincidencia confiable.</w:t>
      </w:r>
    </w:p>
    <w:p>
      <w:pPr>
        <w:pStyle w:val="ListBullet2"/>
      </w:pPr>
      <w:r>
        <w:rPr>
          <w:rFonts w:ascii="Consolas" w:hAnsi="Consolas"/>
          <w:sz w:val="18"/>
        </w:rPr>
        <w:t>Ambiguo: N candidatos en ...</w:t>
      </w:r>
      <w:r>
        <w:t>: hay varias soluciones publicadas cerca; no</w:t>
      </w:r>
    </w:p>
    <w:p>
      <w:r>
        <w:t>se puede afirmar cuál corresponde. Es habitual en zonas con eventos agrupados o fases superpuestas.</w:t>
      </w:r>
    </w:p>
    <w:p>
      <w:pPr>
        <w:pStyle w:val="ListBullet2"/>
      </w:pPr>
      <w:r>
        <w:rPr>
          <w:rFonts w:ascii="Consolas" w:hAnsi="Consolas"/>
          <w:sz w:val="18"/>
        </w:rPr>
        <w:t>Candidato en ...</w:t>
      </w:r>
      <w:r>
        <w:t>: hay una solución cercana, pero fuera de la ventana de</w:t>
      </w:r>
    </w:p>
    <w:p>
      <w:r>
        <w:t>confirmación; requiere revisión manual.</w:t>
      </w:r>
    </w:p>
    <w:p>
      <w:pPr>
        <w:pStyle w:val="ListBullet2"/>
      </w:pPr>
      <w:r>
        <w:rPr>
          <w:rFonts w:ascii="Consolas" w:hAnsi="Consolas"/>
          <w:sz w:val="18"/>
        </w:rPr>
        <w:t>Sin coincidencia</w:t>
      </w:r>
      <w:r>
        <w:t>: la otra fuente tiene datos y la comparación está</w:t>
      </w:r>
    </w:p>
    <w:p>
      <w:r>
        <w:t>vigente, pero no hay ninguna solución publicada cerca.</w:t>
      </w:r>
    </w:p>
    <w:p>
      <w:pPr>
        <w:pStyle w:val="ListBullet2"/>
      </w:pPr>
      <w:r>
        <w:rPr>
          <w:rFonts w:ascii="Consolas" w:hAnsi="Consolas"/>
          <w:sz w:val="18"/>
        </w:rPr>
        <w:t>No evaluable: sin datos de Seisan/SeisComp en la ventana</w:t>
      </w:r>
      <w:r>
        <w:t>: la otra fuente</w:t>
      </w:r>
    </w:p>
    <w:p>
      <w:r>
        <w:t>no tiene eventos en ese período.</w:t>
      </w:r>
    </w:p>
    <w:p>
      <w:pPr>
        <w:pStyle w:val="ListBullet2"/>
      </w:pPr>
      <w:r>
        <w:rPr>
          <w:rFonts w:ascii="Consolas" w:hAnsi="Consolas"/>
          <w:sz w:val="18"/>
        </w:rPr>
        <w:t>No evaluable: atribución o comparación ... desactualizada</w:t>
      </w:r>
      <w:r>
        <w:t>: el análisis</w:t>
      </w:r>
    </w:p>
    <w:p>
      <w:r>
        <w:t>cruzado no está al día.</w:t>
      </w:r>
    </w:p>
    <w:p>
      <w:pPr>
        <w:pStyle w:val="ListBullet2"/>
      </w:pPr>
      <w:r>
        <w:rPr>
          <w:rFonts w:ascii="Consolas" w:hAnsi="Consolas"/>
          <w:sz w:val="18"/>
        </w:rPr>
        <w:t>No evaluable: no se comparó ...</w:t>
      </w:r>
      <w:r>
        <w:t>: falta la comparación de esa fuente.</w:t>
      </w:r>
    </w:p>
    <w:p>
      <w:pPr>
        <w:pStyle w:val="ListBullet"/>
      </w:pPr>
      <w:r>
        <w:rPr>
          <w:b/>
        </w:rPr>
        <w:t>«Δt otra fuente (s)»</w:t>
      </w:r>
      <w:r>
        <w:t>: diferencia de hora con el candidato elegido.</w:t>
      </w:r>
    </w:p>
    <w:p>
      <w:pPr>
        <w:pStyle w:val="ListBullet"/>
      </w:pPr>
      <w:r>
        <w:rPr>
          <w:b/>
        </w:rPr>
        <w:t>«Dist. otra fuente (km)»</w:t>
      </w:r>
      <w:r>
        <w:t>: distancia con el candidato elegido.</w:t>
      </w:r>
    </w:p>
    <w:p>
      <w:pPr>
        <w:pStyle w:val="ListBullet"/>
      </w:pPr>
      <w:r>
        <w:rPr>
          <w:b/>
        </w:rPr>
        <w:t>«Analista otra fuente»</w:t>
      </w:r>
      <w:r>
        <w:t>: analista de esa solución.</w:t>
      </w:r>
    </w:p>
    <w:p>
      <w:pPr>
        <w:pStyle w:val="ListBullet"/>
      </w:pPr>
      <w:r>
        <w:rPr>
          <w:b/>
        </w:rPr>
        <w:t>«Frontera»</w:t>
      </w:r>
      <w:r>
        <w:t>: país y distancia a la frontera terrestre chilena más cercana</w:t>
      </w:r>
    </w:p>
    <w:p>
      <w:r>
        <w:t>(</w:t>
      </w:r>
      <w:r>
        <w:rPr>
          <w:rFonts w:ascii="Consolas" w:hAnsi="Consolas"/>
          <w:sz w:val="18"/>
        </w:rPr>
        <w:t>Perú — 34.9 km</w:t>
      </w:r>
      <w:r>
        <w:t xml:space="preserve">, </w:t>
      </w:r>
      <w:r>
        <w:rPr>
          <w:rFonts w:ascii="Consolas" w:hAnsi="Consolas"/>
          <w:sz w:val="18"/>
        </w:rPr>
        <w:t>Bolivia — 183.0 km</w:t>
      </w:r>
      <w:r>
        <w:t xml:space="preserve">, </w:t>
      </w:r>
      <w:r>
        <w:rPr>
          <w:rFonts w:ascii="Consolas" w:hAnsi="Consolas"/>
          <w:sz w:val="18"/>
        </w:rPr>
        <w:t>Argentina — 101.1 km</w:t>
      </w:r>
      <w:r>
        <w:t xml:space="preserve">). Muestra </w:t>
      </w:r>
      <w:r>
        <w:rPr>
          <w:rFonts w:ascii="Consolas" w:hAnsi="Consolas"/>
          <w:sz w:val="18"/>
        </w:rPr>
        <w:t>—</w:t>
      </w:r>
      <w:r>
        <w:t xml:space="preserve"> cuando el evento está dentro de Chile, en mar chileno (aproximado a 200 millas náuticas de la costa) o no tiene coordenadas. Se calcula solo para mostrar el dato: la app no publica ni despublica nada sola.</w:t>
      </w:r>
    </w:p>
    <w:p>
      <w:r>
        <w:t xml:space="preserve">La confirmación usa </w:t>
      </w:r>
      <w:r>
        <w:rPr>
          <w:b/>
        </w:rPr>
        <w:t>|Δt| ≤ 6 s</w:t>
      </w:r>
      <w:r>
        <w:t xml:space="preserve"> y </w:t>
      </w:r>
      <w:r>
        <w:rPr>
          <w:b/>
        </w:rPr>
        <w:t>|Δlat|, |Δlon| ≤ 0,5°</w:t>
      </w:r>
      <w:r>
        <w:t xml:space="preserve">, y exige una sola solución candidata. La revisión usa </w:t>
      </w:r>
      <w:r>
        <w:rPr>
          <w:b/>
        </w:rPr>
        <w:t>120 s / 2°</w:t>
      </w:r>
      <w:r>
        <w:t xml:space="preserve"> y solo avisa: nunca marca un evento como publicado. Se descarta una atribución que sea más vieja que su catálogo local, para no usar datos de una corrida anterior. Las columnas también salen en las descargas y viajan al JSON del panel de «No publicados», así que el listado y el panel muestran la misma información.</w:t>
      </w:r>
    </w:p>
    <w:p>
      <w:r>
        <w:t xml:space="preserve">Si </w:t>
      </w:r>
      <w:r>
        <w:rPr>
          <w:b/>
        </w:rPr>
        <w:t>eventquery</w:t>
      </w:r>
      <w:r>
        <w:t xml:space="preserve"> no tiene eventos en la ventana, los listados de no publicados no se generan: sin catálogo publicado no hay contra qué comparar. La app muestra el catálogo como </w:t>
      </w:r>
      <w:r>
        <w:rPr>
          <w:rFonts w:ascii="Consolas" w:hAnsi="Consolas"/>
          <w:sz w:val="18"/>
        </w:rPr>
        <w:t>⚠ sin datos</w:t>
      </w:r>
      <w:r>
        <w:t xml:space="preserve"> y avisa el motivo. Lo mismo ocurre con Seisan o SeisComp cuando su archivo de la ventana solo trae encabezado.</w:t>
      </w:r>
    </w:p>
    <w:p>
      <w:pPr>
        <w:pStyle w:val="ListBullet"/>
      </w:pPr>
      <w:r>
        <w:rPr>
          <w:b/>
        </w:rPr>
        <w:t>«Filtrar»</w:t>
      </w:r>
      <w:r>
        <w:t xml:space="preserve"> + </w:t>
      </w:r>
      <w:r>
        <w:rPr>
          <w:b/>
        </w:rPr>
        <w:t>«Aplicar»</w:t>
      </w:r>
      <w:r>
        <w:t xml:space="preserve"> (o Enter): filtra el listado por texto libre</w:t>
      </w:r>
    </w:p>
    <w:p>
      <w:r>
        <w:t>(busca en todas las columnas). No se aplica al escribir.</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pStyle w:val="ListBullet"/>
      </w:pPr>
      <w:r>
        <w:rPr>
          <w:b/>
        </w:rPr>
        <w:t>«Abrir en sismologia.cl»</w:t>
      </w:r>
      <w:r>
        <w:t>: con una fila seleccionada, abre en el navegador</w:t>
      </w:r>
    </w:p>
    <w:p>
      <w:r>
        <w:t>el catálogo diario del evento (</w:t>
      </w:r>
      <w:r>
        <w:rPr>
          <w:rFonts w:ascii="Consolas" w:hAnsi="Consolas"/>
          <w:sz w:val="18"/>
        </w:rPr>
        <w:t>.../catalogo/AAAA/MM/AAAAMMDD.html</w:t>
      </w:r>
      <w:r>
        <w:t>), usando la fecha local de «Fecha y hora».</w:t>
      </w:r>
    </w:p>
    <w:p>
      <w:pPr>
        <w:pStyle w:val="ListBullet"/>
      </w:pPr>
      <w:r>
        <w:rPr>
          <w:b/>
        </w:rPr>
        <w:t>Vista nacional</w:t>
      </w:r>
      <w:r>
        <w:t>: al seleccionar una fila, el panel derecho ubica el evento</w:t>
      </w:r>
    </w:p>
    <w:p>
      <w:r>
        <w:t>en un mapa de todo el país con un margen de 3° en latitud y longitud. No hace zoom sobre el evento: sirve para ver de inmediato si está dentro del territorio nacional. Solo se dibuja el evento seleccionado. La rueda del mouse acerca o aleja alrededor del cursor; arrastrar mueve el mapa; «Centrar» recupera el evento sin cambiar el zoom y «Restablecer» vuelve a la vista nacional completa. También están los botones «+» y «−».</w:t>
      </w:r>
    </w:p>
    <w:p>
      <w:pPr>
        <w:pStyle w:val="ListBullet"/>
      </w:pPr>
      <w:r>
        <w:t xml:space="preserve">Sobre el mapa, </w:t>
      </w:r>
      <w:r>
        <w:rPr>
          <w:b/>
        </w:rPr>
        <w:t>Frontera más cercana</w:t>
      </w:r>
      <w:r>
        <w:t xml:space="preserve"> muestra el país y la distancia del</w:t>
      </w:r>
    </w:p>
    <w:p>
      <w:r>
        <w:t xml:space="preserve">evento seleccionado a la frontera terrestre chilena; </w:t>
      </w:r>
      <w:r>
        <w:rPr>
          <w:rFonts w:ascii="Consolas" w:hAnsi="Consolas"/>
          <w:sz w:val="18"/>
        </w:rPr>
        <w:t>—</w:t>
      </w:r>
      <w:r>
        <w:t xml:space="preserve"> si está dentro de Chile, en mar chileno o no tiene coordenadas.</w:t>
      </w:r>
    </w:p>
    <w:p>
      <w:pPr>
        <w:pStyle w:val="ListBullet"/>
      </w:pPr>
      <w:r>
        <w:t>Las columnas del listado se ajustan al contenido de cada dato y conservan los</w:t>
      </w:r>
    </w:p>
    <w:p>
      <w:r>
        <w:t>rótulos completos de los encabezados.</w:t>
      </w:r>
    </w:p>
    <w:p>
      <w:pPr>
        <w:jc w:val="center"/>
      </w:pPr>
      <w:r>
        <w:drawing>
          <wp:inline xmlns:a="http://schemas.openxmlformats.org/drawingml/2006/main" xmlns:pic="http://schemas.openxmlformats.org/drawingml/2006/picture">
            <wp:extent cx="5486400" cy="2728570"/>
            <wp:docPr id="7" name="Picture 7"/>
            <wp:cNvGraphicFramePr>
              <a:graphicFrameLocks noChangeAspect="1"/>
            </wp:cNvGraphicFramePr>
            <a:graphic>
              <a:graphicData uri="http://schemas.openxmlformats.org/drawingml/2006/picture">
                <pic:pic>
                  <pic:nvPicPr>
                    <pic:cNvPr id="0" name="14_plot_evento.png"/>
                    <pic:cNvPicPr/>
                  </pic:nvPicPr>
                  <pic:blipFill>
                    <a:blip r:embed="rId15"/>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 xml:space="preserve">. Para cada magnitud se muestra también su </w:t>
      </w:r>
      <w:r>
        <w:rPr>
          <w:b/>
        </w:rPr>
        <w:t>tipo</w:t>
      </w:r>
      <w:r>
        <w:t xml:space="preserve"> (</w:t>
      </w:r>
      <w:r>
        <w:rPr>
          <w:rFonts w:ascii="Consolas" w:hAnsi="Consolas"/>
          <w:sz w:val="18"/>
        </w:rPr>
        <w:t>ML</w:t>
      </w:r>
      <w:r>
        <w:t xml:space="preserve">, </w:t>
      </w:r>
      <w:r>
        <w:rPr>
          <w:rFonts w:ascii="Consolas" w:hAnsi="Consolas"/>
          <w:sz w:val="18"/>
        </w:rPr>
        <w:t>MLv</w:t>
      </w:r>
      <w:r>
        <w:t xml:space="preserve">, etc.), tanto en la solución de la fuente como en la publicada. Tiene un filtro por texto que se aplica con </w:t>
      </w:r>
      <w:r>
        <w:rPr>
          <w:b/>
        </w:rPr>
        <w:t>«Aplicar»</w:t>
      </w:r>
      <w:r>
        <w:t xml:space="preserve"> (o Enter), no al escribir:</w:t>
      </w:r>
    </w:p>
    <w:p>
      <w:pPr>
        <w:jc w:val="center"/>
      </w:pPr>
      <w:r>
        <w:drawing>
          <wp:inline xmlns:a="http://schemas.openxmlformats.org/drawingml/2006/main" xmlns:pic="http://schemas.openxmlformats.org/drawingml/2006/picture">
            <wp:extent cx="5486400" cy="1653436"/>
            <wp:docPr id="8" name="Picture 8"/>
            <wp:cNvGraphicFramePr>
              <a:graphicFrameLocks noChangeAspect="1"/>
            </wp:cNvGraphicFramePr>
            <a:graphic>
              <a:graphicData uri="http://schemas.openxmlformats.org/drawingml/2006/picture">
                <pic:pic>
                  <pic:nvPicPr>
                    <pic:cNvPr id="0" name="09_no_actualizados.png"/>
                    <pic:cNvPicPr/>
                  </pic:nvPicPr>
                  <pic:blipFill>
                    <a:blip r:embed="rId16"/>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Después de </w:t>
      </w:r>
      <w:r>
        <w:rPr>
          <w:b/>
        </w:rPr>
        <w:t>Analista</w:t>
      </w:r>
      <w:r>
        <w:t xml:space="preserve"> hay dos columnas para priorizar la revisión:</w:t>
      </w:r>
    </w:p>
    <w:p>
      <w:pPr>
        <w:pStyle w:val="ListBullet"/>
      </w:pPr>
      <w:r>
        <w:rPr>
          <w:b/>
        </w:rPr>
        <w:t>Publicación probable</w:t>
      </w:r>
      <w:r>
        <w:t>: qué fuente parece haber publicado el evento.</w:t>
      </w:r>
    </w:p>
    <w:p>
      <w:r>
        <w:rPr>
          <w:rFonts w:ascii="Consolas" w:hAnsi="Consolas"/>
          <w:sz w:val="18"/>
        </w:rPr>
        <w:t>Esta fuente</w:t>
      </w:r>
      <w:r>
        <w:t xml:space="preserve"> (solo esta fuente tiene candidata o está claramente más cerca), </w:t>
      </w:r>
      <w:r>
        <w:rPr>
          <w:rFonts w:ascii="Consolas" w:hAnsi="Consolas"/>
          <w:sz w:val="18"/>
        </w:rPr>
        <w:t>Compartida</w:t>
      </w:r>
      <w:r>
        <w:t xml:space="preserve"> (ambas están igual de cerca), </w:t>
      </w:r>
      <w:r>
        <w:rPr>
          <w:rFonts w:ascii="Consolas" w:hAnsi="Consolas"/>
          <w:sz w:val="18"/>
        </w:rPr>
        <w:t>Otra fuente</w:t>
      </w:r>
      <w:r>
        <w:t xml:space="preserve"> (la otra está claramente más cerca), </w:t>
      </w:r>
      <w:r>
        <w:rPr>
          <w:rFonts w:ascii="Consolas" w:hAnsi="Consolas"/>
          <w:sz w:val="18"/>
        </w:rPr>
        <w:t>Duplicado público</w:t>
      </w:r>
      <w:r>
        <w:t xml:space="preserve"> (el catálogo publicado repite el sismo) o </w:t>
      </w:r>
      <w:r>
        <w:rPr>
          <w:rFonts w:ascii="Consolas" w:hAnsi="Consolas"/>
          <w:sz w:val="18"/>
        </w:rPr>
        <w:t>No evaluable</w:t>
      </w:r>
      <w:r>
        <w:t xml:space="preserve"> (falta o venció la atribución de la otra fuente).</w:t>
      </w:r>
    </w:p>
    <w:p>
      <w:pPr>
        <w:pStyle w:val="ListBullet"/>
      </w:pPr>
      <w:r>
        <w:rPr>
          <w:b/>
        </w:rPr>
        <w:t>Revisión</w:t>
      </w:r>
      <w:r>
        <w:t xml:space="preserve">: prioridad para revisar: </w:t>
      </w:r>
      <w:r>
        <w:rPr>
          <w:b/>
        </w:rPr>
        <w:t>Alta</w:t>
      </w:r>
      <w:r>
        <w:t xml:space="preserve">, </w:t>
      </w:r>
      <w:r>
        <w:rPr>
          <w:b/>
        </w:rPr>
        <w:t>Media</w:t>
      </w:r>
      <w:r>
        <w:t xml:space="preserve">, </w:t>
      </w:r>
      <w:r>
        <w:rPr>
          <w:b/>
        </w:rPr>
        <w:t>Baja</w:t>
      </w:r>
      <w:r>
        <w:t xml:space="preserve"> o </w:t>
      </w:r>
      <w:r>
        <w:rPr>
          <w:b/>
        </w:rPr>
        <w:t>—</w:t>
      </w:r>
    </w:p>
    <w:p>
      <w:r>
        <w:t>cuando no se puede evaluar. Se ordena por esa prioridad, no alfabéticamente.</w:t>
      </w:r>
    </w:p>
    <w:p>
      <w:r>
        <w:t xml:space="preserve">El botón </w:t>
      </w:r>
      <w:r>
        <w:rPr>
          <w:b/>
        </w:rPr>
        <w:t>«Criterios de clasificación»</w:t>
      </w:r>
      <w:r>
        <w:t xml:space="preserve">, sobre la tabla, resume estas reglas. La clasificación es probabilística por cercanía y no reemplaza la comparación numérica de los parámetros: se calcula al abrir el listado con las atribuciones crudas de ambas fuentes y no se agrega a los CSV de </w:t>
      </w:r>
      <w:r>
        <w:rPr>
          <w:rFonts w:ascii="Consolas" w:hAnsi="Consolas"/>
          <w:sz w:val="18"/>
        </w:rPr>
        <w:t>compara.py</w:t>
      </w:r>
      <w:r>
        <w:t>.</w:t>
      </w:r>
    </w:p>
    <w:p>
      <w:r>
        <w:t xml:space="preserve">Al seleccionar una fila, sobre la tabla se muestra </w:t>
      </w:r>
      <w:r>
        <w:rPr>
          <w:b/>
        </w:rPr>
        <w:t>Frontera local</w:t>
      </w:r>
      <w:r>
        <w:t xml:space="preserve"> y </w:t>
      </w:r>
      <w:r>
        <w:rPr>
          <w:b/>
        </w:rPr>
        <w:t>Frontera publicada</w:t>
      </w:r>
      <w:r>
        <w:t xml:space="preserve">, con el país y la distancia de cada ubicación a la frontera terrestre chilena. Si una de las dos está en mar chileno, esa parte muestra </w:t>
      </w:r>
      <w:r>
        <w:rPr>
          <w:rFonts w:ascii="Consolas" w:hAnsi="Consolas"/>
          <w:sz w:val="18"/>
        </w:rPr>
        <w:t>—</w:t>
      </w:r>
      <w:r>
        <w:t>. Así el analista puede decidir si el evento publicado corresponde o no, sin agregar dos columnas más a la tabla. RCS solo entrega el dato: no publica, corrige ni despublica.</w:t>
      </w:r>
    </w:p>
    <w:p>
      <w:r>
        <w:t>La ventana crece al abrirse y al cambiar de fuente para mostrar todas sus columnas. Si no entra en la pantalla, use la barra horizontal.</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9" name="Picture 9"/>
            <wp:cNvGraphicFramePr>
              <a:graphicFrameLocks noChangeAspect="1"/>
            </wp:cNvGraphicFramePr>
            <a:graphic>
              <a:graphicData uri="http://schemas.openxmlformats.org/drawingml/2006/picture">
                <pic:pic>
                  <pic:nvPicPr>
                    <pic:cNvPr id="0" name="15_comparacion.png"/>
                    <pic:cNvPicPr/>
                  </pic:nvPicPr>
                  <pic:blipFill>
                    <a:blip r:embed="rId17"/>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 xml:space="preserve">). La viñeta y la descarga incluyen </w:t>
      </w:r>
      <w:r>
        <w:rPr>
          <w:b/>
        </w:rPr>
        <w:t>Publicación probable</w:t>
      </w:r>
      <w:r>
        <w:t xml:space="preserve"> y </w:t>
      </w:r>
      <w:r>
        <w:rPr>
          <w:b/>
        </w:rPr>
        <w:t>Revisión</w:t>
      </w:r>
      <w:r>
        <w:t xml:space="preserve">. En este panel aparece además el filtro </w:t>
      </w:r>
      <w:r>
        <w:rPr>
          <w:b/>
        </w:rPr>
        <w:t>«Solo alta prioridad»</w:t>
      </w:r>
      <w:r>
        <w:t xml:space="preserve">: deja los perfiles con al menos un evento de revisión </w:t>
      </w:r>
      <w:r>
        <w:rPr>
          <w:b/>
        </w:rPr>
        <w:t>Alta</w:t>
      </w:r>
      <w:r>
        <w:t xml:space="preserve">. </w:t>
      </w:r>
      <w:r>
        <w:rPr>
          <w:b/>
        </w:rPr>
        <w:t>«Inicio»</w:t>
      </w:r>
      <w:r>
        <w:t xml:space="preserve"> lo apaga junto con «Solo sospechosos», y </w:t>
      </w:r>
      <w:r>
        <w:rPr>
          <w:b/>
        </w:rPr>
        <w:t>«Criterios de clasificación»</w:t>
      </w:r>
      <w:r>
        <w:t xml:space="preserve"> abre la misma ayuda del listado.</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 Pacífico Sur Oriental —incluida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10" name="Picture 10"/>
            <wp:cNvGraphicFramePr>
              <a:graphicFrameLocks noChangeAspect="1"/>
            </wp:cNvGraphicFramePr>
            <a:graphic>
              <a:graphicData uri="http://schemas.openxmlformats.org/drawingml/2006/picture">
                <pic:pic>
                  <pic:nvPicPr>
                    <pic:cNvPr id="0" name="12_panel_analisis.png"/>
                    <pic:cNvPicPr/>
                  </pic:nvPicPr>
                  <pic:blipFill>
                    <a:blip r:embed="rId18"/>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Las pestañas de catálogo</w:t>
      </w:r>
    </w:p>
    <w:p>
      <w:r>
        <w:t xml:space="preserve">La ventana </w:t>
      </w:r>
      <w:r>
        <w:rPr>
          <w:b/>
        </w:rPr>
        <w:t>«Catálogos»</w:t>
      </w:r>
      <w:r>
        <w:t xml:space="preserve"> (barra lateral) tiene una pestaña por fuente: </w:t>
      </w:r>
      <w:r>
        <w:rPr>
          <w:b/>
        </w:rPr>
        <w:t>SeisComp</w:t>
      </w:r>
      <w:r>
        <w:t xml:space="preserve">, </w:t>
      </w:r>
      <w:r>
        <w:rPr>
          <w:b/>
        </w:rPr>
        <w:t>Seisan</w:t>
      </w:r>
      <w:r>
        <w:t xml:space="preserve"> y </w:t>
      </w:r>
      <w:r>
        <w:rPr>
          <w:b/>
        </w:rPr>
        <w:t>eventquery</w:t>
      </w:r>
      <w:r>
        <w:t xml:space="preserve">. En las tres, la lista comparte la ventana con una </w:t>
      </w:r>
      <w:r>
        <w:rPr>
          <w:b/>
        </w:rPr>
        <w:t>miniatura del perfil</w:t>
      </w:r>
      <w:r>
        <w:t xml:space="preserve"> del evento seleccionado: al elegir una fila —con el mouse o con las flechas del teclado— la miniatura se redibuja con el perfil de ese evento. La miniatura usa el mismo perfil del panel de análisis, con los ejes comparables, y para un evento sin perfil asignado (fuera de cobertura o sin coordenadas o profundidad) muestra un aviso en lugar del dibujo.</w:t>
      </w:r>
    </w:p>
    <w:p>
      <w:r>
        <w:t xml:space="preserve">La casilla </w:t>
      </w:r>
      <w:r>
        <w:rPr>
          <w:b/>
        </w:rPr>
        <w:t>«Sismicidad histórica»</w:t>
      </w:r>
      <w:r>
        <w:t xml:space="preserve"> de la barra superior agrega o quita el fondo de sismicidad histórica en la miniatura. Afecta </w:t>
      </w:r>
      <w:r>
        <w:rPr>
          <w:b/>
        </w:rPr>
        <w:t>solo</w:t>
      </w:r>
      <w:r>
        <w:t xml:space="preserve"> a la miniatura (las ventanas de detalle siempre traen el fondo) y es independiente en cada pestaña.</w:t>
      </w:r>
    </w:p>
    <w:p>
      <w:r>
        <w:t xml:space="preserve">Los filtros de texto, magnitud y coordenadas </w:t>
      </w:r>
      <w:r>
        <w:rPr>
          <w:b/>
        </w:rPr>
        <w:t>no se aplican al escribir</w:t>
      </w:r>
      <w:r>
        <w:t xml:space="preserve">: se escriben y se aplican con el botón </w:t>
      </w:r>
      <w:r>
        <w:rPr>
          <w:b/>
        </w:rPr>
        <w:t>«Aplicar»</w:t>
      </w:r>
      <w:r>
        <w:t xml:space="preserve"> (o Enter en cualquier casilla). Así, con catálogos grandes, no se reconstruye la tabla en cada tecla. El botón </w:t>
      </w:r>
      <w:r>
        <w:rPr>
          <w:b/>
        </w:rPr>
        <w:t>«Mostrar todo»</w:t>
      </w:r>
      <w:r>
        <w:t>, junto a «Aplicar», borra todos los filtros y vuelve a listar el contenido completo; mantiene el orden actual.</w:t>
      </w:r>
    </w:p>
    <w:p>
      <w:pPr>
        <w:pStyle w:val="Heading3"/>
      </w:pPr>
      <w:r>
        <w:t>Pestaña de SeisComp</w:t>
      </w:r>
    </w:p>
    <w:p>
      <w:pPr>
        <w:jc w:val="center"/>
      </w:pPr>
      <w:r>
        <w:drawing>
          <wp:inline xmlns:a="http://schemas.openxmlformats.org/drawingml/2006/main" xmlns:pic="http://schemas.openxmlformats.org/drawingml/2006/picture">
            <wp:extent cx="5486400" cy="2372497"/>
            <wp:docPr id="11" name="Picture 11"/>
            <wp:cNvGraphicFramePr>
              <a:graphicFrameLocks noChangeAspect="1"/>
            </wp:cNvGraphicFramePr>
            <a:graphic>
              <a:graphicData uri="http://schemas.openxmlformats.org/drawingml/2006/picture">
                <pic:pic>
                  <pic:nvPicPr>
                    <pic:cNvPr id="0" name="03_catalogo_seiscomp.png"/>
                    <pic:cNvPicPr/>
                  </pic:nvPicPr>
                  <pic:blipFill>
                    <a:blip r:embed="rId19"/>
                    <a:stretch>
                      <a:fillRect/>
                    </a:stretch>
                  </pic:blipFill>
                  <pic:spPr>
                    <a:xfrm>
                      <a:off x="0" y="0"/>
                      <a:ext cx="5486400" cy="2372497"/>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xml:space="preserve"> (o Enter): aplica los filtros anteriores.</w:t>
      </w:r>
    </w:p>
    <w:p>
      <w:pPr>
        <w:pStyle w:val="ListBullet"/>
      </w:pPr>
      <w:r>
        <w:rPr>
          <w:b/>
        </w:rPr>
        <w:t>«Mostrar todo»</w:t>
      </w:r>
      <w:r>
        <w:t>: limpia los filtros y vuelve a listar todo el contenido.</w:t>
      </w:r>
    </w:p>
    <w:p>
      <w:pPr>
        <w:pStyle w:val="ListBullet"/>
      </w:pPr>
      <w:r>
        <w:rPr>
          <w:b/>
        </w:rPr>
        <w:t>«Sismicidad histórica»</w:t>
      </w:r>
      <w:r>
        <w:t>: agrega o quita ese fondo en la miniatura.</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Pestañas de Seisan y eventquery</w:t>
      </w:r>
    </w:p>
    <w:p>
      <w:pPr>
        <w:jc w:val="center"/>
      </w:pPr>
      <w:r>
        <w:drawing>
          <wp:inline xmlns:a="http://schemas.openxmlformats.org/drawingml/2006/main" xmlns:pic="http://schemas.openxmlformats.org/drawingml/2006/picture">
            <wp:extent cx="5486400" cy="2477729"/>
            <wp:docPr id="12" name="Picture 12"/>
            <wp:cNvGraphicFramePr>
              <a:graphicFrameLocks noChangeAspect="1"/>
            </wp:cNvGraphicFramePr>
            <a:graphic>
              <a:graphicData uri="http://schemas.openxmlformats.org/drawingml/2006/picture">
                <pic:pic>
                  <pic:nvPicPr>
                    <pic:cNvPr id="0" name="03b_catalogo_seisan.png"/>
                    <pic:cNvPicPr/>
                  </pic:nvPicPr>
                  <pic:blipFill>
                    <a:blip r:embed="rId20"/>
                    <a:stretch>
                      <a:fillRect/>
                    </a:stretch>
                  </pic:blipFill>
                  <pic:spPr>
                    <a:xfrm>
                      <a:off x="0" y="0"/>
                      <a:ext cx="5486400" cy="2477729"/>
                    </a:xfrm>
                    <a:prstGeom prst="rect"/>
                  </pic:spPr>
                </pic:pic>
              </a:graphicData>
            </a:graphic>
          </wp:inline>
        </w:drawing>
      </w:r>
    </w:p>
    <w:p>
      <w:pPr>
        <w:jc w:val="center"/>
      </w:pPr>
      <w:r>
        <w:rPr>
          <w:i/>
          <w:sz w:val="18"/>
        </w:rPr>
        <w:t>Catálogo de Seisan</w:t>
      </w:r>
    </w:p>
    <w:p>
      <w:r>
        <w:t xml:space="preserve">Son listados simples (sin detalle de llegadas), con su propio filtro por texto, magnitud mínima y coordenadas (también con </w:t>
      </w:r>
      <w:r>
        <w:rPr>
          <w:b/>
        </w:rPr>
        <w:t>«Aplicar»</w:t>
      </w:r>
      <w:r>
        <w:t xml:space="preserve"> o Enter), y la misma casilla </w:t>
      </w:r>
      <w:r>
        <w:rPr>
          <w:b/>
        </w:rPr>
        <w:t>«Sismicidad histórica»</w:t>
      </w:r>
      <w:r>
        <w:t xml:space="preserve"> para la miniatura.</w:t>
      </w:r>
    </w:p>
    <w:p>
      <w:pPr>
        <w:pStyle w:val="Heading3"/>
      </w:pPr>
      <w:r>
        <w:t>Abrir un evento</w:t>
      </w:r>
    </w:p>
    <w:p>
      <w:r>
        <w:t>El detalle del evento abre aparte, y difiere según la fuente:</w:t>
      </w:r>
    </w:p>
    <w:p>
      <w:pPr>
        <w:pStyle w:val="ListBullet"/>
      </w:pPr>
      <w:r>
        <w:t xml:space="preserve">En </w:t>
      </w:r>
      <w:r>
        <w:rPr>
          <w:b/>
        </w:rPr>
        <w:t>SeisComp</w:t>
      </w:r>
      <w:r>
        <w:t xml:space="preserve">, al hacer </w:t>
      </w:r>
      <w:r>
        <w:rPr>
          <w:b/>
        </w:rPr>
        <w:t>doble clic</w:t>
      </w:r>
      <w:r>
        <w:t xml:space="preserve"> en una fila (o Enter con la fila</w:t>
      </w:r>
    </w:p>
    <w:p>
      <w:r>
        <w:t xml:space="preserve">elegida) se abren los </w:t>
      </w:r>
      <w:r>
        <w:rPr>
          <w:b/>
        </w:rPr>
        <w:t>Parámetros del evento</w:t>
      </w:r>
      <w:r>
        <w:t xml:space="preserve"> en una ventana aparte, que se reutiliza al cambiar de evento y </w:t>
      </w:r>
      <w:r>
        <w:rPr>
          <w:b/>
        </w:rPr>
        <w:t>no bloquea</w:t>
      </w:r>
      <w:r>
        <w:t xml:space="preserve"> la lista. Desde ahí, el botón </w:t>
      </w:r>
      <w:r>
        <w:rPr>
          <w:b/>
        </w:rPr>
        <w:t>«Planta y perfil»</w:t>
      </w:r>
      <w:r>
        <w:t xml:space="preserve"> plotea la vista en planta y el perfil del evento.</w:t>
      </w:r>
    </w:p>
    <w:p>
      <w:pPr>
        <w:pStyle w:val="ListBullet"/>
      </w:pPr>
      <w:r>
        <w:t xml:space="preserve">En </w:t>
      </w:r>
      <w:r>
        <w:rPr>
          <w:b/>
        </w:rPr>
        <w:t>Seisan</w:t>
      </w:r>
      <w:r>
        <w:t xml:space="preserve"> y </w:t>
      </w:r>
      <w:r>
        <w:rPr>
          <w:b/>
        </w:rPr>
        <w:t>eventquery</w:t>
      </w:r>
      <w:r>
        <w:t>, que no tienen esa ventana de parámetros, el</w:t>
      </w:r>
    </w:p>
    <w:p>
      <w:r>
        <w:rPr>
          <w:b/>
        </w:rPr>
        <w:t>doble clic</w:t>
      </w:r>
      <w:r>
        <w:t xml:space="preserve"> (o Enter) plotea directamente planta + perfil del evento.</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3" name="Picture 13"/>
            <wp:cNvGraphicFramePr>
              <a:graphicFrameLocks noChangeAspect="1"/>
            </wp:cNvGraphicFramePr>
            <a:graphic>
              <a:graphicData uri="http://schemas.openxmlformats.org/drawingml/2006/picture">
                <pic:pic>
                  <pic:nvPicPr>
                    <pic:cNvPr id="0" name="04_parametros_evento.png"/>
                    <pic:cNvPicPr/>
                  </pic:nvPicPr>
                  <pic:blipFill>
                    <a:blip r:embed="rId21"/>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 y </w:t>
      </w:r>
      <w:r>
        <w:rPr>
          <w:b/>
        </w:rPr>
        <w:t>«Planta y perfil»</w:t>
      </w:r>
      <w:r>
        <w:t xml:space="preserve"> plotea la vista en planta y el perfil del evento en una ventana nueva.</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w:t>
      </w:r>
    </w:p>
    <w:p>
      <w:pPr>
        <w:pStyle w:val="ListBullet"/>
      </w:pPr>
      <w:r>
        <w:rPr>
          <w:b/>
        </w:rPr>
        <w:t>Rojo y negrita</w:t>
      </w:r>
      <w:r>
        <w:t>: pick manual usado en la solución.</w:t>
      </w:r>
    </w:p>
    <w:p>
      <w:pPr>
        <w:pStyle w:val="ListBullet"/>
      </w:pPr>
      <w:r>
        <w:rPr>
          <w:b/>
        </w:rPr>
        <w:t>Ámbar</w:t>
      </w:r>
      <w:r>
        <w:t>: pick manual no usado.</w:t>
      </w:r>
    </w:p>
    <w:p>
      <w:pPr>
        <w:pStyle w:val="ListBullet"/>
      </w:pPr>
      <w:r>
        <w:rPr>
          <w:b/>
        </w:rPr>
        <w:t>Sin resaltado</w:t>
      </w:r>
      <w:r>
        <w:t>: pick automático.</w:t>
      </w:r>
    </w:p>
    <w:p>
      <w:r>
        <w:t xml:space="preserve">La leyenda sobre la tabla lo recuerda y aclara que el color indica la procedencia del </w:t>
      </w:r>
      <w:r>
        <w:rPr>
          <w:i/>
        </w:rPr>
        <w:t>pick</w:t>
      </w:r>
      <w:r>
        <w:t>, no su calidad:</w:t>
      </w:r>
    </w:p>
    <w:p>
      <w:pPr>
        <w:jc w:val="center"/>
      </w:pPr>
      <w:r>
        <w:drawing>
          <wp:inline xmlns:a="http://schemas.openxmlformats.org/drawingml/2006/main" xmlns:pic="http://schemas.openxmlformats.org/drawingml/2006/picture">
            <wp:extent cx="5486400" cy="2978331"/>
            <wp:docPr id="14" name="Picture 14"/>
            <wp:cNvGraphicFramePr>
              <a:graphicFrameLocks noChangeAspect="1"/>
            </wp:cNvGraphicFramePr>
            <a:graphic>
              <a:graphicData uri="http://schemas.openxmlformats.org/drawingml/2006/picture">
                <pic:pic>
                  <pic:nvPicPr>
                    <pic:cNvPr id="0" name="05_estaciones_con_arribos.png"/>
                    <pic:cNvPicPr/>
                  </pic:nvPicPr>
                  <pic:blipFill>
                    <a:blip r:embed="rId22"/>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5" name="Picture 15"/>
            <wp:cNvGraphicFramePr>
              <a:graphicFrameLocks noChangeAspect="1"/>
            </wp:cNvGraphicFramePr>
            <a:graphic>
              <a:graphicData uri="http://schemas.openxmlformats.org/drawingml/2006/picture">
                <pic:pic>
                  <pic:nvPicPr>
                    <pic:cNvPr id="0" name="06_estaciones_sin_arribos.png"/>
                    <pic:cNvPicPr/>
                  </pic:nvPicPr>
                  <pic:blipFill>
                    <a:blip r:embed="rId23"/>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«Indicio ±2 h»</w:t>
      </w:r>
      <w:r>
        <w:t xml:space="preserve"> es solo un indicador indirecto: cuenta otros eventos que esa estación picó entre 2 h antes y 2 h después del origen (4 h en total). Un 0 no prueba que la estación estuviera caída.  La columna </w:t>
      </w:r>
      <w:r>
        <w:rPr>
          <w:b/>
        </w:rPr>
        <w:t>«Formas de onda»</w:t>
      </w:r>
      <w:r>
        <w:t xml:space="preserve">, con el botón </w:t>
      </w:r>
      <w:r>
        <w:rPr>
          <w:b/>
        </w:rPr>
        <w:t>«Consultar formas de onda»</w:t>
      </w:r>
      <w:r>
        <w:t xml:space="preserve">, sí consulta las ondas: revisa el archivo SDS y, si no las encuentra, el flujo de tiempo real y los demás streams vigentes de la estación. Si aparece </w:t>
      </w:r>
      <w:r>
        <w:rPr>
          <w:b/>
        </w:rPr>
        <w:t>SDS</w:t>
      </w:r>
      <w:r>
        <w:t xml:space="preserve"> o </w:t>
      </w:r>
      <w:r>
        <w:rPr>
          <w:b/>
        </w:rPr>
        <w:t>Tiempo real</w:t>
      </w:r>
      <w:r>
        <w:t xml:space="preserve">, la estación estaba grabando y no se usó; </w:t>
      </w:r>
      <w:r>
        <w:rPr>
          <w:b/>
        </w:rPr>
        <w:t>Sin datos</w:t>
      </w:r>
      <w:r>
        <w:t xml:space="preserve"> indica que no se encontraron ondas en ninguno de los dos.  Mientras consulta se muestra una </w:t>
      </w:r>
      <w:r>
        <w:rPr>
          <w:b/>
        </w:rPr>
        <w:t>barra de progreso</w:t>
      </w:r>
      <w:r>
        <w:t xml:space="preserve"> y la fase en curso («SDS…», «tiempo real…») con los segundos transcurridos; el botón y la descarga quedan deshabilitados hasta que termina. Puede tardar hasta ~40 s si tiene que pasar por las dos fuentes.  La columna </w:t>
      </w:r>
      <w:r>
        <w:rPr>
          <w:b/>
        </w:rPr>
        <w:t>«Evidencia»</w:t>
      </w:r>
      <w:r>
        <w:t xml:space="preserve"> resume la diferencia entre </w:t>
      </w:r>
      <w:r>
        <w:rPr>
          <w:b/>
        </w:rPr>
        <w:t>certeza</w:t>
      </w:r>
      <w:r>
        <w:t xml:space="preserve"> y </w:t>
      </w:r>
      <w:r>
        <w:rPr>
          <w:b/>
        </w:rPr>
        <w:t>deducción</w:t>
      </w:r>
      <w:r>
        <w:t xml:space="preserve">: </w:t>
      </w:r>
      <w:r>
        <w:rPr>
          <w:b/>
        </w:rPr>
        <w:t>Verificado (SDS/tiempo real)</w:t>
      </w:r>
      <w:r>
        <w:t xml:space="preserve"> = hay ondas; </w:t>
      </w:r>
      <w:r>
        <w:rPr>
          <w:b/>
        </w:rPr>
        <w:t>Indicio (actividad)</w:t>
      </w:r>
      <w:r>
        <w:t xml:space="preserve"> = solo picó otros eventos; </w:t>
      </w:r>
      <w:r>
        <w:rPr>
          <w:b/>
        </w:rPr>
        <w:t>Sin evidencia</w:t>
      </w:r>
      <w:r>
        <w:t xml:space="preserve"> = se miraron las ondas y no hay, ni actividad; </w:t>
      </w:r>
      <w:r>
        <w:rPr>
          <w:b/>
        </w:rPr>
        <w:t>Sin consultar</w:t>
      </w:r>
      <w:r>
        <w:t xml:space="preserve"> = todavía no se consultaron.  </w:t>
      </w:r>
      <w:r>
        <w:rPr>
          <w:b/>
        </w:rPr>
        <w:t>Pasá el mouse por una estación</w:t>
      </w:r>
      <w:r>
        <w:t xml:space="preserve"> para ver su evidencia en detalle y, si está verificada, la cobertura de las formas de onda.</w:t>
      </w:r>
    </w:p>
    <w:p>
      <w:r>
        <w:t>El resaltado cruza el umbral de distancia con la evidencia:</w:t>
      </w:r>
    </w:p>
    <w:p>
      <w:pPr>
        <w:pStyle w:val="ListBullet"/>
      </w:pPr>
      <w:r>
        <w:rPr>
          <w:b/>
        </w:rPr>
        <w:t>fondo verde</w:t>
      </w:r>
      <w:r>
        <w:t xml:space="preserve"> — </w:t>
      </w:r>
      <w:r>
        <w:rPr>
          <w:i/>
        </w:rPr>
        <w:t xml:space="preserve">cerca </w:t>
      </w:r>
      <w:r>
        <w:rPr>
          <w:i/>
        </w:rPr>
        <w:t>y</w:t>
      </w:r>
      <w:r>
        <w:rPr>
          <w:i/>
        </w:rPr>
        <w:t xml:space="preserve"> verificado con ondas</w:t>
      </w:r>
      <w:r>
        <w:t>: estaba grabando cerca y</w:t>
      </w:r>
    </w:p>
    <w:p>
      <w:r>
        <w:rPr>
          <w:b/>
        </w:rPr>
        <w:t>no se usó</w:t>
      </w:r>
      <w:r>
        <w:t xml:space="preserve"> en la solución (certeza, posible pérdida de calidad).</w:t>
      </w:r>
    </w:p>
    <w:p>
      <w:pPr>
        <w:pStyle w:val="ListBullet"/>
      </w:pPr>
      <w:r>
        <w:rPr>
          <w:b/>
        </w:rPr>
        <w:t>fondo ámbar</w:t>
      </w:r>
      <w:r>
        <w:t xml:space="preserve"> — </w:t>
      </w:r>
      <w:r>
        <w:rPr>
          <w:i/>
        </w:rPr>
        <w:t xml:space="preserve">cerca </w:t>
      </w:r>
      <w:r>
        <w:rPr>
          <w:i/>
        </w:rPr>
        <w:t>y</w:t>
      </w:r>
      <w:r>
        <w:rPr>
          <w:i/>
        </w:rPr>
        <w:t xml:space="preserve"> con indicio por actividad</w:t>
      </w:r>
      <w:r>
        <w:t>: probablemente</w:t>
      </w:r>
    </w:p>
    <w:p>
      <w:r>
        <w:t>operaba, pero es una deducción, no una prueba.</w:t>
      </w:r>
    </w:p>
    <w:p>
      <w:pPr>
        <w:pStyle w:val="ListBullet"/>
      </w:pPr>
      <w:r>
        <w:rPr>
          <w:b/>
        </w:rPr>
        <w:t>negrita</w:t>
      </w:r>
      <w:r>
        <w:t xml:space="preserve"> — </w:t>
      </w:r>
      <w:r>
        <w:rPr>
          <w:i/>
        </w:rPr>
        <w:t xml:space="preserve">cerca </w:t>
      </w:r>
      <w:r>
        <w:rPr>
          <w:i/>
        </w:rPr>
        <w:t>y</w:t>
      </w:r>
      <w:r>
        <w:rPr>
          <w:i/>
        </w:rPr>
        <w:t xml:space="preserve"> sin evidencia</w:t>
      </w:r>
      <w:r>
        <w:t xml:space="preserve">: </w:t>
      </w:r>
      <w:r>
        <w:rPr>
          <w:b/>
        </w:rPr>
        <w:t>¿caída?</w:t>
      </w:r>
      <w:r>
        <w:t>.</w:t>
      </w:r>
    </w:p>
    <w:p>
      <w:pPr>
        <w:pStyle w:val="ListBullet"/>
      </w:pPr>
      <w:r>
        <w:rPr>
          <w:b/>
        </w:rPr>
        <w:t>normal</w:t>
      </w:r>
      <w:r>
        <w:t xml:space="preserve"> — </w:t>
      </w:r>
      <w:r>
        <w:rPr>
          <w:i/>
        </w:rPr>
        <w:t>lejos</w:t>
      </w:r>
      <w:r>
        <w:t xml:space="preserve">, o </w:t>
      </w:r>
      <w:r>
        <w:rPr>
          <w:i/>
        </w:rPr>
        <w:t>sin consultar</w:t>
      </w:r>
      <w:r>
        <w:t xml:space="preserve"> (use «Consultar formas de onda»).</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100122"/>
            <wp:docPr id="16" name="Picture 16"/>
            <wp:cNvGraphicFramePr>
              <a:graphicFrameLocks noChangeAspect="1"/>
            </wp:cNvGraphicFramePr>
            <a:graphic>
              <a:graphicData uri="http://schemas.openxmlformats.org/drawingml/2006/picture">
                <pic:pic>
                  <pic:nvPicPr>
                    <pic:cNvPr id="0" name="07_analisis_contexto.png"/>
                    <pic:cNvPicPr/>
                  </pic:nvPicPr>
                  <pic:blipFill>
                    <a:blip r:embed="rId24"/>
                    <a:stretch>
                      <a:fillRect/>
                    </a:stretch>
                  </pic:blipFill>
                  <pic:spPr>
                    <a:xfrm>
                      <a:off x="0" y="0"/>
                      <a:ext cx="5486400" cy="3100122"/>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100122"/>
            <wp:docPr id="17" name="Picture 17"/>
            <wp:cNvGraphicFramePr>
              <a:graphicFrameLocks noChangeAspect="1"/>
            </wp:cNvGraphicFramePr>
            <a:graphic>
              <a:graphicData uri="http://schemas.openxmlformats.org/drawingml/2006/picture">
                <pic:pic>
                  <pic:nvPicPr>
                    <pic:cNvPr id="0" name="08_analisis_resultados.png"/>
                    <pic:cNvPicPr/>
                  </pic:nvPicPr>
                  <pic:blipFill>
                    <a:blip r:embed="rId25"/>
                    <a:stretch>
                      <a:fillRect/>
                    </a:stretch>
                  </pic:blipFill>
                  <pic:spPr>
                    <a:xfrm>
                      <a:off x="0" y="0"/>
                      <a:ext cx="5486400" cy="3100122"/>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tres contadores de estaciones cercanas: </w:t>
      </w:r>
      <w:r>
        <w:rPr>
          <w:b/>
        </w:rPr>
        <w:t>Verificadas</w:t>
      </w:r>
      <w:r>
        <w:t xml:space="preserve"> (hay ondas), </w:t>
      </w:r>
      <w:r>
        <w:rPr>
          <w:b/>
        </w:rPr>
        <w:t>Indicios</w:t>
      </w:r>
      <w:r>
        <w:t xml:space="preserve"> (solo actividad ±2 h) y </w:t>
      </w:r>
      <w:r>
        <w:rPr>
          <w:b/>
        </w:rPr>
        <w:t>Sin evid.</w:t>
      </w:r>
      <w:r>
        <w:t xml:space="preserve"> (ni ondas ni actividad; posible caída).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La carpeta es siempre la misma: no se puede elegir otra. Al descargar, la app pregunta el nombre y el formato:</w:t>
      </w:r>
    </w:p>
    <w:p>
      <w:pPr>
        <w:jc w:val="center"/>
      </w:pPr>
      <w:r>
        <w:drawing>
          <wp:inline xmlns:a="http://schemas.openxmlformats.org/drawingml/2006/main" xmlns:pic="http://schemas.openxmlformats.org/drawingml/2006/picture">
            <wp:extent cx="5486400" cy="3454912"/>
            <wp:docPr id="18" name="Picture 18"/>
            <wp:cNvGraphicFramePr>
              <a:graphicFrameLocks noChangeAspect="1"/>
            </wp:cNvGraphicFramePr>
            <a:graphic>
              <a:graphicData uri="http://schemas.openxmlformats.org/drawingml/2006/picture">
                <pic:pic>
                  <pic:nvPicPr>
                    <pic:cNvPr id="0" name="13_formato_descarga.png"/>
                    <pic:cNvPicPr/>
                  </pic:nvPicPr>
                  <pic:blipFill>
                    <a:blip r:embed="rId26"/>
                    <a:stretch>
                      <a:fillRect/>
                    </a:stretch>
                  </pic:blipFill>
                  <pic:spPr>
                    <a:xfrm>
                      <a:off x="0" y="0"/>
                      <a:ext cx="5486400" cy="3454912"/>
                    </a:xfrm>
                    <a:prstGeom prst="rect"/>
                  </pic:spPr>
                </pic:pic>
              </a:graphicData>
            </a:graphic>
          </wp:inline>
        </w:drawing>
      </w:r>
    </w:p>
    <w:p>
      <w:pPr>
        <w:jc w:val="center"/>
      </w:pPr>
      <w:r>
        <w:rPr>
          <w:i/>
          <w:sz w:val="18"/>
        </w:rPr>
        <w:t>Descarga: nombre y formato</w:t>
      </w:r>
    </w:p>
    <w:p>
      <w:pPr>
        <w:pStyle w:val="ListBullet"/>
      </w:pPr>
      <w:r>
        <w:rPr>
          <w:b/>
        </w:rPr>
        <w:t>Nombre</w:t>
      </w:r>
      <w:r>
        <w:t>: viene propuesto uno con la fecha y la hora; se puede escribir el</w:t>
      </w:r>
    </w:p>
    <w:p>
      <w:r>
        <w:t>que uno quiera. La extensión no se escribe a mano: la pone el formato.</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Si ya hay un archivo con ese nombre, la app pregunta si se quiere sobrescribir. Si se contesta que no, el diálogo sigue abierto para cambiar el nombre. Nunca se pisa un archivo sin preguntar.</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r>
        <w:t xml:space="preserve">En los listados de eventos —catálogos, No publicados, No actualizados, Repetidos, Análisis rápido y Comparación de agencias— cada fila tiene una casilla. Las filas marcadas se conservan al filtrar u ordenar y </w:t>
      </w:r>
      <w:r>
        <w:rPr>
          <w:b/>
        </w:rPr>
        <w:t>«Descargar seleccionados»</w:t>
      </w:r>
      <w:r>
        <w:t xml:space="preserve"> baja únicamente esas filas. Al hacer clic en el encabezado de la casilla se marcan o desmarcan todas las filas visibles.</w:t>
      </w:r>
    </w:p>
    <w:p>
      <w:r>
        <w:t xml:space="preserve">En </w:t>
      </w:r>
      <w:r>
        <w:rPr>
          <w:b/>
        </w:rPr>
        <w:t>Comparar agencias → Comparación</w:t>
      </w:r>
      <w:r>
        <w:t xml:space="preserve"> se bajan varios archivos de una vez: el nombre que se elige es la base, y cada archivo agrega su sufijo (</w:t>
      </w:r>
      <w:r>
        <w:rPr>
          <w:rFonts w:ascii="Consolas" w:hAnsi="Consolas"/>
          <w:sz w:val="18"/>
        </w:rPr>
        <w:t>_larga</w:t>
      </w:r>
      <w:r>
        <w:t xml:space="preserve"> para la comparación larga, </w:t>
      </w:r>
      <w:r>
        <w:rPr>
          <w:rFonts w:ascii="Consolas" w:hAnsi="Consolas"/>
          <w:sz w:val="18"/>
        </w:rPr>
        <w:t>_cobertura</w:t>
      </w:r>
      <w:r>
        <w:t xml:space="preserve"> para la cobertura).</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r>
        <w:t xml:space="preserve">El botón </w:t>
      </w:r>
      <w:r>
        <w:rPr>
          <w:b/>
        </w:rPr>
        <w:t>«Catálogos»</w:t>
      </w:r>
      <w:r>
        <w:t xml:space="preserve"> de esa ventana abre un menú con las agencias comparadas y con </w:t>
      </w:r>
      <w:r>
        <w:rPr>
          <w:b/>
        </w:rPr>
        <w:t>eventquery (referencia)</w:t>
      </w:r>
      <w:r>
        <w:t>. Al elegir una entrada se muestra el listado completo de eventos de ese catálogo, con filtro, orden, selección y descarga.</w:t>
      </w:r>
    </w:p>
    <w:p>
      <w:pPr>
        <w:pStyle w:val="Heading3"/>
      </w:pPr>
      <w:r>
        <w:t>Comparar agencias — descarga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Columna</w:t>
            </w:r>
          </w:p>
        </w:tc>
        <w:tc>
          <w:tcPr>
            <w:tcW w:type="dxa" w:w="2160"/>
          </w:tcPr>
          <w:p>
            <w:r>
              <w:rPr>
                <w:b/>
              </w:rPr>
            </w:r>
            <w:r>
              <w:rPr>
                <w:b/>
              </w:rPr>
              <w:t>Qué indica</w:t>
            </w:r>
          </w:p>
        </w:tc>
        <w:tc>
          <w:tcPr>
            <w:tcW w:type="dxa" w:w="2160"/>
          </w:tcPr>
          <w:p/>
        </w:tc>
        <w:tc>
          <w:tcPr>
            <w:tcW w:type="dxa" w:w="2160"/>
          </w:tcPr>
          <w:p/>
        </w:tc>
      </w:tr>
      <w:tr>
        <w:tc>
          <w:tcPr>
            <w:tcW w:type="dxa" w:w="2160"/>
          </w:tcPr>
          <w:p>
            <w:r/>
            <w:r>
              <w:rPr>
                <w:b/>
              </w:rPr>
              <w:t>Δt (s)</w:t>
            </w:r>
          </w:p>
        </w:tc>
        <w:tc>
          <w:tcPr>
            <w:tcW w:type="dxa" w:w="2160"/>
          </w:tcPr>
          <w:p>
            <w:r/>
            <w:r>
              <w:t>Diferencia de tiempo, en segundos, respecto de nuestra solución.</w:t>
            </w:r>
          </w:p>
        </w:tc>
        <w:tc>
          <w:tcPr>
            <w:tcW w:type="dxa" w:w="2160"/>
          </w:tcPr>
          <w:p/>
        </w:tc>
        <w:tc>
          <w:tcPr>
            <w:tcW w:type="dxa" w:w="2160"/>
          </w:tcPr>
          <w:p/>
        </w:tc>
      </w:tr>
      <w:tr>
        <w:tc>
          <w:tcPr>
            <w:tcW w:type="dxa" w:w="2160"/>
          </w:tcPr>
          <w:p>
            <w:r/>
            <w:r>
              <w:rPr>
                <w:b/>
              </w:rPr>
              <w:t>Dist (km)</w:t>
            </w:r>
          </w:p>
        </w:tc>
        <w:tc>
          <w:tcPr>
            <w:tcW w:type="dxa" w:w="2160"/>
          </w:tcPr>
          <w:p>
            <w:r/>
            <w:r>
              <w:t>Distancia, en km, entre la solución de la agencia y la nuestra.</w:t>
            </w:r>
          </w:p>
        </w:tc>
        <w:tc>
          <w:tcPr>
            <w:tcW w:type="dxa" w:w="2160"/>
          </w:tcPr>
          <w:p/>
        </w:tc>
        <w:tc>
          <w:tcPr>
            <w:tcW w:type="dxa" w:w="2160"/>
          </w:tcPr>
          <w:p/>
        </w:tc>
      </w:tr>
      <w:tr>
        <w:tc>
          <w:tcPr>
            <w:tcW w:type="dxa" w:w="2160"/>
          </w:tcPr>
          <w:p>
            <w:r/>
            <w:r>
              <w:rPr>
                <w:b/>
              </w:rPr>
              <w:t>Δprof (km)</w:t>
            </w:r>
          </w:p>
        </w:tc>
        <w:tc>
          <w:tcPr>
            <w:tcW w:type="dxa" w:w="2160"/>
          </w:tcPr>
          <w:p>
            <w:r/>
            <w:r>
              <w:t>Diferencia de profundidad, en km.</w:t>
            </w:r>
          </w:p>
        </w:tc>
        <w:tc>
          <w:tcPr>
            <w:tcW w:type="dxa" w:w="2160"/>
          </w:tcPr>
          <w:p/>
        </w:tc>
        <w:tc>
          <w:tcPr>
            <w:tcW w:type="dxa" w:w="2160"/>
          </w:tcPr>
          <w:p/>
        </w:tc>
      </w:tr>
      <w:tr>
        <w:tc>
          <w:tcPr>
            <w:tcW w:type="dxa" w:w="2160"/>
          </w:tcPr>
          <w:p>
            <w:r/>
            <w:r>
              <w:rPr>
                <w:b/>
              </w:rPr>
              <w:t>Δmag</w:t>
            </w:r>
          </w:p>
        </w:tc>
        <w:tc>
          <w:tcPr>
            <w:tcW w:type="dxa" w:w="2160"/>
          </w:tcPr>
          <w:p>
            <w:r/>
            <w:r>
              <w:t>Diferencia de magnitud.</w:t>
            </w:r>
          </w:p>
        </w:tc>
        <w:tc>
          <w:tcPr>
            <w:tcW w:type="dxa" w:w="2160"/>
          </w:tcPr>
          <w:p/>
        </w:tc>
        <w:tc>
          <w:tcPr>
            <w:tcW w:type="dxa" w:w="2160"/>
          </w:tcPr>
          <w:p/>
        </w:tc>
      </w:tr>
      <w:tr>
        <w:tc>
          <w:tcPr>
            <w:tcW w:type="dxa" w:w="2160"/>
          </w:tcPr>
          <w:p>
            <w:r/>
            <w:r>
              <w:rPr>
                <w:b/>
              </w:rPr>
              <w:t>Fuera de rango</w:t>
            </w:r>
          </w:p>
        </w:tc>
        <w:tc>
          <w:tcPr>
            <w:tcW w:type="dxa" w:w="2160"/>
          </w:tcPr>
          <w:p>
            <w:r/>
            <w:r>
              <w:t>Marca la solución que supera Δt &gt; 3 s o \</w:t>
            </w:r>
          </w:p>
        </w:tc>
        <w:tc>
          <w:tcPr>
            <w:tcW w:type="dxa" w:w="2160"/>
          </w:tcPr>
          <w:p>
            <w:r/>
            <w:r>
              <w:t>Δmag\</w:t>
            </w:r>
          </w:p>
        </w:tc>
        <w:tc>
          <w:tcPr>
            <w:tcW w:type="dxa" w:w="2160"/>
          </w:tcPr>
          <w:p>
            <w:r/>
            <w:r>
              <w:t>&gt; 0.2. La asociación exige ≤ 6 s y ≤ 75 km de distancia horizontal; fuera de eso la agencia se muestra en «Agencias sin contraparte con CSN».</w:t>
            </w:r>
          </w:p>
        </w:tc>
      </w:tr>
      <w:tr>
        <w:tc>
          <w:tcPr>
            <w:tcW w:type="dxa" w:w="2160"/>
          </w:tcPr>
          <w:p>
            <w:r/>
            <w:r>
              <w:rPr>
                <w:b/>
              </w:rPr>
              <w:t>Referencia</w:t>
            </w:r>
          </w:p>
        </w:tc>
        <w:tc>
          <w:tcPr>
            <w:tcW w:type="dxa" w:w="2160"/>
          </w:tcPr>
          <w:p>
            <w:r/>
            <w:r>
              <w:t>Nuestro evento publicado que se toma como referencia del cruce.</w:t>
            </w:r>
          </w:p>
        </w:tc>
        <w:tc>
          <w:tcPr>
            <w:tcW w:type="dxa" w:w="2160"/>
          </w:tcPr>
          <w:p/>
        </w:tc>
        <w:tc>
          <w:tcPr>
            <w:tcW w:type="dxa" w:w="2160"/>
          </w:tcPr>
          <w:p/>
        </w:tc>
      </w:tr>
      <w:tr>
        <w:tc>
          <w:tcPr>
            <w:tcW w:type="dxa" w:w="2160"/>
          </w:tcPr>
          <w:p>
            <w:r/>
            <w:r>
              <w:rPr>
                <w:b/>
              </w:rPr>
              <w:t>Asociado</w:t>
            </w:r>
          </w:p>
        </w:tc>
        <w:tc>
          <w:tcPr>
            <w:tcW w:type="dxa" w:w="2160"/>
          </w:tcPr>
          <w:p>
            <w:r/>
            <w:r>
              <w:t>En el formato largo, la agencia cuya solución se asoció a la referencia.</w:t>
            </w:r>
          </w:p>
        </w:tc>
        <w:tc>
          <w:tcPr>
            <w:tcW w:type="dxa" w:w="2160"/>
          </w:tcPr>
          <w:p/>
        </w:tc>
        <w:tc>
          <w:tcPr>
            <w:tcW w:type="dxa" w:w="2160"/>
          </w:tcPr>
          <w:p/>
        </w:tc>
      </w:tr>
      <w:tr>
        <w:tc>
          <w:tcPr>
            <w:tcW w:type="dxa" w:w="2160"/>
          </w:tcPr>
          <w:p>
            <w:r/>
            <w:r>
              <w:rPr>
                <w:b/>
              </w:rPr>
              <w:t>Fuente</w:t>
            </w:r>
          </w:p>
        </w:tc>
        <w:tc>
          <w:tcPr>
            <w:tcW w:type="dxa" w:w="2160"/>
          </w:tcPr>
          <w:p>
            <w:r/>
            <w:r>
              <w:t>Origen de la fila (nuestra solución o una agencia).</w:t>
            </w:r>
          </w:p>
        </w:tc>
        <w:tc>
          <w:tcPr>
            <w:tcW w:type="dxa" w:w="2160"/>
          </w:tcPr>
          <w:p/>
        </w:tc>
        <w:tc>
          <w:tcPr>
            <w:tcW w:type="dxa" w:w="2160"/>
          </w:tcP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Evidencia</w:t>
            </w:r>
          </w:p>
        </w:tc>
        <w:tc>
          <w:tcPr>
            <w:tcW w:type="dxa" w:w="4320"/>
          </w:tcPr>
          <w:p>
            <w:r/>
            <w:r>
              <w:rPr>
                <w:b/>
              </w:rPr>
              <w:t>Verificado (SDS/tiempo real)</w:t>
            </w:r>
            <w:r>
              <w:t xml:space="preserve">, </w:t>
            </w:r>
            <w:r>
              <w:rPr>
                <w:b/>
              </w:rPr>
              <w:t>Indicio (actividad)</w:t>
            </w:r>
            <w:r>
              <w:t xml:space="preserve">, </w:t>
            </w:r>
            <w:r>
              <w:rPr>
                <w:b/>
              </w:rPr>
              <w:t>Sin evidencia</w:t>
            </w:r>
            <w:r>
              <w:t xml:space="preserve"> o </w:t>
            </w:r>
            <w:r>
              <w:rPr>
                <w:b/>
              </w:rPr>
              <w:t>Sin consultar</w:t>
            </w:r>
            <w:r>
              <w:t>: separa la certeza de la deducción.</w:t>
            </w:r>
          </w:p>
        </w:tc>
      </w:tr>
      <w:tr>
        <w:tc>
          <w:tcPr>
            <w:tcW w:type="dxa" w:w="4320"/>
          </w:tcPr>
          <w:p>
            <w:r/>
            <w:r>
              <w:rPr>
                <w:b/>
              </w:rPr>
              <w:t>Formas de onda</w:t>
            </w:r>
          </w:p>
        </w:tc>
        <w:tc>
          <w:tcPr>
            <w:tcW w:type="dxa" w:w="4320"/>
          </w:tcPr>
          <w:p>
            <w:r/>
            <w:r>
              <w:t xml:space="preserve">Resultado de «Consultar formas de onda»: </w:t>
            </w:r>
            <w:r>
              <w:rPr>
                <w:b/>
              </w:rPr>
              <w:t>SDS</w:t>
            </w:r>
            <w:r>
              <w:t xml:space="preserve">, </w:t>
            </w:r>
            <w:r>
              <w:rPr>
                <w:b/>
              </w:rPr>
              <w:t>Tiempo real</w:t>
            </w:r>
            <w:r>
              <w:t xml:space="preserve"> o </w:t>
            </w:r>
            <w:r>
              <w:rPr>
                <w:b/>
              </w:rPr>
              <w:t>Sin datos</w:t>
            </w:r>
            <w:r>
              <w:t xml:space="preserve"> (y «—» si no se consultó).</w:t>
            </w:r>
          </w:p>
        </w:tc>
      </w:tr>
      <w:tr>
        <w:tc>
          <w:tcPr>
            <w:tcW w:type="dxa" w:w="4320"/>
          </w:tcPr>
          <w:p>
            <w:r/>
            <w:r>
              <w:rPr>
                <w:b/>
              </w:rPr>
              <w:t>Indicio ±2 h</w:t>
            </w:r>
          </w:p>
        </w:tc>
        <w:tc>
          <w:tcPr>
            <w:tcW w:type="dxa" w:w="4320"/>
          </w:tcPr>
          <w:p>
            <w:r/>
            <w:r>
              <w:t xml:space="preserve">Cuántos </w:t>
            </w:r>
            <w:r>
              <w:rPr>
                <w:i/>
              </w:rPr>
              <w:t>otros</w:t>
            </w:r>
            <w:r>
              <w:t xml:space="preserve"> eventos picó esa estación entre 2 h antes y 2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Verificadas</w:t>
            </w:r>
          </w:p>
        </w:tc>
        <w:tc>
          <w:tcPr>
            <w:tcW w:type="dxa" w:w="4320"/>
          </w:tcPr>
          <w:p>
            <w:r/>
            <w:r>
              <w:t xml:space="preserve">Estaciones cercanas </w:t>
            </w:r>
            <w:r>
              <w:rPr>
                <w:b/>
              </w:rPr>
              <w:t>con formas de onda</w:t>
            </w:r>
            <w:r>
              <w:t xml:space="preserve"> que </w:t>
            </w:r>
            <w:r>
              <w:rPr>
                <w:b/>
              </w:rPr>
              <w:t>no</w:t>
            </w:r>
            <w:r>
              <w:t xml:space="preserve"> se usaron en la solución (certeza).</w:t>
            </w:r>
          </w:p>
        </w:tc>
      </w:tr>
      <w:tr>
        <w:tc>
          <w:tcPr>
            <w:tcW w:type="dxa" w:w="4320"/>
          </w:tcPr>
          <w:p>
            <w:r/>
            <w:r>
              <w:rPr>
                <w:b/>
              </w:rPr>
              <w:t>Indicios</w:t>
            </w:r>
          </w:p>
        </w:tc>
        <w:tc>
          <w:tcPr>
            <w:tcW w:type="dxa" w:w="4320"/>
          </w:tcPr>
          <w:p>
            <w:r/>
            <w:r>
              <w:t>Estaciones cercanas que picaron otros eventos ±2 h, sin ondas verificadas (deducción).</w:t>
            </w:r>
          </w:p>
        </w:tc>
      </w:tr>
      <w:tr>
        <w:tc>
          <w:tcPr>
            <w:tcW w:type="dxa" w:w="4320"/>
          </w:tcPr>
          <w:p>
            <w:r/>
            <w:r>
              <w:rPr>
                <w:b/>
              </w:rPr>
              <w:t>Sin evid.</w:t>
            </w:r>
          </w:p>
        </w:tc>
        <w:tc>
          <w:tcPr>
            <w:tcW w:type="dxa" w:w="4320"/>
          </w:tcPr>
          <w:p>
            <w:r/>
            <w:r>
              <w:t>Estaciones cercanas sin ondas verificadas ni actividad (posible caída; «sin consultar» si la exportación no trae ondas).</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 xml:space="preserve">En la descarga larga: </w:t>
            </w:r>
            <w:r>
              <w:rPr>
                <w:rFonts w:ascii="Consolas" w:hAnsi="Consolas"/>
                <w:sz w:val="18"/>
              </w:rPr>
              <w:t>verificado</w:t>
            </w:r>
            <w:r>
              <w:t xml:space="preserve">, </w:t>
            </w:r>
            <w:r>
              <w:rPr>
                <w:rFonts w:ascii="Consolas" w:hAnsi="Consolas"/>
                <w:sz w:val="18"/>
              </w:rPr>
              <w:t>indicio</w:t>
            </w:r>
            <w:r>
              <w:t xml:space="preserve">, </w:t>
            </w:r>
            <w:r>
              <w:rPr>
                <w:rFonts w:ascii="Consolas" w:hAnsi="Consolas"/>
                <w:sz w:val="18"/>
              </w:rPr>
              <w:t>sin evidencia</w:t>
            </w:r>
            <w:r>
              <w:t xml:space="preserve"> o </w:t>
            </w:r>
            <w:r>
              <w:rPr>
                <w:rFonts w:ascii="Consolas" w:hAnsi="Consolas"/>
                <w:sz w:val="18"/>
              </w:rPr>
              <w:t>sin consultar</w:t>
            </w:r>
            <w:r>
              <w:t>.</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Indicio ±2 h</w:t>
      </w:r>
      <w:r>
        <w:t xml:space="preserve">: cuántos </w:t>
      </w:r>
      <w:r>
        <w:rPr>
          <w:i/>
        </w:rPr>
        <w:t>otros</w:t>
      </w:r>
      <w:r>
        <w:t xml:space="preserve"> eventos picó esa estación dentro de las</w:t>
      </w:r>
    </w:p>
    <w:p>
      <w:r>
        <w:t>2 h anteriores y posteriores al origen. Indicador indirecto de que estaba operando (una deducción, no una certeza).</w:t>
      </w:r>
    </w:p>
    <w:p>
      <w:pPr>
        <w:pStyle w:val="ListBullet"/>
      </w:pPr>
      <w:r>
        <w:rPr>
          <w:b/>
        </w:rPr>
        <w:t>Formas de onda</w:t>
      </w:r>
      <w:r>
        <w:t>: consulta directa al archivo SDS y al flujo de tiempo real</w:t>
      </w:r>
    </w:p>
    <w:p>
      <w:r>
        <w:t>para saber si la estación estaba grabando; es la verificación que supera al indicio.</w:t>
      </w:r>
    </w:p>
    <w:p>
      <w:pPr>
        <w:pStyle w:val="ListBullet"/>
      </w:pPr>
      <w:r>
        <w:rPr>
          <w:b/>
        </w:rPr>
        <w:t>Evidencia</w:t>
      </w:r>
      <w:r>
        <w:t xml:space="preserve">: resumen que separa </w:t>
      </w:r>
      <w:r>
        <w:rPr>
          <w:b/>
        </w:rPr>
        <w:t>Verificado</w:t>
      </w:r>
      <w:r>
        <w:t xml:space="preserve"> (ondas), </w:t>
      </w:r>
      <w:r>
        <w:rPr>
          <w:b/>
        </w:rPr>
        <w:t>Indicio</w:t>
      </w:r>
    </w:p>
    <w:p>
      <w:r>
        <w:t xml:space="preserve">(actividad), </w:t>
      </w:r>
      <w:r>
        <w:rPr>
          <w:b/>
        </w:rPr>
        <w:t>Sin evidencia</w:t>
      </w:r>
      <w:r>
        <w:t xml:space="preserve"> y </w:t>
      </w:r>
      <w:r>
        <w:rPr>
          <w:b/>
        </w:rPr>
        <w:t>Sin consultar</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