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Herramienta de revisión de catálogos de eventos sísmicos (RCS)</w:t>
      </w:r>
    </w:p>
    <w:p>
      <w:r>
        <w:rPr>
          <w:b/>
        </w:rPr>
        <w:t>Descripción del sistema</w:t>
      </w:r>
    </w:p>
    <w:p>
      <w:r>
        <w:t>H. Riquelme — OPA-CSN, Centro Sismológico Nacional, Universidad de Chile.</w:t>
      </w:r>
    </w:p>
    <w:p>
      <w:r>
        <w:t>Versión 1.2 — 16 de octubre de 2026.</w:t>
      </w:r>
    </w:p>
    <w:p>
      <w:pPr>
        <w:pStyle w:val="Heading2"/>
      </w:pPr>
      <w:r>
        <w:t>Índice</w:t>
      </w:r>
    </w:p>
    <w:p>
      <w:pPr>
        <w:pStyle w:val="ListNumber"/>
      </w:pPr>
      <w:r>
        <w:t>Introducción</w:t>
      </w:r>
    </w:p>
    <w:p>
      <w:pPr>
        <w:pStyle w:val="ListNumber"/>
      </w:pPr>
      <w:r>
        <w:t>Necesidad operativa y alcance</w:t>
      </w:r>
    </w:p>
    <w:p>
      <w:pPr>
        <w:pStyle w:val="ListNumber"/>
      </w:pPr>
      <w:r>
        <w:t>Materiales y métodos</w:t>
      </w:r>
    </w:p>
    <w:p>
      <w:pPr>
        <w:pStyle w:val="ListNumber"/>
      </w:pPr>
      <w:r>
        <w:t>Requerimientos</w:t>
      </w:r>
    </w:p>
    <w:p>
      <w:pPr>
        <w:pStyle w:val="ListNumber"/>
      </w:pPr>
      <w:r>
        <w:t>Diseño de la solución</w:t>
      </w:r>
    </w:p>
    <w:p>
      <w:pPr>
        <w:pStyle w:val="ListNumber"/>
      </w:pPr>
      <w:r>
        <w:t>Pruebas</w:t>
      </w:r>
    </w:p>
    <w:p>
      <w:pPr>
        <w:pStyle w:val="ListNumber"/>
      </w:pPr>
      <w:r>
        <w:t>Conclusiones</w:t>
      </w:r>
    </w:p>
    <w:p>
      <w:pPr>
        <w:pStyle w:val="ListNumber"/>
      </w:pPr>
      <w:r>
        <w:t>Bibliografía y referencias</w:t>
      </w:r>
    </w:p>
    <w:p>
      <w:pPr>
        <w:pStyle w:val="ListNumber"/>
      </w:pPr>
      <w:r>
        <w:t>Anexos</w:t>
      </w:r>
    </w:p>
    <w:p>
      <w:pPr>
        <w:pStyle w:val="Heading2"/>
      </w:pPr>
      <w:r>
        <w:t>1. Introducción</w:t>
      </w:r>
    </w:p>
    <w:p>
      <w:r>
        <w:rPr>
          <w:b/>
        </w:rPr>
        <w:t>RCS</w:t>
      </w:r>
      <w:r>
        <w:t xml:space="preserve"> (Revisor de Catálogos Sísmicos) es una aplicación de escritorio que apoya la </w:t>
      </w:r>
      <w:r>
        <w:rPr>
          <w:b/>
        </w:rPr>
        <w:t>revisión de los catálogos de eventos sísmicos</w:t>
      </w:r>
      <w:r>
        <w:t xml:space="preserve"> que produce y publica la OPA-CSN. Toma como insumo tres catálogos de la misma ventana de tiempo —el catálogo de Seisan (</w:t>
      </w:r>
      <w:r>
        <w:rPr>
          <w:rFonts w:ascii="Consolas" w:hAnsi="Consolas"/>
          <w:sz w:val="18"/>
        </w:rPr>
        <w:t>select.out</w:t>
      </w:r>
      <w:r>
        <w:t xml:space="preserve">), el catálogo público consultado por </w:t>
      </w:r>
      <w:r>
        <w:rPr>
          <w:rFonts w:ascii="Consolas" w:hAnsi="Consolas"/>
          <w:sz w:val="18"/>
        </w:rPr>
        <w:t>eventquery2</w:t>
      </w:r>
      <w:r>
        <w:t xml:space="preserve"> y la exportación de la base de SeisComp— y los cruza para responder preguntas operativas concretas de control de calidad:</w:t>
      </w:r>
    </w:p>
    <w:p>
      <w:pPr>
        <w:pStyle w:val="ListBullet"/>
      </w:pPr>
      <w:r>
        <w:t xml:space="preserve">qué eventos del catálogo público </w:t>
      </w:r>
      <w:r>
        <w:rPr>
          <w:b/>
        </w:rPr>
        <w:t>no fueron publicados</w:t>
      </w:r>
      <w:r>
        <w:t xml:space="preserve"> por el sistema;</w:t>
      </w:r>
    </w:p>
    <w:p>
      <w:pPr>
        <w:pStyle w:val="ListBullet"/>
      </w:pPr>
      <w:r>
        <w:t xml:space="preserve">qué eventos publicados tienen parámetros que </w:t>
      </w:r>
      <w:r>
        <w:rPr>
          <w:b/>
        </w:rPr>
        <w:t>no coinciden</w:t>
      </w:r>
      <w:r>
        <w:t xml:space="preserve"> con la solución</w:t>
      </w:r>
    </w:p>
    <w:p>
      <w:r>
        <w:t>de la fuente (no actualizados);</w:t>
      </w:r>
    </w:p>
    <w:p>
      <w:pPr>
        <w:pStyle w:val="ListBullet"/>
      </w:pPr>
      <w:r>
        <w:t xml:space="preserve">qué eventos aparecen </w:t>
      </w:r>
      <w:r>
        <w:rPr>
          <w:b/>
        </w:rPr>
        <w:t>repetidos</w:t>
      </w:r>
      <w:r>
        <w:t xml:space="preserve"> en cada fuente;</w:t>
      </w:r>
    </w:p>
    <w:p>
      <w:pPr>
        <w:pStyle w:val="ListBullet"/>
      </w:pPr>
      <w:r>
        <w:t xml:space="preserve">qué soluciones quedaron </w:t>
      </w:r>
      <w:r>
        <w:rPr>
          <w:b/>
        </w:rPr>
        <w:t>desactualizadas</w:t>
      </w:r>
      <w:r>
        <w:t xml:space="preserve"> respecto de SeisComp;</w:t>
      </w:r>
    </w:p>
    <w:p>
      <w:pPr>
        <w:pStyle w:val="ListBullet"/>
      </w:pPr>
      <w:r>
        <w:t xml:space="preserve">qué eventos difieren respecto de </w:t>
      </w:r>
      <w:r>
        <w:rPr>
          <w:b/>
        </w:rPr>
        <w:t>agencias internacionales</w:t>
      </w:r>
      <w:r>
        <w:t xml:space="preserve"> (EMSC, USGS,</w:t>
      </w:r>
    </w:p>
    <w:p>
      <w:r>
        <w:t>GFZ).</w:t>
      </w:r>
    </w:p>
    <w:p>
      <w:r>
        <w:t xml:space="preserve">Este documento describe el sistema: su necesidad operativa, los requerimientos, el diseño (con vistas de arquitectura y el modelo relacional de las bases que consulta y de sus propios datos), las pruebas y las conclusiones. Está dirigido a quien </w:t>
      </w:r>
      <w:r>
        <w:rPr>
          <w:b/>
        </w:rPr>
        <w:t>opera</w:t>
      </w:r>
      <w:r>
        <w:t xml:space="preserve"> y a quien </w:t>
      </w:r>
      <w:r>
        <w:rPr>
          <w:b/>
        </w:rPr>
        <w:t>mantiene o extiende</w:t>
      </w:r>
      <w:r>
        <w:t xml:space="preserve"> la herramienta. El detalle de uso diario está en </w:t>
      </w:r>
      <w:r>
        <w:rPr>
          <w:rFonts w:ascii="Consolas" w:hAnsi="Consolas"/>
          <w:sz w:val="18"/>
        </w:rPr>
        <w:t>manual_usuario.md</w:t>
      </w:r>
      <w:r>
        <w:t xml:space="preserve"> y el detalle técnico en </w:t>
      </w:r>
      <w:r>
        <w:rPr>
          <w:rFonts w:ascii="Consolas" w:hAnsi="Consolas"/>
          <w:sz w:val="18"/>
        </w:rPr>
        <w:t>manual_tecnico.md</w:t>
      </w:r>
      <w:r>
        <w:t xml:space="preserve"> (ver Anexo B).</w:t>
      </w:r>
    </w:p>
    <w:p>
      <w:pPr>
        <w:pStyle w:val="Heading2"/>
      </w:pPr>
      <w:r>
        <w:t>2. Necesidad operativa y alcance</w:t>
      </w:r>
    </w:p>
    <w:p>
      <w:pPr>
        <w:pStyle w:val="Heading3"/>
      </w:pPr>
      <w:r>
        <w:t>2.1 Contexto</w:t>
      </w:r>
    </w:p>
    <w:p>
      <w:r>
        <w:t>La operación sísmica publica soluciones de forma continua. Controlar esa publicación exige contrastarla contra el catálogo público y contra la base institucional (SeisComp), tarea que se hacía de forma manual y dispersa: bajar los catálogos, cruzarlos a ojo o con planillas, detectar duplicados y revisar caso a caso. Ese proceso es lento, poco reproducible y difícil de auditar.</w:t>
      </w:r>
    </w:p>
    <w:p>
      <w:pPr>
        <w:pStyle w:val="Heading3"/>
      </w:pPr>
      <w:r>
        <w:t>2.2 Objetivo general</w:t>
      </w:r>
    </w:p>
    <w:p>
      <w:r>
        <w:t xml:space="preserve">Disponer de una herramienta única que </w:t>
      </w:r>
      <w:r>
        <w:rPr>
          <w:b/>
        </w:rPr>
        <w:t>automatice la obtención, el cruce y la presentación</w:t>
      </w:r>
      <w:r>
        <w:t xml:space="preserve"> de los catálogos, para que el supervisor concentre su tiempo en la decisión y no en armar los datos.</w:t>
      </w:r>
    </w:p>
    <w:p>
      <w:pPr>
        <w:pStyle w:val="Heading3"/>
      </w:pPr>
      <w:r>
        <w:t>2.3 Objetivos específicos</w:t>
      </w:r>
    </w:p>
    <w:p>
      <w:pPr>
        <w:pStyle w:val="ListBullet"/>
      </w:pPr>
      <w:r>
        <w:t>Bajar de forma reproducible los catálogos de Seisan y eventquery y exportar</w:t>
      </w:r>
    </w:p>
    <w:p>
      <w:r>
        <w:t>la ventana de SeisComp para un período dado.</w:t>
      </w:r>
    </w:p>
    <w:p>
      <w:pPr>
        <w:pStyle w:val="ListBullet"/>
      </w:pPr>
      <w:r>
        <w:t xml:space="preserve">Detectar eventos </w:t>
      </w:r>
      <w:r>
        <w:rPr>
          <w:b/>
        </w:rPr>
        <w:t>no publicados</w:t>
      </w:r>
      <w:r>
        <w:t xml:space="preserve">, </w:t>
      </w:r>
      <w:r>
        <w:rPr>
          <w:b/>
        </w:rPr>
        <w:t>no actualizados</w:t>
      </w:r>
      <w:r>
        <w:t xml:space="preserve"> y </w:t>
      </w:r>
      <w:r>
        <w:rPr>
          <w:b/>
        </w:rPr>
        <w:t>repetidos</w:t>
      </w:r>
      <w:r>
        <w:t>.</w:t>
      </w:r>
    </w:p>
    <w:p>
      <w:pPr>
        <w:pStyle w:val="ListBullet"/>
      </w:pPr>
      <w:r>
        <w:t xml:space="preserve">Atribuir cada discrepancia al </w:t>
      </w:r>
      <w:r>
        <w:rPr>
          <w:b/>
        </w:rPr>
        <w:t>analista</w:t>
      </w:r>
      <w:r>
        <w:t xml:space="preserve"> y a la </w:t>
      </w:r>
      <w:r>
        <w:rPr>
          <w:b/>
        </w:rPr>
        <w:t>estación</w:t>
      </w:r>
      <w:r>
        <w:t xml:space="preserve"> responsables.</w:t>
      </w:r>
    </w:p>
    <w:p>
      <w:pPr>
        <w:pStyle w:val="ListBullet"/>
      </w:pPr>
      <w:r>
        <w:t>Revisar el catálogo de SeisComp (parámetros, fases, estaciones e inventario).</w:t>
      </w:r>
    </w:p>
    <w:p>
      <w:pPr>
        <w:pStyle w:val="ListBullet"/>
      </w:pPr>
      <w:r>
        <w:t xml:space="preserve">Comparar las soluciones locales con las de </w:t>
      </w:r>
      <w:r>
        <w:rPr>
          <w:b/>
        </w:rPr>
        <w:t>agencias internacionales</w:t>
      </w:r>
      <w:r>
        <w:t>.</w:t>
      </w:r>
    </w:p>
    <w:p>
      <w:pPr>
        <w:pStyle w:val="ListBullet"/>
      </w:pPr>
      <w:r>
        <w:t xml:space="preserve">Producir </w:t>
      </w:r>
      <w:r>
        <w:rPr>
          <w:b/>
        </w:rPr>
        <w:t>entregables</w:t>
      </w:r>
      <w:r>
        <w:t xml:space="preserve"> (listados y mapas) listos para distribuir.</w:t>
      </w:r>
    </w:p>
    <w:p>
      <w:pPr>
        <w:pStyle w:val="ListBullet"/>
      </w:pPr>
      <w:r>
        <w:t xml:space="preserve">Dejar </w:t>
      </w:r>
      <w:r>
        <w:rPr>
          <w:b/>
        </w:rPr>
        <w:t>trazabilidad</w:t>
      </w:r>
      <w:r>
        <w:t xml:space="preserve"> de lo que se corrió y con qué insumos.</w:t>
      </w:r>
    </w:p>
    <w:p>
      <w:pPr>
        <w:pStyle w:val="Heading3"/>
      </w:pPr>
      <w:r>
        <w:t>2.4 Alcance y exclusiones</w:t>
      </w:r>
    </w:p>
    <w:p>
      <w:r>
        <w:rPr>
          <w:b/>
        </w:rPr>
        <w:t>Incluye</w:t>
      </w:r>
      <w:r>
        <w:t xml:space="preserve"> la obtención de catálogos, el análisis, la revisión interactiva, la comparación con agencias y la generación de entregables, en una estación de trabajo Linux con acceso SSH al servidor de catálogos y a la base de SeisComp.</w:t>
      </w:r>
    </w:p>
    <w:p>
      <w:r>
        <w:rPr>
          <w:b/>
        </w:rPr>
        <w:t>No incluye</w:t>
      </w:r>
      <w:r>
        <w:t xml:space="preserve"> la corrección automática de soluciones, la publicación de eventos, el procesamiento de formas de onda (los datos de disponibilidad de ondas se dejan preparados, pero no se consultan) ni la operación de servidores remotos.</w:t>
      </w:r>
    </w:p>
    <w:p>
      <w:pPr>
        <w:pStyle w:val="Heading2"/>
      </w:pPr>
      <w:r>
        <w:t>3. Materiales y métodos</w:t>
      </w:r>
    </w:p>
    <w:p>
      <w:pPr>
        <w:pStyle w:val="Heading3"/>
      </w:pPr>
      <w:r>
        <w:t>3.1 Antecedentes y origen del desarrollo</w:t>
      </w:r>
    </w:p>
    <w:p>
      <w:r>
        <w:t xml:space="preserve">La herramienta no se diseñó desde cero: es el resultado de </w:t>
      </w:r>
      <w:r>
        <w:rPr>
          <w:b/>
        </w:rPr>
        <w:t>integrar varios programas pequeños</w:t>
      </w:r>
      <w:r>
        <w:t xml:space="preserve"> que un mismo desarrollador había construido por separado a lo largo del tiempo, cada uno resolviendo una necesidad puntual de la revisión (parsear el </w:t>
      </w:r>
      <w:r>
        <w:rPr>
          <w:rFonts w:ascii="Consolas" w:hAnsi="Consolas"/>
          <w:sz w:val="18"/>
        </w:rPr>
        <w:t>select.out</w:t>
      </w:r>
      <w:r>
        <w:t>, cruzar catálogos, detectar repetidos, dibujar mapas). Esos programas operaban de forma aislada, con formatos y convenciones propias, y su mantenimiento era manual.</w:t>
      </w:r>
    </w:p>
    <w:p>
      <w:r>
        <w:t xml:space="preserve">El salto se produjo con la </w:t>
      </w:r>
      <w:r>
        <w:rPr>
          <w:b/>
        </w:rPr>
        <w:t>incorporación de la inteligencia artificial como asistente de desarrollo</w:t>
      </w:r>
      <w:r>
        <w:t>. Sobre un entorno de trabajo moderno —</w:t>
      </w:r>
      <w:r>
        <w:rPr>
          <w:b/>
        </w:rPr>
        <w:t>Visual Studio Code</w:t>
      </w:r>
      <w:r>
        <w:t xml:space="preserve">, </w:t>
      </w:r>
      <w:r>
        <w:rPr>
          <w:b/>
        </w:rPr>
        <w:t>Python</w:t>
      </w:r>
      <w:r>
        <w:t xml:space="preserve"> y </w:t>
      </w:r>
      <w:r>
        <w:rPr>
          <w:b/>
        </w:rPr>
        <w:t>Bash</w:t>
      </w:r>
      <w:r>
        <w:t xml:space="preserve"> como lenguajes, y herramientas de consulta de </w:t>
      </w:r>
      <w:r>
        <w:rPr>
          <w:b/>
        </w:rPr>
        <w:t>PostgreSQL</w:t>
      </w:r>
      <w:r>
        <w:t xml:space="preserve">— y con la IA guiando el trabajo de forma iterativa, fue posible </w:t>
      </w:r>
      <w:r>
        <w:rPr>
          <w:b/>
        </w:rPr>
        <w:t>releer, homogeneizar e integrar</w:t>
      </w:r>
      <w:r>
        <w:t xml:space="preserve"> esos códigos base: unificar su organización en un solo directorio de trabajo con una capa de rutas común, eliminar duplicaciones, corregir inconsistencias y convertirlos en un sistema coherente, reproducible y mantenible.</w:t>
      </w:r>
    </w:p>
    <w:p>
      <w:r>
        <w:t>El resultado conserva la lógica ya validada en la operación y, a la vez, aprovecha el desarrollo asistido para extender, documentar y probar el sistema con mayor velocidad y consistencia.</w:t>
      </w:r>
    </w:p>
    <w:p>
      <w:pPr>
        <w:pStyle w:val="Heading3"/>
      </w:pPr>
      <w:r>
        <w:t>3.2 Enfoque de desarrollo</w:t>
      </w:r>
    </w:p>
    <w:p>
      <w:r>
        <w:t xml:space="preserve">El desarrollo fue </w:t>
      </w:r>
      <w:r>
        <w:rPr>
          <w:b/>
        </w:rPr>
        <w:t>iterativo e incremental, guiado por el uso operativo</w:t>
      </w:r>
      <w:r>
        <w:t xml:space="preserve">: cada módulo se agregó a partir de una necesidad concreta de la revisión y se validó usando catálogos reales de la operación. La herramienta prioriza </w:t>
      </w:r>
      <w:r>
        <w:rPr>
          <w:b/>
        </w:rPr>
        <w:t>reproducir el criterio del supervisor</w:t>
      </w:r>
      <w:r>
        <w:t xml:space="preserve"> antes que automatizar decisiones: el sistema propone y ordena; el analista decide.</w:t>
      </w:r>
    </w:p>
    <w:p>
      <w:pPr>
        <w:pStyle w:val="Heading3"/>
      </w:pPr>
      <w:r>
        <w:t>3.3 Patrón de arquitectura</w:t>
      </w:r>
    </w:p>
    <w:p>
      <w:r>
        <w:t>La aplicación separa tres responsabilidades:</w:t>
      </w:r>
    </w:p>
    <w:p>
      <w:pPr>
        <w:pStyle w:val="ListNumber"/>
      </w:pPr>
      <w:r>
        <w:rPr>
          <w:b/>
        </w:rPr>
        <w:t>Interfaz de orquestación</w:t>
      </w:r>
      <w:r>
        <w:t xml:space="preserve"> (</w:t>
      </w:r>
      <w:r>
        <w:rPr>
          <w:rFonts w:ascii="Consolas" w:hAnsi="Consolas"/>
          <w:sz w:val="18"/>
        </w:rPr>
        <w:t>app.py</w:t>
      </w:r>
      <w:r>
        <w:t xml:space="preserve">, Tkinter + </w:t>
      </w:r>
      <w:r>
        <w:rPr>
          <w:rFonts w:ascii="Consolas" w:hAnsi="Consolas"/>
          <w:sz w:val="18"/>
        </w:rPr>
        <w:t>ttkbootstrap</w:t>
      </w:r>
      <w:r>
        <w:t>): lanza cada</w:t>
      </w:r>
    </w:p>
    <w:p>
      <w:r>
        <w:t xml:space="preserve">etapa como </w:t>
      </w:r>
      <w:r>
        <w:rPr>
          <w:b/>
        </w:rPr>
        <w:t>subproceso independiente</w:t>
      </w:r>
      <w:r>
        <w:t xml:space="preserve">, muestra el avance y el registro, y presenta resultados. La GUI </w:t>
      </w:r>
      <w:r>
        <w:rPr>
          <w:b/>
        </w:rPr>
        <w:t>no contiene lógica de negocio</w:t>
      </w:r>
      <w:r>
        <w:t>.</w:t>
      </w:r>
    </w:p>
    <w:p>
      <w:pPr>
        <w:pStyle w:val="ListNumber"/>
      </w:pPr>
      <w:r>
        <w:rPr>
          <w:b/>
        </w:rPr>
        <w:t>Módulos de proceso</w:t>
      </w:r>
      <w:r>
        <w:t xml:space="preserve"> (un script por etapa): ejecutables de forma autónoma y</w:t>
      </w:r>
    </w:p>
    <w:p>
      <w:r>
        <w:t>encadenables; leen y escriben archivos en el directorio de ejecución.</w:t>
      </w:r>
    </w:p>
    <w:p>
      <w:pPr>
        <w:pStyle w:val="ListNumber"/>
      </w:pPr>
      <w:r>
        <w:rPr>
          <w:b/>
        </w:rPr>
        <w:t>Capa de acceso a datos</w:t>
      </w:r>
      <w:r>
        <w:t>: red (SSH/SCP) y base (SQL), aislada en módulos</w:t>
      </w:r>
    </w:p>
    <w:p>
      <w:r>
        <w:t>propios (</w:t>
      </w:r>
      <w:r>
        <w:rPr>
          <w:rFonts w:ascii="Consolas" w:hAnsi="Consolas"/>
          <w:sz w:val="18"/>
        </w:rPr>
        <w:t>traer_catalogos.py</w:t>
      </w:r>
      <w:r>
        <w:t xml:space="preserve">, </w:t>
      </w:r>
      <w:r>
        <w:rPr>
          <w:rFonts w:ascii="Consolas" w:hAnsi="Consolas"/>
          <w:sz w:val="18"/>
        </w:rPr>
        <w:t>exporta_ventana_seiscomp.py</w:t>
      </w:r>
      <w:r>
        <w:t>).</w:t>
      </w:r>
    </w:p>
    <w:p>
      <w:r>
        <w:t xml:space="preserve">El </w:t>
      </w:r>
      <w:r>
        <w:rPr>
          <w:b/>
        </w:rPr>
        <w:t>directorio de trabajo</w:t>
      </w:r>
      <w:r>
        <w:t xml:space="preserve"> es el directorio desde donde se invoca la aplicación; allí se resuelven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ploteo/</w:t>
      </w:r>
      <w:r>
        <w:t xml:space="preserve">, </w:t>
      </w:r>
      <w:r>
        <w:rPr>
          <w:rFonts w:ascii="Consolas" w:hAnsi="Consolas"/>
          <w:sz w:val="18"/>
        </w:rPr>
        <w:t>descargas/</w:t>
      </w:r>
      <w:r>
        <w:t xml:space="preserve">, </w:t>
      </w:r>
      <w:r>
        <w:rPr>
          <w:rFonts w:ascii="Consolas" w:hAnsi="Consolas"/>
          <w:sz w:val="18"/>
        </w:rPr>
        <w:t>trabajo/</w:t>
      </w:r>
      <w:r>
        <w:t xml:space="preserve">), centralizadas en </w:t>
      </w:r>
      <w:r>
        <w:rPr>
          <w:rFonts w:ascii="Consolas" w:hAnsi="Consolas"/>
          <w:sz w:val="18"/>
        </w:rPr>
        <w:t>rutas.py</w:t>
      </w:r>
      <w:r>
        <w:t>.</w:t>
      </w:r>
    </w:p>
    <w:p>
      <w:pPr>
        <w:pStyle w:val="Heading3"/>
      </w:pPr>
      <w:r>
        <w:t>3.4 Tecnologías</w:t>
      </w:r>
    </w:p>
    <w:p>
      <w:pPr>
        <w:pStyle w:val="ListBullet"/>
      </w:pPr>
      <w:r>
        <w:rPr>
          <w:b/>
        </w:rPr>
        <w:t>Lenguaje</w:t>
      </w:r>
      <w:r>
        <w:t>: Python 3.7.</w:t>
      </w:r>
    </w:p>
    <w:p>
      <w:pPr>
        <w:pStyle w:val="ListBullet"/>
      </w:pPr>
      <w:r>
        <w:rPr>
          <w:b/>
        </w:rPr>
        <w:t>Interfaz</w:t>
      </w:r>
      <w:r>
        <w:t xml:space="preserve">: Tkinter con </w:t>
      </w:r>
      <w:r>
        <w:rPr>
          <w:rFonts w:ascii="Consolas" w:hAnsi="Consolas"/>
          <w:sz w:val="18"/>
        </w:rPr>
        <w:t>ttkbootstrap</w:t>
      </w:r>
      <w:r>
        <w:t>.</w:t>
      </w:r>
    </w:p>
    <w:p>
      <w:pPr>
        <w:pStyle w:val="ListBullet"/>
      </w:pPr>
      <w:r>
        <w:rPr>
          <w:b/>
        </w:rPr>
        <w:t>Análisis y mapas</w:t>
      </w:r>
      <w:r>
        <w:t xml:space="preserve">: </w:t>
      </w:r>
      <w:r>
        <w:rPr>
          <w:rFonts w:ascii="Consolas" w:hAnsi="Consolas"/>
          <w:sz w:val="18"/>
        </w:rPr>
        <w:t>numpy</w:t>
      </w:r>
      <w:r>
        <w:t xml:space="preserve">, </w:t>
      </w:r>
      <w:r>
        <w:rPr>
          <w:rFonts w:ascii="Consolas" w:hAnsi="Consolas"/>
          <w:sz w:val="18"/>
        </w:rPr>
        <w:t>pandas</w:t>
      </w:r>
      <w:r>
        <w:t xml:space="preserve">, </w:t>
      </w:r>
      <w:r>
        <w:rPr>
          <w:rFonts w:ascii="Consolas" w:hAnsi="Consolas"/>
          <w:sz w:val="18"/>
        </w:rPr>
        <w:t>scipy</w:t>
      </w:r>
      <w:r>
        <w:t xml:space="preserve">, </w:t>
      </w:r>
      <w:r>
        <w:rPr>
          <w:rFonts w:ascii="Consolas" w:hAnsi="Consolas"/>
          <w:sz w:val="18"/>
        </w:rPr>
        <w:t>matplotlib</w:t>
      </w:r>
      <w:r>
        <w:t xml:space="preserve">, </w:t>
      </w:r>
      <w:r>
        <w:rPr>
          <w:rFonts w:ascii="Consolas" w:hAnsi="Consolas"/>
          <w:sz w:val="18"/>
        </w:rPr>
        <w:t>cartopy</w:t>
      </w:r>
      <w:r>
        <w:t>,</w:t>
      </w:r>
    </w:p>
    <w:p>
      <w:r>
        <w:rPr>
          <w:rFonts w:ascii="Consolas" w:hAnsi="Consolas"/>
          <w:sz w:val="18"/>
        </w:rPr>
        <w:t>shapely</w:t>
      </w:r>
      <w:r>
        <w:t>.</w:t>
      </w:r>
    </w:p>
    <w:p>
      <w:pPr>
        <w:pStyle w:val="ListBullet"/>
      </w:pPr>
      <w:r>
        <w:rPr>
          <w:b/>
        </w:rPr>
        <w:t>Base de datos</w:t>
      </w:r>
      <w:r>
        <w:t xml:space="preserve">: PostgreSQL (SeisComp), vía </w:t>
      </w:r>
      <w:r>
        <w:rPr>
          <w:rFonts w:ascii="Consolas" w:hAnsi="Consolas"/>
          <w:sz w:val="18"/>
        </w:rPr>
        <w:t>psycopg2</w:t>
      </w:r>
      <w:r>
        <w:t>.</w:t>
      </w:r>
    </w:p>
    <w:p>
      <w:pPr>
        <w:pStyle w:val="ListBullet"/>
      </w:pPr>
      <w:r>
        <w:rPr>
          <w:b/>
        </w:rPr>
        <w:t>Red</w:t>
      </w:r>
      <w:r>
        <w:t xml:space="preserve">: </w:t>
      </w:r>
      <w:r>
        <w:rPr>
          <w:rFonts w:ascii="Consolas" w:hAnsi="Consolas"/>
          <w:sz w:val="18"/>
        </w:rPr>
        <w:t>ssh</w:t>
      </w:r>
      <w:r>
        <w:t>/</w:t>
      </w:r>
      <w:r>
        <w:rPr>
          <w:rFonts w:ascii="Consolas" w:hAnsi="Consolas"/>
          <w:sz w:val="18"/>
        </w:rPr>
        <w:t>scp</w:t>
      </w:r>
      <w:r>
        <w:t xml:space="preserve"> (con </w:t>
      </w:r>
      <w:r>
        <w:rPr>
          <w:rFonts w:ascii="Consolas" w:hAnsi="Consolas"/>
          <w:sz w:val="18"/>
        </w:rPr>
        <w:t>SSH_ASKPASS</w:t>
      </w:r>
      <w:r>
        <w:t xml:space="preserve">) y </w:t>
      </w:r>
      <w:r>
        <w:rPr>
          <w:rFonts w:ascii="Consolas" w:hAnsi="Consolas"/>
          <w:sz w:val="18"/>
        </w:rPr>
        <w:t>requests</w:t>
      </w:r>
      <w:r>
        <w:t xml:space="preserve"> para las APIs de agencias.</w:t>
      </w:r>
    </w:p>
    <w:p>
      <w:pPr>
        <w:pStyle w:val="ListBullet"/>
      </w:pPr>
      <w:r>
        <w:rPr>
          <w:b/>
        </w:rPr>
        <w:t>Entorno</w:t>
      </w:r>
      <w:r>
        <w:t>: entorno virtual (</w:t>
      </w:r>
      <w:r>
        <w:rPr>
          <w:rFonts w:ascii="Consolas" w:hAnsi="Consolas"/>
          <w:sz w:val="18"/>
        </w:rPr>
        <w:t>.venv</w:t>
      </w:r>
      <w:r>
        <w:t xml:space="preserve">) reproducido desde </w:t>
      </w:r>
      <w:r>
        <w:rPr>
          <w:rFonts w:ascii="Consolas" w:hAnsi="Consolas"/>
          <w:sz w:val="18"/>
        </w:rPr>
        <w:t>requirements.txt</w:t>
      </w:r>
    </w:p>
    <w:p>
      <w:r>
        <w:t xml:space="preserve">por </w:t>
      </w:r>
      <w:r>
        <w:rPr>
          <w:rFonts w:ascii="Consolas" w:hAnsi="Consolas"/>
          <w:sz w:val="18"/>
        </w:rPr>
        <w:t>supervisor.sh</w:t>
      </w:r>
      <w:r>
        <w:t xml:space="preserve"> / </w:t>
      </w:r>
      <w:r>
        <w:rPr>
          <w:rFonts w:ascii="Consolas" w:hAnsi="Consolas"/>
          <w:sz w:val="18"/>
        </w:rPr>
        <w:t>preparar_venv.sh</w:t>
      </w:r>
      <w:r>
        <w:t>.</w:t>
      </w:r>
    </w:p>
    <w:p>
      <w:pPr>
        <w:pStyle w:val="Heading3"/>
      </w:pPr>
      <w:r>
        <w:t>3.5 Método de trabajo</w:t>
      </w:r>
    </w:p>
    <w:p>
      <w:r>
        <w:t xml:space="preserve">Cada corrida sigue el mismo ciclo: </w:t>
      </w:r>
      <w:r>
        <w:rPr>
          <w:b/>
        </w:rPr>
        <w:t>solicitar</w:t>
      </w:r>
      <w:r>
        <w:t xml:space="preserve"> (bajar los tres catálogos) → </w:t>
      </w:r>
      <w:r>
        <w:rPr>
          <w:b/>
        </w:rPr>
        <w:t>procesar</w:t>
      </w:r>
      <w:r>
        <w:t xml:space="preserve"> (análisis por etapas) → </w:t>
      </w:r>
      <w:r>
        <w:rPr>
          <w:b/>
        </w:rPr>
        <w:t>consultar</w:t>
      </w:r>
      <w:r>
        <w:t xml:space="preserve"> (pestañas de revisión) → </w:t>
      </w:r>
      <w:r>
        <w:rPr>
          <w:b/>
        </w:rPr>
        <w:t>entregar</w:t>
      </w:r>
      <w:r>
        <w:t xml:space="preserve"> (descargas). Los resultados se guardan como </w:t>
      </w:r>
      <w:r>
        <w:rPr>
          <w:b/>
        </w:rPr>
        <w:t>caché</w:t>
      </w:r>
      <w:r>
        <w:t xml:space="preserve"> que la app relee al reabrir (comparando fechas contra su entrada), de modo que solo se rehace lo que cambió.</w:t>
      </w:r>
    </w:p>
    <w:p>
      <w:pPr>
        <w:pStyle w:val="Heading2"/>
      </w:pPr>
      <w:r>
        <w:t>4. Requerimientos</w:t>
      </w:r>
    </w:p>
    <w:p>
      <w:pPr>
        <w:pStyle w:val="Heading3"/>
      </w:pPr>
      <w:r>
        <w:t>4.1 Requerimientos funcionales por módulo</w:t>
      </w:r>
    </w:p>
    <w:p>
      <w:r>
        <w:rPr>
          <w:b/>
        </w:rPr>
        <w:t>Módulo 1 — Solicitud y descarga de catálogos.</w:t>
      </w:r>
    </w:p>
    <w:p>
      <w:pPr>
        <w:pStyle w:val="ListBullet"/>
      </w:pPr>
      <w:r>
        <w:t>RF1.1 Solicitar un período (inicio, fin) y una contraseña de servidor remoto.</w:t>
      </w:r>
    </w:p>
    <w:p>
      <w:pPr>
        <w:pStyle w:val="ListBullet"/>
      </w:pPr>
      <w:r>
        <w:t xml:space="preserve">RF1.2 Bajar </w:t>
      </w:r>
      <w:r>
        <w:rPr>
          <w:rFonts w:ascii="Consolas" w:hAnsi="Consolas"/>
          <w:sz w:val="18"/>
        </w:rPr>
        <w:t>select.out</w:t>
      </w:r>
      <w:r>
        <w:t xml:space="preserve"> (Seisan) y el CSV de eventquery por SSH/SCP.</w:t>
      </w:r>
    </w:p>
    <w:p>
      <w:pPr>
        <w:pStyle w:val="ListBullet"/>
      </w:pPr>
      <w:r>
        <w:t>RF1.3 Exportar la ventana de SeisComp desde PostgreSQL para el mismo período.</w:t>
      </w:r>
    </w:p>
    <w:p>
      <w:pPr>
        <w:pStyle w:val="ListBullet"/>
      </w:pPr>
      <w:r>
        <w:t>RF1.4 Reusar un catálogo si ya está en disco para esa ventana.</w:t>
      </w:r>
    </w:p>
    <w:p>
      <w:pPr>
        <w:pStyle w:val="ListBullet"/>
      </w:pPr>
      <w:r>
        <w:t>RF1.5 Continuar aunque falle un catálogo, informando cuál quedó afuera.</w:t>
      </w:r>
    </w:p>
    <w:p>
      <w:pPr>
        <w:pStyle w:val="ListBullet"/>
      </w:pPr>
      <w:r>
        <w:t>RF1.6 Re-exportar selectivamente el catálogo que falta o cambió.</w:t>
      </w:r>
    </w:p>
    <w:p>
      <w:r>
        <w:rPr>
          <w:b/>
        </w:rPr>
        <w:t>Módulo 2 — Procesamiento y análisis.</w:t>
      </w:r>
    </w:p>
    <w:p>
      <w:pPr>
        <w:pStyle w:val="ListBullet"/>
      </w:pPr>
      <w:r>
        <w:t>RF2.1 Normalizar el catálogo público al formato de Seisan.</w:t>
      </w:r>
    </w:p>
    <w:p>
      <w:pPr>
        <w:pStyle w:val="ListBullet"/>
      </w:pPr>
      <w:r>
        <w:t>RF2.2 Separar los eventos revisables de los excluidos (sin agencia,</w:t>
      </w:r>
    </w:p>
    <w:p>
      <w:r>
        <w:t>magnitud, coordenadas o RMS).</w:t>
      </w:r>
    </w:p>
    <w:p>
      <w:pPr>
        <w:pStyle w:val="ListBullet"/>
      </w:pPr>
      <w:r>
        <w:t>RF2.3 Armar el CSV maestro y los CSV por analista.</w:t>
      </w:r>
    </w:p>
    <w:p>
      <w:pPr>
        <w:pStyle w:val="ListBullet"/>
      </w:pPr>
      <w:r>
        <w:t>RF2.4 Comparar el público contra la solución de la fuente (no publicados y no</w:t>
      </w:r>
    </w:p>
    <w:p>
      <w:r>
        <w:t>actualizados), con tolerancias amplia y estricta.</w:t>
      </w:r>
    </w:p>
    <w:p>
      <w:pPr>
        <w:pStyle w:val="ListBullet"/>
      </w:pPr>
      <w:r>
        <w:t>RF2.5 Atribuir cada cruce a la solución de SeisComp.</w:t>
      </w:r>
    </w:p>
    <w:p>
      <w:pPr>
        <w:pStyle w:val="ListBullet"/>
      </w:pPr>
      <w:r>
        <w:t>RF2.6 Detectar repetidos dentro de cada fuente y contra los excluidos.</w:t>
      </w:r>
    </w:p>
    <w:p>
      <w:pPr>
        <w:pStyle w:val="ListBullet"/>
      </w:pPr>
      <w:r>
        <w:t>RF2.7 Asignar un perfil de subducción y clasificar eventos sospechosos.</w:t>
      </w:r>
    </w:p>
    <w:p>
      <w:r>
        <w:rPr>
          <w:b/>
        </w:rPr>
        <w:t>Módulo 3 — Revisión y comparación.</w:t>
      </w:r>
    </w:p>
    <w:p>
      <w:pPr>
        <w:pStyle w:val="ListBullet"/>
      </w:pPr>
      <w:r>
        <w:t>RF3.1 Comparar numéricamente los parámetros (lat, lon, prof, mag) a la</w:t>
      </w:r>
    </w:p>
    <w:p>
      <w:r>
        <w:t>precisión de los datos.</w:t>
      </w:r>
    </w:p>
    <w:p>
      <w:pPr>
        <w:pStyle w:val="ListBullet"/>
      </w:pPr>
      <w:r>
        <w:t>RF3.2 Mostrar «No publicados» y «No actualizados», con el Δ por parámetro.</w:t>
      </w:r>
    </w:p>
    <w:p>
      <w:pPr>
        <w:pStyle w:val="ListBullet"/>
      </w:pPr>
      <w:r>
        <w:t>RF3.3 Presentar el detalle y el Δ entre la solución de la fuente y la publicada.</w:t>
      </w:r>
    </w:p>
    <w:p>
      <w:r>
        <w:rPr>
          <w:b/>
        </w:rPr>
        <w:t>Módulo 4 — Revisión SeisComp.</w:t>
      </w:r>
    </w:p>
    <w:p>
      <w:pPr>
        <w:pStyle w:val="ListBullet"/>
      </w:pPr>
      <w:r>
        <w:t>RF4.1 Listar el catálogo de SeisComp con su detalle de parámetros.</w:t>
      </w:r>
    </w:p>
    <w:p>
      <w:pPr>
        <w:pStyle w:val="ListBullet"/>
      </w:pPr>
      <w:r>
        <w:t>RF4.2 Mostrar las estaciones del evento (con y sin arribos).</w:t>
      </w:r>
    </w:p>
    <w:p>
      <w:pPr>
        <w:pStyle w:val="ListBullet"/>
      </w:pPr>
      <w:r>
        <w:t xml:space="preserve">RF4.3 Distinguir picks </w:t>
      </w:r>
      <w:r>
        <w:rPr>
          <w:b/>
        </w:rPr>
        <w:t>manuales</w:t>
      </w:r>
      <w:r>
        <w:t xml:space="preserve"> de </w:t>
      </w:r>
      <w:r>
        <w:rPr>
          <w:b/>
        </w:rPr>
        <w:t>automáticos</w:t>
      </w:r>
      <w:r>
        <w:t xml:space="preserve"> y si entraron a la</w:t>
      </w:r>
    </w:p>
    <w:p>
      <w:r>
        <w:t>solución.</w:t>
      </w:r>
    </w:p>
    <w:p>
      <w:pPr>
        <w:pStyle w:val="ListBullet"/>
      </w:pPr>
      <w:r>
        <w:t>RF4.4 Ejecutar el «Análisis rápido» de estaciones sin arribos cercanas.</w:t>
      </w:r>
    </w:p>
    <w:p>
      <w:pPr>
        <w:pStyle w:val="ListBullet"/>
      </w:pPr>
      <w:r>
        <w:t>RF4.5 Ampliar el radio de un evento consultando la base.</w:t>
      </w:r>
    </w:p>
    <w:p>
      <w:r>
        <w:rPr>
          <w:b/>
        </w:rPr>
        <w:t>Módulo 5 — Comparación con agencias.</w:t>
      </w:r>
    </w:p>
    <w:p>
      <w:pPr>
        <w:pStyle w:val="ListBullet"/>
      </w:pPr>
      <w:r>
        <w:t>RF5.1 Consultar catálogos de EMSC, USGS y GFZ por HTTP/JSON.</w:t>
      </w:r>
    </w:p>
    <w:p>
      <w:pPr>
        <w:pStyle w:val="ListBullet"/>
      </w:pPr>
      <w:r>
        <w:t>RF5.2 Normalizar y comparar contra nuestro catálogo publicado.</w:t>
      </w:r>
    </w:p>
    <w:p>
      <w:pPr>
        <w:pStyle w:val="ListBullet"/>
      </w:pPr>
      <w:r>
        <w:t>RF5.3 Reutilizar la comparación si no cambió ningún insumo.</w:t>
      </w:r>
    </w:p>
    <w:p>
      <w:pPr>
        <w:pStyle w:val="ListBullet"/>
      </w:pPr>
      <w:r>
        <w:t>RF5.4 Resumir la cobertura temporal real por agencia.</w:t>
      </w:r>
    </w:p>
    <w:p>
      <w:r>
        <w:rPr>
          <w:b/>
        </w:rPr>
        <w:t>Módulo 6 — Reportería, entregables y trazabilidad.</w:t>
      </w:r>
    </w:p>
    <w:p>
      <w:pPr>
        <w:pStyle w:val="ListBullet"/>
      </w:pPr>
      <w:r>
        <w:t>RF6.1 Generar mapas (planta y perfil de subducción) y paneles de análisis.</w:t>
      </w:r>
    </w:p>
    <w:p>
      <w:pPr>
        <w:pStyle w:val="ListBullet"/>
      </w:pPr>
      <w:r>
        <w:t>RF6.2 Ofrecer la descarga de listados en CSV (UTF-8 con BOM) o TXT.</w:t>
      </w:r>
    </w:p>
    <w:p>
      <w:pPr>
        <w:pStyle w:val="ListBullet"/>
      </w:pPr>
      <w:r>
        <w:t xml:space="preserve">RF6.3 Escribir los entregables automáticos solo con </w:t>
      </w:r>
      <w:r>
        <w:rPr>
          <w:rFonts w:ascii="Consolas" w:hAnsi="Consolas"/>
          <w:sz w:val="18"/>
        </w:rPr>
        <w:t>RV_ENTREGABLES=1</w:t>
      </w:r>
      <w:r>
        <w:t>.</w:t>
      </w:r>
    </w:p>
    <w:p>
      <w:pPr>
        <w:pStyle w:val="ListBullet"/>
      </w:pPr>
      <w:r>
        <w:t>RF6.4 Registrar la traza de la app (</w:t>
      </w:r>
      <w:r>
        <w:rPr>
          <w:rFonts w:ascii="Consolas" w:hAnsi="Consolas"/>
          <w:sz w:val="18"/>
        </w:rPr>
        <w:t>informes/app.log</w:t>
      </w:r>
      <w:r>
        <w:t>, con rotación).</w:t>
      </w:r>
    </w:p>
    <w:p>
      <w:pPr>
        <w:pStyle w:val="Heading3"/>
      </w:pPr>
      <w:r>
        <w:t>4.2 Requerimientos no funcionales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Categoría</w:t>
            </w:r>
          </w:p>
        </w:tc>
        <w:tc>
          <w:tcPr>
            <w:tcW w:type="dxa" w:w="4320"/>
          </w:tcPr>
          <w:p>
            <w:r>
              <w:rPr>
                <w:b/>
              </w:rPr>
            </w:r>
            <w:r>
              <w:rPr>
                <w:b/>
              </w:rPr>
              <w:t>Requerimiento</w:t>
            </w:r>
          </w:p>
        </w:tc>
      </w:tr>
      <w:tr>
        <w:tc>
          <w:tcPr>
            <w:tcW w:type="dxa" w:w="4320"/>
          </w:tcPr>
          <w:p>
            <w:r/>
            <w:r>
              <w:t>Rendimiento</w:t>
            </w:r>
          </w:p>
        </w:tc>
        <w:tc>
          <w:tcPr>
            <w:tcW w:type="dxa" w:w="4320"/>
          </w:tcPr>
          <w:p>
            <w:r/>
            <w:r>
              <w:t>La estimación de tamaño de exportación se hace con una muestra, en décimas de segundo; las exportaciones grandes (&gt; 200 MB) piden confirmación.</w:t>
            </w:r>
          </w:p>
        </w:tc>
      </w:tr>
      <w:tr>
        <w:tc>
          <w:tcPr>
            <w:tcW w:type="dxa" w:w="4320"/>
          </w:tcPr>
          <w:p>
            <w:r/>
            <w:r>
              <w:t>Estabilidad gráfica</w:t>
            </w:r>
          </w:p>
        </w:tc>
        <w:tc>
          <w:tcPr>
            <w:tcW w:type="dxa" w:w="4320"/>
          </w:tcPr>
          <w:p>
            <w:r/>
            <w:r>
              <w:t>Las ventanas pasan de 980×820 a un tope de 1920×1080; los diálogos emergentes se muestran solo con su tamaño y posición finales, centrados en el monitor de la ventana principal.</w:t>
            </w:r>
          </w:p>
        </w:tc>
      </w:tr>
      <w:tr>
        <w:tc>
          <w:tcPr>
            <w:tcW w:type="dxa" w:w="4320"/>
          </w:tcPr>
          <w:p>
            <w:r/>
            <w:r>
              <w:t>Usabilidad</w:t>
            </w:r>
          </w:p>
        </w:tc>
        <w:tc>
          <w:tcPr>
            <w:tcW w:type="dxa" w:w="4320"/>
          </w:tcPr>
          <w:p>
            <w:r/>
            <w:r>
              <w:t>Una sola pulsación («Procesar catálogos») deja toda la información disponible; los paneles pendientes se generan en segundo plano.</w:t>
            </w:r>
          </w:p>
        </w:tc>
      </w:tr>
      <w:tr>
        <w:tc>
          <w:tcPr>
            <w:tcW w:type="dxa" w:w="4320"/>
          </w:tcPr>
          <w:p>
            <w:r/>
            <w:r>
              <w:t>Portabilidad</w:t>
            </w:r>
          </w:p>
        </w:tc>
        <w:tc>
          <w:tcPr>
            <w:tcW w:type="dxa" w:w="4320"/>
          </w:tcPr>
          <w:p>
            <w:r/>
            <w:r>
              <w:t xml:space="preserve">Corre en Linux con Python 3.7+; el entorno se reconstruye desde </w:t>
            </w:r>
            <w:r>
              <w:rPr>
                <w:rFonts w:ascii="Consolas" w:hAnsi="Consolas"/>
                <w:sz w:val="18"/>
              </w:rPr>
              <w:t>requirements.txt</w:t>
            </w:r>
            <w:r>
              <w:t>.</w:t>
            </w:r>
          </w:p>
        </w:tc>
      </w:tr>
      <w:tr>
        <w:tc>
          <w:tcPr>
            <w:tcW w:type="dxa" w:w="4320"/>
          </w:tcPr>
          <w:p>
            <w:r/>
            <w:r>
              <w:t>Mantenibilidad</w:t>
            </w:r>
          </w:p>
        </w:tc>
        <w:tc>
          <w:tcPr>
            <w:tcW w:type="dxa" w:w="4320"/>
          </w:tcPr>
          <w:p>
            <w:r/>
            <w:r>
              <w:t xml:space="preserve">Un módulo por etapa, constantes de ajuste en mayúsculas, sin </w:t>
            </w:r>
            <w:r>
              <w:rPr>
                <w:rFonts w:ascii="Consolas" w:hAnsi="Consolas"/>
                <w:sz w:val="18"/>
              </w:rPr>
              <w:t>argparse</w:t>
            </w:r>
            <w:r>
              <w:t xml:space="preserve">, y rutas centralizadas en </w:t>
            </w:r>
            <w:r>
              <w:rPr>
                <w:rFonts w:ascii="Consolas" w:hAnsi="Consolas"/>
                <w:sz w:val="18"/>
              </w:rPr>
              <w:t>rutas.py</w:t>
            </w:r>
            <w:r>
              <w:t>.</w:t>
            </w:r>
          </w:p>
        </w:tc>
      </w:tr>
      <w:tr>
        <w:tc>
          <w:tcPr>
            <w:tcW w:type="dxa" w:w="4320"/>
          </w:tcPr>
          <w:p>
            <w:r/>
            <w:r>
              <w:t>Trazabilidad</w:t>
            </w:r>
          </w:p>
        </w:tc>
        <w:tc>
          <w:tcPr>
            <w:tcW w:type="dxa" w:w="4320"/>
          </w:tcPr>
          <w:p>
            <w:r/>
            <w:r>
              <w:t>Cada corrida deja registro y caché; los entregables se distinguen de la caché.</w:t>
            </w:r>
          </w:p>
        </w:tc>
      </w:tr>
      <w:tr>
        <w:tc>
          <w:tcPr>
            <w:tcW w:type="dxa" w:w="4320"/>
          </w:tcPr>
          <w:p>
            <w:r/>
            <w:r>
              <w:t>Seguridad de sesión</w:t>
            </w:r>
          </w:p>
        </w:tc>
        <w:tc>
          <w:tcPr>
            <w:tcW w:type="dxa" w:w="4320"/>
          </w:tcPr>
          <w:p>
            <w:r/>
            <w:r>
              <w:t xml:space="preserve">La contraseña remota se entrega con </w:t>
            </w:r>
            <w:r>
              <w:rPr>
                <w:rFonts w:ascii="Consolas" w:hAnsi="Consolas"/>
                <w:sz w:val="18"/>
              </w:rPr>
              <w:t>SSH_ASKPASS</w:t>
            </w:r>
            <w:r>
              <w:t>; no va por la línea de comandos ni se guarda.</w:t>
            </w:r>
          </w:p>
        </w:tc>
      </w:tr>
      <w:tr>
        <w:tc>
          <w:tcPr>
            <w:tcW w:type="dxa" w:w="4320"/>
          </w:tcPr>
          <w:p>
            <w:r/>
            <w:r>
              <w:t>Precisión numérica</w:t>
            </w:r>
          </w:p>
        </w:tc>
        <w:tc>
          <w:tcPr>
            <w:tcW w:type="dxa" w:w="4320"/>
          </w:tcPr>
          <w:p>
            <w:r/>
            <w:r>
              <w:t>Coordenadas a 3 decimales; profundidad y magnitud a 1; comparación numérica con tolerancia.</w:t>
            </w:r>
          </w:p>
        </w:tc>
      </w:tr>
    </w:tbl>
    <w:p/>
    <w:p>
      <w:pPr>
        <w:pStyle w:val="Heading2"/>
      </w:pPr>
      <w:r>
        <w:t>5. Diseño de la solución</w:t>
      </w:r>
    </w:p>
    <w:p>
      <w:pPr>
        <w:pStyle w:val="Heading3"/>
      </w:pPr>
      <w:r>
        <w:t>5.1 Diagrama de contexto</w:t>
      </w:r>
    </w:p>
    <w:p>
      <w:r>
        <w:t>La herramienta interactúa con el supervisor y con tres fuentes externas: el servidor de catálogos (Seisan), la base de SeisComp y las APIs de agencias.</w:t>
      </w:r>
    </w:p>
    <w:p>
      <w:pPr>
        <w:jc w:val="center"/>
      </w:pPr>
      <w:r>
        <w:drawing>
          <wp:inline xmlns:a="http://schemas.openxmlformats.org/drawingml/2006/main" xmlns:pic="http://schemas.openxmlformats.org/drawingml/2006/picture">
            <wp:extent cx="5486400" cy="2031204"/>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486400" cy="2031204"/>
                    </a:xfrm>
                    <a:prstGeom prst="rect"/>
                  </pic:spPr>
                </pic:pic>
              </a:graphicData>
            </a:graphic>
          </wp:inline>
        </w:drawing>
      </w:r>
    </w:p>
    <w:p>
      <w:pPr>
        <w:jc w:val="center"/>
      </w:pPr>
      <w:r>
        <w:rPr>
          <w:i/>
          <w:sz w:val="18"/>
        </w:rPr>
        <w:t>Diagrama de contexto de RCS</w:t>
      </w:r>
    </w:p>
    <w:p>
      <w:pPr>
        <w:pStyle w:val="Heading3"/>
      </w:pPr>
      <w:r>
        <w:t>5.2 Vistas de arquitectura (modelo 4+1)</w:t>
      </w:r>
    </w:p>
    <w:p>
      <w:r>
        <w:t xml:space="preserve">Se documenta la arquitectura con el modelo </w:t>
      </w:r>
      <w:r>
        <w:rPr>
          <w:b/>
        </w:rPr>
        <w:t>4+1</w:t>
      </w:r>
      <w:r>
        <w:t>: cuatro vistas complementarias y los escenarios que las validan.</w:t>
      </w:r>
    </w:p>
    <w:p>
      <w:pPr>
        <w:pStyle w:val="Heading3"/>
      </w:pPr>
      <w:r>
        <w:t>5.2.1 Vista lógica</w:t>
      </w:r>
    </w:p>
    <w:p>
      <w:r>
        <w:t>Organiza el sistema en los seis módulos de la Sección 4, más la interfaz de orquestación y las capas compartidas (</w:t>
      </w:r>
      <w:r>
        <w:rPr>
          <w:rFonts w:ascii="Consolas" w:hAnsi="Consolas"/>
          <w:sz w:val="18"/>
        </w:rPr>
        <w:t>rutas.py</w:t>
      </w:r>
      <w:r>
        <w:t xml:space="preserve">, </w:t>
      </w:r>
      <w:r>
        <w:rPr>
          <w:rFonts w:ascii="Consolas" w:hAnsi="Consolas"/>
          <w:sz w:val="18"/>
        </w:rPr>
        <w:t>prog.py</w:t>
      </w:r>
      <w:r>
        <w:t xml:space="preserve">, </w:t>
      </w:r>
      <w:r>
        <w:rPr>
          <w:rFonts w:ascii="Consolas" w:hAnsi="Consolas"/>
          <w:sz w:val="18"/>
        </w:rPr>
        <w:t>comparacion.py</w:t>
      </w:r>
      <w:r>
        <w:t>).</w:t>
      </w:r>
    </w:p>
    <w:p>
      <w:pPr>
        <w:jc w:val="center"/>
      </w:pPr>
      <w:r>
        <w:drawing>
          <wp:inline xmlns:a="http://schemas.openxmlformats.org/drawingml/2006/main" xmlns:pic="http://schemas.openxmlformats.org/drawingml/2006/picture">
            <wp:extent cx="5486400" cy="5049878"/>
            <wp:docPr id="2" name="Picture 2"/>
            <wp:cNvGraphicFramePr>
              <a:graphicFrameLocks noChangeAspect="1"/>
            </wp:cNvGraphicFramePr>
            <a:graphic>
              <a:graphicData uri="http://schemas.openxmlformats.org/drawingml/2006/picture">
                <pic:pic>
                  <pic:nvPicPr>
                    <pic:cNvPr id="0" name="02_vista_logica.png"/>
                    <pic:cNvPicPr/>
                  </pic:nvPicPr>
                  <pic:blipFill>
                    <a:blip r:embed="rId10"/>
                    <a:stretch>
                      <a:fillRect/>
                    </a:stretch>
                  </pic:blipFill>
                  <pic:spPr>
                    <a:xfrm>
                      <a:off x="0" y="0"/>
                      <a:ext cx="5486400" cy="5049878"/>
                    </a:xfrm>
                    <a:prstGeom prst="rect"/>
                  </pic:spPr>
                </pic:pic>
              </a:graphicData>
            </a:graphic>
          </wp:inline>
        </w:drawing>
      </w:r>
    </w:p>
    <w:p>
      <w:pPr>
        <w:jc w:val="center"/>
      </w:pPr>
      <w:r>
        <w:rPr>
          <w:i/>
          <w:sz w:val="18"/>
        </w:rPr>
        <w:t>Vista lógica: módulos y dependencias</w:t>
      </w:r>
    </w:p>
    <w:p>
      <w:pPr>
        <w:pStyle w:val="Heading3"/>
      </w:pPr>
      <w:r>
        <w:t>5.2.2 Vista de procesos</w:t>
      </w:r>
    </w:p>
    <w:p>
      <w:r>
        <w:t xml:space="preserve">Describe la dinámica de una corrida: </w:t>
      </w:r>
      <w:r>
        <w:rPr>
          <w:rFonts w:ascii="Consolas" w:hAnsi="Consolas"/>
          <w:sz w:val="18"/>
        </w:rPr>
        <w:t>app.py</w:t>
      </w:r>
      <w:r>
        <w:t xml:space="preserve"> lanza cada script del pipeline como subproceso y recibe, por la salida estándar, las líneas de progreso (</w:t>
      </w:r>
      <w:r>
        <w:rPr>
          <w:rFonts w:ascii="Consolas" w:hAnsi="Consolas"/>
          <w:sz w:val="18"/>
        </w:rPr>
        <w:t>@@PROGRESO@@</w:t>
      </w:r>
      <w:r>
        <w:t>). La GUI no ejecuta lógica de negocio.</w:t>
      </w:r>
    </w:p>
    <w:p>
      <w:pPr>
        <w:jc w:val="center"/>
      </w:pPr>
      <w:r>
        <w:drawing>
          <wp:inline xmlns:a="http://schemas.openxmlformats.org/drawingml/2006/main" xmlns:pic="http://schemas.openxmlformats.org/drawingml/2006/picture">
            <wp:extent cx="5486400" cy="5180620"/>
            <wp:docPr id="3" name="Picture 3"/>
            <wp:cNvGraphicFramePr>
              <a:graphicFrameLocks noChangeAspect="1"/>
            </wp:cNvGraphicFramePr>
            <a:graphic>
              <a:graphicData uri="http://schemas.openxmlformats.org/drawingml/2006/picture">
                <pic:pic>
                  <pic:nvPicPr>
                    <pic:cNvPr id="0" name="03_vista_procesos.png"/>
                    <pic:cNvPicPr/>
                  </pic:nvPicPr>
                  <pic:blipFill>
                    <a:blip r:embed="rId11"/>
                    <a:stretch>
                      <a:fillRect/>
                    </a:stretch>
                  </pic:blipFill>
                  <pic:spPr>
                    <a:xfrm>
                      <a:off x="0" y="0"/>
                      <a:ext cx="5486400" cy="5180620"/>
                    </a:xfrm>
                    <a:prstGeom prst="rect"/>
                  </pic:spPr>
                </pic:pic>
              </a:graphicData>
            </a:graphic>
          </wp:inline>
        </w:drawing>
      </w:r>
    </w:p>
    <w:p>
      <w:pPr>
        <w:jc w:val="center"/>
      </w:pPr>
      <w:r>
        <w:rPr>
          <w:i/>
          <w:sz w:val="18"/>
        </w:rPr>
        <w:t>Vista de procesos: un ciclo de «Procesar catálogos»</w:t>
      </w:r>
    </w:p>
    <w:p>
      <w:pPr>
        <w:pStyle w:val="Heading3"/>
      </w:pPr>
      <w:r>
        <w:t>5.2.3 Vista de desarrollo (implementación)</w:t>
      </w:r>
    </w:p>
    <w:p>
      <w:r>
        <w:t xml:space="preserve">Muestra la organización del código y los artefactos: módulos en la raíz, plantillas y grillas como insumos, </w:t>
      </w:r>
      <w:r>
        <w:rPr>
          <w:rFonts w:ascii="Consolas" w:hAnsi="Consolas"/>
          <w:sz w:val="18"/>
        </w:rPr>
        <w:t>docs/</w:t>
      </w:r>
      <w:r>
        <w:t xml:space="preserve"> para la documentación y </w:t>
      </w:r>
      <w:r>
        <w:rPr>
          <w:rFonts w:ascii="Consolas" w:hAnsi="Consolas"/>
          <w:sz w:val="18"/>
        </w:rPr>
        <w:t>verificacion/</w:t>
      </w:r>
      <w:r>
        <w:t xml:space="preserve"> para las comprobaciones end-to-end.</w:t>
      </w:r>
    </w:p>
    <w:p>
      <w:pPr>
        <w:jc w:val="center"/>
      </w:pPr>
      <w:r>
        <w:drawing>
          <wp:inline xmlns:a="http://schemas.openxmlformats.org/drawingml/2006/main" xmlns:pic="http://schemas.openxmlformats.org/drawingml/2006/picture">
            <wp:extent cx="5486400" cy="7933432"/>
            <wp:docPr id="4" name="Picture 4"/>
            <wp:cNvGraphicFramePr>
              <a:graphicFrameLocks noChangeAspect="1"/>
            </wp:cNvGraphicFramePr>
            <a:graphic>
              <a:graphicData uri="http://schemas.openxmlformats.org/drawingml/2006/picture">
                <pic:pic>
                  <pic:nvPicPr>
                    <pic:cNvPr id="0" name="04_vista_desarrollo.png"/>
                    <pic:cNvPicPr/>
                  </pic:nvPicPr>
                  <pic:blipFill>
                    <a:blip r:embed="rId12"/>
                    <a:stretch>
                      <a:fillRect/>
                    </a:stretch>
                  </pic:blipFill>
                  <pic:spPr>
                    <a:xfrm>
                      <a:off x="0" y="0"/>
                      <a:ext cx="5486400" cy="7933432"/>
                    </a:xfrm>
                    <a:prstGeom prst="rect"/>
                  </pic:spPr>
                </pic:pic>
              </a:graphicData>
            </a:graphic>
          </wp:inline>
        </w:drawing>
      </w:r>
    </w:p>
    <w:p>
      <w:pPr>
        <w:jc w:val="center"/>
      </w:pPr>
      <w:r>
        <w:rPr>
          <w:i/>
          <w:sz w:val="18"/>
        </w:rPr>
        <w:t>Vista de desarrollo: organización de archivos</w:t>
      </w:r>
    </w:p>
    <w:p>
      <w:pPr>
        <w:pStyle w:val="Heading3"/>
      </w:pPr>
      <w:r>
        <w:t>5.2.4 Vista física (despliegue)</w:t>
      </w:r>
    </w:p>
    <w:p>
      <w:r>
        <w:t xml:space="preserve">La aplicación corre en una estación de trabajo Linux con su entorno virtual. Se conecta por </w:t>
      </w:r>
      <w:r>
        <w:rPr>
          <w:b/>
        </w:rPr>
        <w:t>SSH/SCP</w:t>
      </w:r>
      <w:r>
        <w:t xml:space="preserve"> al servidor de catálogos, por </w:t>
      </w:r>
      <w:r>
        <w:rPr>
          <w:b/>
        </w:rPr>
        <w:t>SQL</w:t>
      </w:r>
      <w:r>
        <w:t xml:space="preserve"> a la base de SeisComp (PostgreSQL) y por </w:t>
      </w:r>
      <w:r>
        <w:rPr>
          <w:b/>
        </w:rPr>
        <w:t>HTTPS/JSON</w:t>
      </w:r>
      <w:r>
        <w:t xml:space="preserve"> a las APIs de agencias.</w:t>
      </w:r>
    </w:p>
    <w:p>
      <w:pPr>
        <w:jc w:val="center"/>
      </w:pPr>
      <w:r>
        <w:drawing>
          <wp:inline xmlns:a="http://schemas.openxmlformats.org/drawingml/2006/main" xmlns:pic="http://schemas.openxmlformats.org/drawingml/2006/picture">
            <wp:extent cx="5486400" cy="3778670"/>
            <wp:docPr id="5" name="Picture 5"/>
            <wp:cNvGraphicFramePr>
              <a:graphicFrameLocks noChangeAspect="1"/>
            </wp:cNvGraphicFramePr>
            <a:graphic>
              <a:graphicData uri="http://schemas.openxmlformats.org/drawingml/2006/picture">
                <pic:pic>
                  <pic:nvPicPr>
                    <pic:cNvPr id="0" name="05_vista_despliegue.png"/>
                    <pic:cNvPicPr/>
                  </pic:nvPicPr>
                  <pic:blipFill>
                    <a:blip r:embed="rId13"/>
                    <a:stretch>
                      <a:fillRect/>
                    </a:stretch>
                  </pic:blipFill>
                  <pic:spPr>
                    <a:xfrm>
                      <a:off x="0" y="0"/>
                      <a:ext cx="5486400" cy="3778670"/>
                    </a:xfrm>
                    <a:prstGeom prst="rect"/>
                  </pic:spPr>
                </pic:pic>
              </a:graphicData>
            </a:graphic>
          </wp:inline>
        </w:drawing>
      </w:r>
    </w:p>
    <w:p>
      <w:pPr>
        <w:jc w:val="center"/>
      </w:pPr>
      <w:r>
        <w:rPr>
          <w:i/>
          <w:sz w:val="18"/>
        </w:rPr>
        <w:t>Vista física: nodos y protocolos</w:t>
      </w:r>
    </w:p>
    <w:p>
      <w:pPr>
        <w:pStyle w:val="Heading3"/>
      </w:pPr>
      <w:r>
        <w:t>5.2.5 Escenarios (casos de uso)</w:t>
      </w:r>
    </w:p>
    <w:p>
      <w:r>
        <w:t xml:space="preserve">Los escenarios validan las cuatro vistas anteriores. Los casos de uso principales y sus relaciones de </w:t>
      </w:r>
      <w:r>
        <w:rPr>
          <w:rFonts w:ascii="Consolas" w:hAnsi="Consolas"/>
          <w:sz w:val="18"/>
        </w:rPr>
        <w:t>include</w:t>
      </w:r>
      <w:r>
        <w:t>/</w:t>
      </w:r>
      <w:r>
        <w:rPr>
          <w:rFonts w:ascii="Consolas" w:hAnsi="Consolas"/>
          <w:sz w:val="18"/>
        </w:rPr>
        <w:t>extend</w:t>
      </w:r>
      <w:r>
        <w:t xml:space="preserve"> se muestran a continuación.</w:t>
      </w:r>
    </w:p>
    <w:p>
      <w:pPr>
        <w:jc w:val="center"/>
      </w:pPr>
      <w:r>
        <w:drawing>
          <wp:inline xmlns:a="http://schemas.openxmlformats.org/drawingml/2006/main" xmlns:pic="http://schemas.openxmlformats.org/drawingml/2006/picture">
            <wp:extent cx="5486400" cy="4733086"/>
            <wp:docPr id="6" name="Picture 6"/>
            <wp:cNvGraphicFramePr>
              <a:graphicFrameLocks noChangeAspect="1"/>
            </wp:cNvGraphicFramePr>
            <a:graphic>
              <a:graphicData uri="http://schemas.openxmlformats.org/drawingml/2006/picture">
                <pic:pic>
                  <pic:nvPicPr>
                    <pic:cNvPr id="0" name="06_casos_de_uso.png"/>
                    <pic:cNvPicPr/>
                  </pic:nvPicPr>
                  <pic:blipFill>
                    <a:blip r:embed="rId14"/>
                    <a:stretch>
                      <a:fillRect/>
                    </a:stretch>
                  </pic:blipFill>
                  <pic:spPr>
                    <a:xfrm>
                      <a:off x="0" y="0"/>
                      <a:ext cx="5486400" cy="4733086"/>
                    </a:xfrm>
                    <a:prstGeom prst="rect"/>
                  </pic:spPr>
                </pic:pic>
              </a:graphicData>
            </a:graphic>
          </wp:inline>
        </w:drawing>
      </w:r>
    </w:p>
    <w:p>
      <w:pPr>
        <w:jc w:val="center"/>
      </w:pPr>
      <w:r>
        <w:rPr>
          <w:i/>
          <w:sz w:val="18"/>
        </w:rPr>
        <w:t>Casos de uso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Caso de uso</w:t>
            </w:r>
          </w:p>
        </w:tc>
        <w:tc>
          <w:tcPr>
            <w:tcW w:type="dxa" w:w="2880"/>
          </w:tcPr>
          <w:p>
            <w:r>
              <w:rPr>
                <w:b/>
              </w:rPr>
            </w:r>
            <w:r>
              <w:rPr>
                <w:b/>
              </w:rPr>
              <w:t>Actor</w:t>
            </w:r>
          </w:p>
        </w:tc>
        <w:tc>
          <w:tcPr>
            <w:tcW w:type="dxa" w:w="2880"/>
          </w:tcPr>
          <w:p>
            <w:r>
              <w:rPr>
                <w:b/>
              </w:rPr>
            </w:r>
            <w:r>
              <w:rPr>
                <w:b/>
              </w:rPr>
              <w:t>Descripción</w:t>
            </w:r>
          </w:p>
        </w:tc>
      </w:tr>
      <w:tr>
        <w:tc>
          <w:tcPr>
            <w:tcW w:type="dxa" w:w="2880"/>
          </w:tcPr>
          <w:p>
            <w:r/>
            <w:r>
              <w:t>Solicitar y descargar catálogos</w:t>
            </w:r>
          </w:p>
        </w:tc>
        <w:tc>
          <w:tcPr>
            <w:tcW w:type="dxa" w:w="2880"/>
          </w:tcPr>
          <w:p>
            <w:r/>
            <w:r>
              <w:t>Supervisor</w:t>
            </w:r>
          </w:p>
        </w:tc>
        <w:tc>
          <w:tcPr>
            <w:tcW w:type="dxa" w:w="2880"/>
          </w:tcPr>
          <w:p>
            <w:r/>
            <w:r>
              <w:t>Baja Seisan, eventquery y la exportación de SeisComp.</w:t>
            </w:r>
          </w:p>
        </w:tc>
      </w:tr>
      <w:tr>
        <w:tc>
          <w:tcPr>
            <w:tcW w:type="dxa" w:w="2880"/>
          </w:tcPr>
          <w:p>
            <w:r/>
            <w:r>
              <w:t>Procesar catálogos</w:t>
            </w:r>
          </w:p>
        </w:tc>
        <w:tc>
          <w:tcPr>
            <w:tcW w:type="dxa" w:w="2880"/>
          </w:tcPr>
          <w:p>
            <w:r/>
            <w:r>
              <w:t>Supervisor</w:t>
            </w:r>
          </w:p>
        </w:tc>
        <w:tc>
          <w:tcPr>
            <w:tcW w:type="dxa" w:w="2880"/>
          </w:tcPr>
          <w:p>
            <w:r/>
            <w:r>
              <w:t>Corre el análisis por etapas.</w:t>
            </w:r>
          </w:p>
        </w:tc>
      </w:tr>
      <w:tr>
        <w:tc>
          <w:tcPr>
            <w:tcW w:type="dxa" w:w="2880"/>
          </w:tcPr>
          <w:p>
            <w:r/>
            <w:r>
              <w:t>Ver repetidos</w:t>
            </w:r>
          </w:p>
        </w:tc>
        <w:tc>
          <w:tcPr>
            <w:tcW w:type="dxa" w:w="2880"/>
          </w:tcPr>
          <w:p>
            <w:r/>
            <w:r>
              <w:t>Supervisor</w:t>
            </w:r>
          </w:p>
        </w:tc>
        <w:tc>
          <w:tcPr>
            <w:tcW w:type="dxa" w:w="2880"/>
          </w:tcPr>
          <w:p>
            <w:r/>
            <w:r>
              <w:t>Lista duplicados por fuente.</w:t>
            </w:r>
          </w:p>
        </w:tc>
      </w:tr>
      <w:tr>
        <w:tc>
          <w:tcPr>
            <w:tcW w:type="dxa" w:w="2880"/>
          </w:tcPr>
          <w:p>
            <w:r/>
            <w:r>
              <w:t>Ver No publicados</w:t>
            </w:r>
          </w:p>
        </w:tc>
        <w:tc>
          <w:tcPr>
            <w:tcW w:type="dxa" w:w="2880"/>
          </w:tcPr>
          <w:p>
            <w:r/>
            <w:r>
              <w:t>Supervisor</w:t>
            </w:r>
          </w:p>
        </w:tc>
        <w:tc>
          <w:tcPr>
            <w:tcW w:type="dxa" w:w="2880"/>
          </w:tcPr>
          <w:p>
            <w:r/>
            <w:r>
              <w:t>Eventos del público ausentes de la fuente.</w:t>
            </w:r>
          </w:p>
        </w:tc>
      </w:tr>
      <w:tr>
        <w:tc>
          <w:tcPr>
            <w:tcW w:type="dxa" w:w="2880"/>
          </w:tcPr>
          <w:p>
            <w:r/>
            <w:r>
              <w:t>Ver No actualizados</w:t>
            </w:r>
          </w:p>
        </w:tc>
        <w:tc>
          <w:tcPr>
            <w:tcW w:type="dxa" w:w="2880"/>
          </w:tcPr>
          <w:p>
            <w:r/>
            <w:r>
              <w:t>Supervisor</w:t>
            </w:r>
          </w:p>
        </w:tc>
        <w:tc>
          <w:tcPr>
            <w:tcW w:type="dxa" w:w="2880"/>
          </w:tcPr>
          <w:p>
            <w:r/>
            <w:r>
              <w:t>Parámetros publicados que difieren de la fuente.</w:t>
            </w:r>
          </w:p>
        </w:tc>
      </w:tr>
      <w:tr>
        <w:tc>
          <w:tcPr>
            <w:tcW w:type="dxa" w:w="2880"/>
          </w:tcPr>
          <w:p>
            <w:r/>
            <w:r>
              <w:t>Revisar catálogo de SeisComp</w:t>
            </w:r>
          </w:p>
        </w:tc>
        <w:tc>
          <w:tcPr>
            <w:tcW w:type="dxa" w:w="2880"/>
          </w:tcPr>
          <w:p>
            <w:r/>
            <w:r>
              <w:t>Supervisor</w:t>
            </w:r>
          </w:p>
        </w:tc>
        <w:tc>
          <w:tcPr>
            <w:tcW w:type="dxa" w:w="2880"/>
          </w:tcPr>
          <w:p>
            <w:r/>
            <w:r>
              <w:t>Parámetros, fases y estaciones.</w:t>
            </w:r>
          </w:p>
        </w:tc>
      </w:tr>
      <w:tr>
        <w:tc>
          <w:tcPr>
            <w:tcW w:type="dxa" w:w="2880"/>
          </w:tcPr>
          <w:p>
            <w:r/>
            <w:r>
              <w:t>Ver estaciones del evento</w:t>
            </w:r>
          </w:p>
        </w:tc>
        <w:tc>
          <w:tcPr>
            <w:tcW w:type="dxa" w:w="2880"/>
          </w:tcPr>
          <w:p>
            <w:r/>
            <w:r>
              <w:t>Supervisor</w:t>
            </w:r>
          </w:p>
        </w:tc>
        <w:tc>
          <w:tcPr>
            <w:tcW w:type="dxa" w:w="2880"/>
          </w:tcPr>
          <w:p>
            <w:r/>
            <w:r>
              <w:rPr>
                <w:rFonts w:ascii="Consolas" w:hAnsi="Consolas"/>
                <w:sz w:val="18"/>
              </w:rPr>
              <w:t>extend</w:t>
            </w:r>
            <w:r>
              <w:t xml:space="preserve"> de la revisión de SeisComp.</w:t>
            </w:r>
          </w:p>
        </w:tc>
      </w:tr>
      <w:tr>
        <w:tc>
          <w:tcPr>
            <w:tcW w:type="dxa" w:w="2880"/>
          </w:tcPr>
          <w:p>
            <w:r/>
            <w:r>
              <w:t>Análisis rápido</w:t>
            </w:r>
          </w:p>
        </w:tc>
        <w:tc>
          <w:tcPr>
            <w:tcW w:type="dxa" w:w="2880"/>
          </w:tcPr>
          <w:p>
            <w:r/>
            <w:r>
              <w:t>Supervisor</w:t>
            </w:r>
          </w:p>
        </w:tc>
        <w:tc>
          <w:tcPr>
            <w:tcW w:type="dxa" w:w="2880"/>
          </w:tcPr>
          <w:p>
            <w:r/>
            <w:r>
              <w:rPr>
                <w:rFonts w:ascii="Consolas" w:hAnsi="Consolas"/>
                <w:sz w:val="18"/>
              </w:rPr>
              <w:t>extend</w:t>
            </w:r>
            <w:r>
              <w:t>; estaciones sin arribos cercanas.</w:t>
            </w:r>
          </w:p>
        </w:tc>
      </w:tr>
      <w:tr>
        <w:tc>
          <w:tcPr>
            <w:tcW w:type="dxa" w:w="2880"/>
          </w:tcPr>
          <w:p>
            <w:r/>
            <w:r>
              <w:t>Comparar con agencias</w:t>
            </w:r>
          </w:p>
        </w:tc>
        <w:tc>
          <w:tcPr>
            <w:tcW w:type="dxa" w:w="2880"/>
          </w:tcPr>
          <w:p>
            <w:r/>
            <w:r>
              <w:t>Supervisor</w:t>
            </w:r>
          </w:p>
        </w:tc>
        <w:tc>
          <w:tcPr>
            <w:tcW w:type="dxa" w:w="2880"/>
          </w:tcPr>
          <w:p>
            <w:r/>
            <w:r>
              <w:t>Cruce con EMSC/USGS/GFZ.</w:t>
            </w:r>
          </w:p>
        </w:tc>
      </w:tr>
      <w:tr>
        <w:tc>
          <w:tcPr>
            <w:tcW w:type="dxa" w:w="2880"/>
          </w:tcPr>
          <w:p>
            <w:r/>
            <w:r>
              <w:t>Descargar entregables</w:t>
            </w:r>
          </w:p>
        </w:tc>
        <w:tc>
          <w:tcPr>
            <w:tcW w:type="dxa" w:w="2880"/>
          </w:tcPr>
          <w:p>
            <w:r/>
            <w:r>
              <w:t>Supervisor</w:t>
            </w:r>
          </w:p>
        </w:tc>
        <w:tc>
          <w:tcPr>
            <w:tcW w:type="dxa" w:w="2880"/>
          </w:tcPr>
          <w:p>
            <w:r/>
            <w:r>
              <w:t>Listados y mapas.</w:t>
            </w:r>
          </w:p>
        </w:tc>
      </w:tr>
    </w:tbl>
    <w:p/>
    <w:p>
      <w:pPr>
        <w:pStyle w:val="Heading3"/>
      </w:pPr>
      <w:r>
        <w:t>5.3 Modelo relacional de la base de SeisComp</w:t>
      </w:r>
    </w:p>
    <w:p>
      <w:r>
        <w:t>El proyecto consulta un subconjunto de la base de SeisComp (</w:t>
      </w:r>
      <w:r>
        <w:rPr>
          <w:rFonts w:ascii="Consolas" w:hAnsi="Consolas"/>
          <w:sz w:val="18"/>
        </w:rPr>
        <w:t>seiscomp2</w:t>
      </w:r>
      <w:r>
        <w:t xml:space="preserve">). Toda la jerarquía comparte dos piezas: </w:t>
      </w:r>
      <w:r>
        <w:rPr>
          <w:b/>
        </w:rPr>
        <w:t>`object`</w:t>
      </w:r>
      <w:r>
        <w:t xml:space="preserve"> (tabla base con </w:t>
      </w:r>
      <w:r>
        <w:rPr>
          <w:rFonts w:ascii="Consolas" w:hAnsi="Consolas"/>
          <w:sz w:val="18"/>
        </w:rPr>
        <w:t>_oid</w:t>
      </w:r>
      <w:r>
        <w:t xml:space="preserve"> y </w:t>
      </w:r>
      <w:r>
        <w:rPr>
          <w:rFonts w:ascii="Consolas" w:hAnsi="Consolas"/>
          <w:sz w:val="18"/>
        </w:rPr>
        <w:t>_timestamp</w:t>
      </w:r>
      <w:r>
        <w:t xml:space="preserve">) y </w:t>
      </w:r>
      <w:r>
        <w:rPr>
          <w:b/>
        </w:rPr>
        <w:t>`publicobject`</w:t>
      </w:r>
      <w:r>
        <w:t xml:space="preserve"> (traduce </w:t>
      </w:r>
      <w:r>
        <w:rPr>
          <w:rFonts w:ascii="Consolas" w:hAnsi="Consolas"/>
          <w:sz w:val="18"/>
        </w:rPr>
        <w:t>_oid</w:t>
      </w:r>
      <w:r>
        <w:t xml:space="preserve"> → </w:t>
      </w:r>
      <w:r>
        <w:rPr>
          <w:rFonts w:ascii="Consolas" w:hAnsi="Consolas"/>
          <w:sz w:val="18"/>
        </w:rPr>
        <w:t>m_publicid</w:t>
      </w:r>
      <w:r>
        <w:t xml:space="preserve">, el id público en texto). Hay </w:t>
      </w:r>
      <w:r>
        <w:rPr>
          <w:b/>
        </w:rPr>
        <w:t>dos formas de enlazar</w:t>
      </w:r>
      <w:r>
        <w:t xml:space="preserve"> objetos: por </w:t>
      </w:r>
      <w:r>
        <w:rPr>
          <w:rFonts w:ascii="Consolas" w:hAnsi="Consolas"/>
          <w:sz w:val="18"/>
        </w:rPr>
        <w:t>_parent_oid</w:t>
      </w:r>
      <w:r>
        <w:t xml:space="preserve"> (entero) y por </w:t>
      </w:r>
      <w:r>
        <w:rPr>
          <w:b/>
        </w:rPr>
        <w:t>id público</w:t>
      </w:r>
      <w:r>
        <w:t xml:space="preserve"> a través de </w:t>
      </w:r>
      <w:r>
        <w:rPr>
          <w:rFonts w:ascii="Consolas" w:hAnsi="Consolas"/>
          <w:sz w:val="18"/>
        </w:rPr>
        <w:t>publicobject</w:t>
      </w:r>
      <w:r>
        <w:t>.</w:t>
      </w:r>
    </w:p>
    <w:p>
      <w:r>
        <w:t xml:space="preserve">Un detalle relevante: </w:t>
      </w:r>
      <w:r>
        <w:rPr>
          <w:rFonts w:ascii="Consolas" w:hAnsi="Consolas"/>
          <w:sz w:val="18"/>
        </w:rPr>
        <w:t>origin._parent_oid</w:t>
      </w:r>
      <w:r>
        <w:t xml:space="preserve"> </w:t>
      </w:r>
      <w:r>
        <w:rPr>
          <w:b/>
        </w:rPr>
        <w:t>no</w:t>
      </w:r>
      <w:r>
        <w:t xml:space="preserve"> apunta al evento en esta base; el evento se une a su origen </w:t>
      </w:r>
      <w:r>
        <w:rPr>
          <w:b/>
        </w:rPr>
        <w:t>preferido</w:t>
      </w:r>
      <w:r>
        <w:t xml:space="preserve"> por </w:t>
      </w:r>
      <w:r>
        <w:rPr>
          <w:rFonts w:ascii="Consolas" w:hAnsi="Consolas"/>
          <w:sz w:val="18"/>
        </w:rPr>
        <w:t>event.m_preferredoriginid → publicobject → origin._oid</w:t>
      </w:r>
      <w:r>
        <w:t>.</w:t>
      </w:r>
    </w:p>
    <w:p>
      <w:pPr>
        <w:jc w:val="center"/>
      </w:pPr>
      <w:r>
        <w:drawing>
          <wp:inline xmlns:a="http://schemas.openxmlformats.org/drawingml/2006/main" xmlns:pic="http://schemas.openxmlformats.org/drawingml/2006/picture">
            <wp:extent cx="5486400" cy="5193887"/>
            <wp:docPr id="7" name="Picture 7"/>
            <wp:cNvGraphicFramePr>
              <a:graphicFrameLocks noChangeAspect="1"/>
            </wp:cNvGraphicFramePr>
            <a:graphic>
              <a:graphicData uri="http://schemas.openxmlformats.org/drawingml/2006/picture">
                <pic:pic>
                  <pic:nvPicPr>
                    <pic:cNvPr id="0" name="07_modelo_relacional_seiscomp.png"/>
                    <pic:cNvPicPr/>
                  </pic:nvPicPr>
                  <pic:blipFill>
                    <a:blip r:embed="rId15"/>
                    <a:stretch>
                      <a:fillRect/>
                    </a:stretch>
                  </pic:blipFill>
                  <pic:spPr>
                    <a:xfrm>
                      <a:off x="0" y="0"/>
                      <a:ext cx="5486400" cy="5193887"/>
                    </a:xfrm>
                    <a:prstGeom prst="rect"/>
                  </pic:spPr>
                </pic:pic>
              </a:graphicData>
            </a:graphic>
          </wp:inline>
        </w:drawing>
      </w:r>
    </w:p>
    <w:p>
      <w:pPr>
        <w:jc w:val="center"/>
      </w:pPr>
      <w:r>
        <w:rPr>
          <w:i/>
          <w:sz w:val="18"/>
        </w:rPr>
        <w:t>Modelo relacional de SeisComp (subconjunto usado por RCS)</w:t>
      </w:r>
    </w:p>
    <w:p>
      <w:r>
        <w:t xml:space="preserve">Las tablas y relaciones, y qué se consulta en cada recorrido (exportación, selección de evento y ampliación de radio), están documentadas en detalle en </w:t>
      </w:r>
      <w:r>
        <w:rPr>
          <w:rFonts w:ascii="Consolas" w:hAnsi="Consolas"/>
          <w:sz w:val="18"/>
        </w:rPr>
        <w:t>docs/esquema_seiscomp.md</w:t>
      </w:r>
      <w:r>
        <w:t>, con una versión importable en MySQL Workbench (</w:t>
      </w:r>
      <w:r>
        <w:rPr>
          <w:rFonts w:ascii="Consolas" w:hAnsi="Consolas"/>
          <w:sz w:val="18"/>
        </w:rPr>
        <w:t>docs/esquema_seiscomp_mysql.sql</w:t>
      </w:r>
      <w:r>
        <w:t>).</w:t>
      </w:r>
    </w:p>
    <w:p>
      <w:pPr>
        <w:pStyle w:val="Heading2"/>
      </w:pPr>
      <w:r>
        <w:t>6. Pruebas</w:t>
      </w:r>
    </w:p>
    <w:p>
      <w:pPr>
        <w:pStyle w:val="Heading3"/>
      </w:pPr>
      <w:r>
        <w:t>6.1 Estrategia</w:t>
      </w:r>
    </w:p>
    <w:p>
      <w:r>
        <w:t xml:space="preserve">La verificación del sistema se apoya en </w:t>
      </w:r>
      <w:r>
        <w:rPr>
          <w:b/>
        </w:rPr>
        <w:t>dos niveles</w:t>
      </w:r>
      <w:r>
        <w:t xml:space="preserve"> complementarios:</w:t>
      </w:r>
    </w:p>
    <w:p>
      <w:pPr>
        <w:pStyle w:val="ListBullet"/>
      </w:pPr>
      <w:r>
        <w:rPr>
          <w:rFonts w:ascii="Consolas" w:hAnsi="Consolas"/>
          <w:sz w:val="18"/>
        </w:rPr>
        <w:t>tests/</w:t>
      </w:r>
      <w:r>
        <w:t xml:space="preserve"> — </w:t>
      </w:r>
      <w:r>
        <w:rPr>
          <w:b/>
        </w:rPr>
        <w:t>tests unitarios</w:t>
      </w:r>
      <w:r>
        <w:t xml:space="preserve"> (pytest) de las funciones puras y de la</w:t>
      </w:r>
    </w:p>
    <w:p>
      <w:r>
        <w:t xml:space="preserve">interfaz, sin pantalla, base ni red en la corrida por defecto. Son rápidos y constituyen la red de seguridad para desarrollar y refactorizar. En la corrida por defecto suman </w:t>
      </w:r>
      <w:r>
        <w:rPr>
          <w:b/>
        </w:rPr>
        <w:t>538 tests</w:t>
      </w:r>
      <w:r>
        <w:t>; a eso se agregan los grupos que sí necesitan pantalla o base (</w:t>
      </w:r>
      <w:r>
        <w:rPr>
          <w:b/>
        </w:rPr>
        <w:t>146</w:t>
      </w:r>
      <w:r>
        <w:t xml:space="preserve"> de interfaz y </w:t>
      </w:r>
      <w:r>
        <w:rPr>
          <w:b/>
        </w:rPr>
        <w:t>36</w:t>
      </w:r>
      <w:r>
        <w:t xml:space="preserve"> de base de datos). El detalle está en el Anexo D.</w:t>
      </w:r>
    </w:p>
    <w:p>
      <w:pPr>
        <w:pStyle w:val="ListBullet"/>
      </w:pPr>
      <w:r>
        <w:rPr>
          <w:rFonts w:ascii="Consolas" w:hAnsi="Consolas"/>
          <w:sz w:val="18"/>
        </w:rPr>
        <w:t>verificacion/</w:t>
      </w:r>
      <w:r>
        <w:t xml:space="preserve"> — </w:t>
      </w:r>
      <w:r>
        <w:rPr>
          <w:b/>
        </w:rPr>
        <w:t>comprobaciones end-to-end</w:t>
      </w:r>
      <w:r>
        <w:t xml:space="preserve"> (no tests unitarios) que</w:t>
      </w:r>
    </w:p>
    <w:p>
      <w:r>
        <w:t>ejercitan la aplicación de punta a punta: lógica de exportación, integración con base simulada, construcción de ventanas reales, diálogos y barras de herramientas. Se ejecutan con un runner único:</w:t>
      </w:r>
    </w:p>
    <w:p>
      <w:pPr>
        <w:spacing w:after="0"/>
      </w:pPr>
      <w:r>
        <w:rPr>
          <w:rFonts w:ascii="Consolas" w:hAnsi="Consolas"/>
          <w:sz w:val="18"/>
        </w:rPr>
        <w:t>./verificacion/correr.sh          # offline + gui</w:t>
      </w:r>
    </w:p>
    <w:p>
      <w:pPr>
        <w:spacing w:after="0"/>
      </w:pPr>
      <w:r>
        <w:rPr>
          <w:rFonts w:ascii="Consolas" w:hAnsi="Consolas"/>
          <w:sz w:val="18"/>
        </w:rPr>
        <w:t>./verificacion/correr.sh offline  # solo lógica, sin pantalla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Scripts</w:t>
            </w:r>
          </w:p>
        </w:tc>
        <w:tc>
          <w:tcPr>
            <w:tcW w:type="dxa" w:w="2880"/>
          </w:tcPr>
          <w:p>
            <w:r>
              <w:rPr>
                <w:b/>
              </w:rPr>
            </w:r>
            <w:r>
              <w:rPr>
                <w:b/>
              </w:rPr>
              <w:t>Necesita pantalla</w:t>
            </w:r>
          </w:p>
        </w:tc>
      </w:tr>
      <w:tr>
        <w:tc>
          <w:tcPr>
            <w:tcW w:type="dxa" w:w="2880"/>
          </w:tcPr>
          <w:p>
            <w:r/>
            <w:r>
              <w:rPr>
                <w:rFonts w:ascii="Consolas" w:hAnsi="Consolas"/>
                <w:sz w:val="18"/>
              </w:rPr>
              <w:t>verificacion/offline/</w:t>
            </w:r>
          </w:p>
        </w:tc>
        <w:tc>
          <w:tcPr>
            <w:tcW w:type="dxa" w:w="2880"/>
          </w:tcPr>
          <w:p>
            <w:r/>
            <w:r>
              <w:t>10</w:t>
            </w:r>
          </w:p>
        </w:tc>
        <w:tc>
          <w:tcPr>
            <w:tcW w:type="dxa" w:w="2880"/>
          </w:tcPr>
          <w:p>
            <w:r/>
            <w:r>
              <w:t>No</w:t>
            </w:r>
          </w:p>
        </w:tc>
      </w:tr>
      <w:tr>
        <w:tc>
          <w:tcPr>
            <w:tcW w:type="dxa" w:w="2880"/>
          </w:tcPr>
          <w:p>
            <w:r/>
            <w:r>
              <w:rPr>
                <w:rFonts w:ascii="Consolas" w:hAnsi="Consolas"/>
                <w:sz w:val="18"/>
              </w:rPr>
              <w:t>verificacion/gui/</w:t>
            </w:r>
          </w:p>
        </w:tc>
        <w:tc>
          <w:tcPr>
            <w:tcW w:type="dxa" w:w="2880"/>
          </w:tcPr>
          <w:p>
            <w:r/>
            <w:r>
              <w:t>13</w:t>
            </w:r>
          </w:p>
        </w:tc>
        <w:tc>
          <w:tcPr>
            <w:tcW w:type="dxa" w:w="2880"/>
          </w:tcPr>
          <w:p>
            <w:r/>
            <w:r>
              <w:t>Sí (</w:t>
            </w:r>
            <w:r>
              <w:rPr>
                <w:rFonts w:ascii="Consolas" w:hAnsi="Consolas"/>
                <w:sz w:val="18"/>
              </w:rPr>
              <w:t>DISPLAY</w:t>
            </w:r>
            <w:r>
              <w:t>)</w:t>
            </w:r>
          </w:p>
        </w:tc>
      </w:tr>
    </w:tbl>
    <w:p/>
    <w:p>
      <w:pPr>
        <w:pStyle w:val="Heading3"/>
      </w:pPr>
      <w:r>
        <w:t>6.2 Tipos de prueba</w:t>
      </w:r>
    </w:p>
    <w:p>
      <w:pPr>
        <w:pStyle w:val="ListBullet"/>
      </w:pPr>
      <w:r>
        <w:rPr>
          <w:b/>
        </w:rPr>
        <w:t>Unitarias de lógica pura</w:t>
      </w:r>
      <w:r>
        <w:t>: normalización de números y coordenadas,</w:t>
      </w:r>
    </w:p>
    <w:p>
      <w:r>
        <w:t>comparación numérica, cálculo de estaciones sin arribos y derivación de rutas.</w:t>
      </w:r>
    </w:p>
    <w:p>
      <w:pPr>
        <w:pStyle w:val="ListBullet"/>
      </w:pPr>
      <w:r>
        <w:rPr>
          <w:b/>
        </w:rPr>
        <w:t>De integración</w:t>
      </w:r>
      <w:r>
        <w:t>: exportación de SeisComp con base simulada, integración de</w:t>
      </w:r>
    </w:p>
    <w:p>
      <w:r>
        <w:t>fases, comparación y atribución.</w:t>
      </w:r>
    </w:p>
    <w:p>
      <w:pPr>
        <w:pStyle w:val="ListBullet"/>
      </w:pPr>
      <w:r>
        <w:rPr>
          <w:b/>
        </w:rPr>
        <w:t>De sistema / interfaz</w:t>
      </w:r>
      <w:r>
        <w:t xml:space="preserve">: construcción de las ventanas con </w:t>
      </w:r>
      <w:r>
        <w:rPr>
          <w:rFonts w:ascii="Consolas" w:hAnsi="Consolas"/>
          <w:sz w:val="18"/>
        </w:rPr>
        <w:t>ttkbootstrap</w:t>
      </w:r>
    </w:p>
    <w:p>
      <w:r>
        <w:t>(ventana de estaciones, panel, toolbar, diálogos, «recordar» y toggles).</w:t>
      </w:r>
    </w:p>
    <w:p>
      <w:pPr>
        <w:pStyle w:val="ListBullet"/>
      </w:pPr>
      <w:r>
        <w:rPr>
          <w:b/>
        </w:rPr>
        <w:t>De regresión visual/funcional</w:t>
      </w:r>
      <w:r>
        <w:t>: viñeta de superposición y cobertura de</w:t>
      </w:r>
    </w:p>
    <w:p>
      <w:r>
        <w:t>agencias.</w:t>
      </w:r>
    </w:p>
    <w:p>
      <w:pPr>
        <w:pStyle w:val="Heading3"/>
      </w:pPr>
      <w:r>
        <w:t>6.3 Resultado</w:t>
      </w:r>
    </w:p>
    <w:p>
      <w:r>
        <w:t xml:space="preserve">La suite de verificación se ejecutó completa sobre el sistema tras la reorganización del proyecto, con </w:t>
      </w:r>
      <w:r>
        <w:rPr>
          <w:b/>
        </w:rPr>
        <w:t>23/23 comprobaciones OK</w:t>
      </w:r>
      <w:r>
        <w:t xml:space="preserve"> (10 offline + 13 GUI, 0 fallas).</w:t>
      </w:r>
    </w:p>
    <w:p>
      <w:r>
        <w:t xml:space="preserve">La suite de </w:t>
      </w:r>
      <w:r>
        <w:rPr>
          <w:b/>
        </w:rPr>
        <w:t>tests unitarios</w:t>
      </w:r>
      <w:r>
        <w:t xml:space="preserve"> corre completa y en verde: </w:t>
      </w:r>
      <w:r>
        <w:rPr>
          <w:b/>
        </w:rPr>
        <w:t>538 tests</w:t>
      </w:r>
      <w:r>
        <w:t xml:space="preserve"> en la corrida por defecto, más los </w:t>
      </w:r>
      <w:r>
        <w:rPr>
          <w:b/>
        </w:rPr>
        <w:t>146</w:t>
      </w:r>
      <w:r>
        <w:t xml:space="preserve"> de interfaz y los </w:t>
      </w:r>
      <w:r>
        <w:rPr>
          <w:b/>
        </w:rPr>
        <w:t>36</w:t>
      </w:r>
      <w:r>
        <w:t xml:space="preserve"> de base de datos (ver Anexo D).</w:t>
      </w:r>
    </w:p>
    <w:p>
      <w:pPr>
        <w:pStyle w:val="Heading2"/>
      </w:pPr>
      <w:r>
        <w:t>7. Conclusiones</w:t>
      </w:r>
    </w:p>
    <w:p>
      <w:pPr>
        <w:pStyle w:val="ListBullet"/>
      </w:pPr>
      <w:r>
        <w:t>La herramienta reemplaza un control manual y disperso por un flujo único,</w:t>
      </w:r>
    </w:p>
    <w:p>
      <w:r>
        <w:t>reproducible y auditable, que va de la obtención de catálogos a los entregables.</w:t>
      </w:r>
    </w:p>
    <w:p>
      <w:pPr>
        <w:pStyle w:val="ListBullet"/>
      </w:pPr>
      <w:r>
        <w:t xml:space="preserve">La separación </w:t>
      </w:r>
      <w:r>
        <w:rPr>
          <w:b/>
        </w:rPr>
        <w:t>GUI orquestadora / módulos de proceso / capa de datos</w:t>
      </w:r>
    </w:p>
    <w:p>
      <w:r>
        <w:t>resultó clave para mantener y extender el sistema: cada etapa es un script autónomo y la interfaz solo lanza y presenta.</w:t>
      </w:r>
    </w:p>
    <w:p>
      <w:pPr>
        <w:pStyle w:val="ListBullet"/>
      </w:pPr>
      <w:r>
        <w:t xml:space="preserve">El uso de </w:t>
      </w:r>
      <w:r>
        <w:rPr>
          <w:b/>
        </w:rPr>
        <w:t>caché releída</w:t>
      </w:r>
      <w:r>
        <w:t xml:space="preserve"> y de </w:t>
      </w:r>
      <w:r>
        <w:rPr>
          <w:b/>
        </w:rPr>
        <w:t>entregables explícitos</w:t>
      </w:r>
      <w:r>
        <w:t xml:space="preserve"> reduce el trabajo</w:t>
      </w:r>
    </w:p>
    <w:p>
      <w:r>
        <w:t>repetido y evita dejar archivos que nadie pidió.</w:t>
      </w:r>
    </w:p>
    <w:p>
      <w:pPr>
        <w:pStyle w:val="ListBullet"/>
      </w:pPr>
      <w:r>
        <w:t xml:space="preserve">La comparación </w:t>
      </w:r>
      <w:r>
        <w:rPr>
          <w:b/>
        </w:rPr>
        <w:t>numérica con tolerancias</w:t>
      </w:r>
      <w:r>
        <w:t xml:space="preserve"> y la </w:t>
      </w:r>
      <w:r>
        <w:rPr>
          <w:b/>
        </w:rPr>
        <w:t>trazabilidad</w:t>
      </w:r>
      <w:r>
        <w:t xml:space="preserve"> (registro,</w:t>
      </w:r>
    </w:p>
    <w:p>
      <w:r>
        <w:t>atribución por analista, perfiles y sospechosos) sostienen la confianza en los resultados.</w:t>
      </w:r>
    </w:p>
    <w:p>
      <w:pPr>
        <w:pStyle w:val="ListBullet"/>
      </w:pPr>
      <w:r>
        <w:t xml:space="preserve">La suite de </w:t>
      </w:r>
      <w:r>
        <w:rPr>
          <w:b/>
        </w:rPr>
        <w:t>verificación end-to-end (23/23)</w:t>
      </w:r>
      <w:r>
        <w:t xml:space="preserve"> da una red de seguridad para</w:t>
      </w:r>
    </w:p>
    <w:p>
      <w:r>
        <w:t>seguir evolucionando la interfaz y el flujo de revisión.</w:t>
      </w:r>
    </w:p>
    <w:p>
      <w:pPr>
        <w:pStyle w:val="Heading3"/>
      </w:pPr>
      <w:r>
        <w:t>7.1 Trabajo futuro</w:t>
      </w:r>
    </w:p>
    <w:p>
      <w:pPr>
        <w:pStyle w:val="ListBullet"/>
      </w:pPr>
      <w:r>
        <w:t>Integrar disponibilidad de formas de onda (SDS, scardac o FDSN Availability)</w:t>
      </w:r>
    </w:p>
    <w:p>
      <w:r>
        <w:t>para reemplazar el indicador indirecto de actividad de las estaciones.</w:t>
      </w:r>
    </w:p>
    <w:p>
      <w:pPr>
        <w:pStyle w:val="ListBullet"/>
      </w:pPr>
      <w:r>
        <w:t>Ampliar la comparación con agencias y su cobertura temporal.</w:t>
      </w:r>
    </w:p>
    <w:p>
      <w:pPr>
        <w:pStyle w:val="ListBullet"/>
      </w:pPr>
      <w:r>
        <w:t xml:space="preserve">Extender los tests unitarios de </w:t>
      </w:r>
      <w:r>
        <w:rPr>
          <w:rFonts w:ascii="Consolas" w:hAnsi="Consolas"/>
          <w:sz w:val="18"/>
        </w:rPr>
        <w:t>tests/</w:t>
      </w:r>
      <w:r>
        <w:t xml:space="preserve"> a nuevas funciones puras a medida que</w:t>
      </w:r>
    </w:p>
    <w:p>
      <w:r>
        <w:t>se agreguen, complementando las comprobaciones end-to-end.</w:t>
      </w:r>
    </w:p>
    <w:p>
      <w:pPr>
        <w:pStyle w:val="Heading2"/>
      </w:pPr>
      <w:r>
        <w:t>8. Bibliografía y referencias</w:t>
      </w:r>
    </w:p>
    <w:p>
      <w:pPr>
        <w:pStyle w:val="ListBullet"/>
      </w:pPr>
      <w:r>
        <w:t>Centro Sismológico Nacional (CSN), Universidad de Chile. Portada institucional.</w:t>
      </w:r>
    </w:p>
    <w:p>
      <w:pPr>
        <w:pStyle w:val="ListBullet"/>
      </w:pPr>
      <w:r>
        <w:t>OPA-CSN. Procedimientos internos de revisión de publicaciones sísmicas.</w:t>
      </w:r>
    </w:p>
    <w:p>
      <w:pPr>
        <w:pStyle w:val="ListBullet"/>
      </w:pPr>
      <w:r>
        <w:t>SeisComp (gempa GmbH). Esquema de base de datos y documentación de usuario.</w:t>
      </w:r>
    </w:p>
    <w:p>
      <w:pPr>
        <w:pStyle w:val="ListBullet"/>
      </w:pPr>
      <w:r>
        <w:t xml:space="preserve">Seisan (Universidad de Bergen). Formato </w:t>
      </w:r>
      <w:r>
        <w:rPr>
          <w:rFonts w:ascii="Consolas" w:hAnsi="Consolas"/>
          <w:sz w:val="18"/>
        </w:rPr>
        <w:t>select.out</w:t>
      </w:r>
      <w:r>
        <w:t xml:space="preserve"> y utilidades de catálogo.</w:t>
      </w:r>
    </w:p>
    <w:p>
      <w:pPr>
        <w:pStyle w:val="ListBullet"/>
      </w:pPr>
      <w:r>
        <w:rPr>
          <w:rFonts w:ascii="Consolas" w:hAnsi="Consolas"/>
          <w:sz w:val="18"/>
        </w:rPr>
        <w:t>eventquery</w:t>
      </w:r>
      <w:r>
        <w:t xml:space="preserve"> — consulta del catálogo público de la red.</w:t>
      </w:r>
    </w:p>
    <w:p>
      <w:pPr>
        <w:pStyle w:val="ListBullet"/>
      </w:pPr>
      <w:r>
        <w:t>Agencias internacionales: EMSC, USGS y GFZ (catálogos y APIs públicas).</w:t>
      </w:r>
    </w:p>
    <w:p>
      <w:pPr>
        <w:pStyle w:val="ListBullet"/>
      </w:pPr>
      <w:r>
        <w:t xml:space="preserve">Documentación interna: </w:t>
      </w:r>
      <w:r>
        <w:rPr>
          <w:rFonts w:ascii="Consolas" w:hAnsi="Consolas"/>
          <w:sz w:val="18"/>
        </w:rPr>
        <w:t>docs/manual_usuario.md</w:t>
      </w:r>
      <w:r>
        <w:t xml:space="preserve">, </w:t>
      </w:r>
      <w:r>
        <w:rPr>
          <w:rFonts w:ascii="Consolas" w:hAnsi="Consolas"/>
          <w:sz w:val="18"/>
        </w:rPr>
        <w:t>docs/manual_tecnico.md</w:t>
      </w:r>
      <w:r>
        <w:t>,</w:t>
      </w:r>
    </w:p>
    <w:p>
      <w:r>
        <w:rPr>
          <w:rFonts w:ascii="Consolas" w:hAnsi="Consolas"/>
          <w:sz w:val="18"/>
        </w:rPr>
        <w:t>docs/esquema_seiscomp.md</w:t>
      </w:r>
      <w:r>
        <w:t>.</w:t>
      </w:r>
    </w:p>
    <w:p>
      <w:pPr>
        <w:pStyle w:val="Heading2"/>
      </w:pPr>
      <w:r>
        <w:t>9. Anexos</w:t>
      </w:r>
    </w:p>
    <w:p>
      <w:pPr>
        <w:pStyle w:val="Heading3"/>
      </w:pPr>
      <w:r>
        <w:t>Anexo A. Modelo relacional de los datos propios</w:t>
      </w:r>
    </w:p>
    <w:p>
      <w:r>
        <w:t xml:space="preserve">Además de las tablas de SeisComp, la herramienta define un modelo de datos propio, materializado en archivos (CSV y JSON) que son la </w:t>
      </w:r>
      <w:r>
        <w:rPr>
          <w:b/>
        </w:rPr>
        <w:t>caché</w:t>
      </w:r>
      <w:r>
        <w:t xml:space="preserve"> releída por la app y la base de los </w:t>
      </w:r>
      <w:r>
        <w:rPr>
          <w:b/>
        </w:rPr>
        <w:t>entregables</w:t>
      </w:r>
      <w:r>
        <w:t>. Las claves y relaciones principales se resumen así:</w:t>
      </w:r>
    </w:p>
    <w:p>
      <w:pPr>
        <w:jc w:val="center"/>
      </w:pPr>
      <w:r>
        <w:drawing>
          <wp:inline xmlns:a="http://schemas.openxmlformats.org/drawingml/2006/main" xmlns:pic="http://schemas.openxmlformats.org/drawingml/2006/picture">
            <wp:extent cx="5486400" cy="4643610"/>
            <wp:docPr id="8" name="Picture 8"/>
            <wp:cNvGraphicFramePr>
              <a:graphicFrameLocks noChangeAspect="1"/>
            </wp:cNvGraphicFramePr>
            <a:graphic>
              <a:graphicData uri="http://schemas.openxmlformats.org/drawingml/2006/picture">
                <pic:pic>
                  <pic:nvPicPr>
                    <pic:cNvPr id="0" name="08_modelo_relacional_datos_propios.png"/>
                    <pic:cNvPicPr/>
                  </pic:nvPicPr>
                  <pic:blipFill>
                    <a:blip r:embed="rId16"/>
                    <a:stretch>
                      <a:fillRect/>
                    </a:stretch>
                  </pic:blipFill>
                  <pic:spPr>
                    <a:xfrm>
                      <a:off x="0" y="0"/>
                      <a:ext cx="5486400" cy="4643610"/>
                    </a:xfrm>
                    <a:prstGeom prst="rect"/>
                  </pic:spPr>
                </pic:pic>
              </a:graphicData>
            </a:graphic>
          </wp:inline>
        </w:drawing>
      </w:r>
    </w:p>
    <w:p>
      <w:pPr>
        <w:jc w:val="center"/>
      </w:pPr>
      <w:r>
        <w:rPr>
          <w:i/>
          <w:sz w:val="18"/>
        </w:rPr>
        <w:t>Modelo relacional de los datos propios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Entidad (archivo)</w:t>
            </w:r>
          </w:p>
        </w:tc>
        <w:tc>
          <w:tcPr>
            <w:tcW w:type="dxa" w:w="2880"/>
          </w:tcPr>
          <w:p>
            <w:r>
              <w:rPr>
                <w:b/>
              </w:rPr>
            </w:r>
            <w:r>
              <w:rPr>
                <w:b/>
              </w:rPr>
              <w:t>Clave</w:t>
            </w:r>
          </w:p>
        </w:tc>
        <w:tc>
          <w:tcPr>
            <w:tcW w:type="dxa" w:w="2880"/>
          </w:tcPr>
          <w:p>
            <w:r>
              <w:rPr>
                <w:b/>
              </w:rPr>
            </w:r>
            <w:r>
              <w:rPr>
                <w:b/>
              </w:rPr>
              <w:t>Descripción</w:t>
            </w:r>
          </w:p>
        </w:tc>
      </w:tr>
      <w:tr>
        <w:tc>
          <w:tcPr>
            <w:tcW w:type="dxa" w:w="2880"/>
          </w:tcPr>
          <w:p>
            <w:r/>
            <w:r>
              <w:rPr>
                <w:rFonts w:ascii="Consolas" w:hAnsi="Consolas"/>
                <w:sz w:val="18"/>
              </w:rPr>
              <w:t>CATALOGO_ORIGEN</w:t>
            </w:r>
            <w:r>
              <w:t xml:space="preserve"> (</w:t>
            </w:r>
            <w:r>
              <w:rPr>
                <w:rFonts w:ascii="Consolas" w:hAnsi="Consolas"/>
                <w:sz w:val="18"/>
              </w:rPr>
              <w:t>select.out</w:t>
            </w:r>
            <w:r>
              <w:t xml:space="preserve">, </w:t>
            </w:r>
            <w:r>
              <w:rPr>
                <w:rFonts w:ascii="Consolas" w:hAnsi="Consolas"/>
                <w:sz w:val="18"/>
              </w:rPr>
              <w:t>eventquery_*.csv</w:t>
            </w:r>
            <w:r>
              <w:t>, export SeisComp)</w:t>
            </w:r>
          </w:p>
        </w:tc>
        <w:tc>
          <w:tcPr>
            <w:tcW w:type="dxa" w:w="2880"/>
          </w:tcPr>
          <w:p>
            <w:r/>
            <w:r>
              <w:t>archivo</w:t>
            </w:r>
          </w:p>
        </w:tc>
        <w:tc>
          <w:tcPr>
            <w:tcW w:type="dxa" w:w="2880"/>
          </w:tcPr>
          <w:p>
            <w:r/>
            <w:r>
              <w:t>Insumos por ventana.</w:t>
            </w:r>
          </w:p>
        </w:tc>
      </w:tr>
      <w:tr>
        <w:tc>
          <w:tcPr>
            <w:tcW w:type="dxa" w:w="2880"/>
          </w:tcPr>
          <w:p>
            <w:r/>
            <w:r>
              <w:rPr>
                <w:rFonts w:ascii="Consolas" w:hAnsi="Consolas"/>
                <w:sz w:val="18"/>
              </w:rPr>
              <w:t>EVENTO</w:t>
            </w:r>
            <w:r>
              <w:t xml:space="preserve"> (</w:t>
            </w:r>
            <w:r>
              <w:rPr>
                <w:rFonts w:ascii="Consolas" w:hAnsi="Consolas"/>
                <w:sz w:val="18"/>
              </w:rPr>
              <w:t>datos/eventos_&lt;vista&gt;.json</w:t>
            </w:r>
            <w:r>
              <w:t>)</w:t>
            </w:r>
          </w:p>
        </w:tc>
        <w:tc>
          <w:tcPr>
            <w:tcW w:type="dxa" w:w="2880"/>
          </w:tcPr>
          <w:p>
            <w:r/>
            <w:r>
              <w:t>vista + id</w:t>
            </w:r>
          </w:p>
        </w:tc>
        <w:tc>
          <w:tcPr>
            <w:tcW w:type="dxa" w:w="2880"/>
          </w:tcPr>
          <w:p>
            <w:r/>
            <w:r>
              <w:t>Evento con perfil, distancias y bandera de sospechoso.</w:t>
            </w:r>
          </w:p>
        </w:tc>
      </w:tr>
      <w:tr>
        <w:tc>
          <w:tcPr>
            <w:tcW w:type="dxa" w:w="2880"/>
          </w:tcPr>
          <w:p>
            <w:r/>
            <w:r>
              <w:rPr>
                <w:rFonts w:ascii="Consolas" w:hAnsi="Consolas"/>
                <w:sz w:val="18"/>
              </w:rPr>
              <w:t>SALIDA_COLLECT</w:t>
            </w:r>
            <w:r>
              <w:t xml:space="preserve"> (</w:t>
            </w:r>
            <w:r>
              <w:rPr>
                <w:rFonts w:ascii="Consolas" w:hAnsi="Consolas"/>
                <w:sz w:val="18"/>
              </w:rPr>
              <w:t>datos/salida_collect.csv</w:t>
            </w:r>
            <w:r>
              <w:t>)</w:t>
            </w:r>
          </w:p>
        </w:tc>
        <w:tc>
          <w:tcPr>
            <w:tcW w:type="dxa" w:w="2880"/>
          </w:tcPr>
          <w:p>
            <w:r/>
            <w:r>
              <w:t>fila</w:t>
            </w:r>
          </w:p>
        </w:tc>
        <w:tc>
          <w:tcPr>
            <w:tcW w:type="dxa" w:w="2880"/>
          </w:tcPr>
          <w:p>
            <w:r/>
            <w:r>
              <w:t>Catálogo de Seisan normalizado.</w:t>
            </w:r>
          </w:p>
        </w:tc>
      </w:tr>
      <w:tr>
        <w:tc>
          <w:tcPr>
            <w:tcW w:type="dxa" w:w="2880"/>
          </w:tcPr>
          <w:p>
            <w:r/>
            <w:r>
              <w:rPr>
                <w:rFonts w:ascii="Consolas" w:hAnsi="Consolas"/>
                <w:sz w:val="18"/>
              </w:rPr>
              <w:t>EXCLUIDO</w:t>
            </w:r>
            <w:r>
              <w:t xml:space="preserve"> (</w:t>
            </w:r>
            <w:r>
              <w:rPr>
                <w:rFonts w:ascii="Consolas" w:hAnsi="Consolas"/>
                <w:sz w:val="18"/>
              </w:rPr>
              <w:t>datos/excluidos.csv</w:t>
            </w:r>
            <w:r>
              <w:t>)</w:t>
            </w:r>
          </w:p>
        </w:tc>
        <w:tc>
          <w:tcPr>
            <w:tcW w:type="dxa" w:w="2880"/>
          </w:tcPr>
          <w:p>
            <w:r/>
            <w:r>
              <w:t>fila</w:t>
            </w:r>
          </w:p>
        </w:tc>
        <w:tc>
          <w:tcPr>
            <w:tcW w:type="dxa" w:w="2880"/>
          </w:tcPr>
          <w:p>
            <w:r/>
            <w:r>
              <w:t>Descartados por falta de dato o RMS.</w:t>
            </w:r>
          </w:p>
        </w:tc>
      </w:tr>
      <w:tr>
        <w:tc>
          <w:tcPr>
            <w:tcW w:type="dxa" w:w="2880"/>
          </w:tcPr>
          <w:p>
            <w:r/>
            <w:r>
              <w:rPr>
                <w:rFonts w:ascii="Consolas" w:hAnsi="Consolas"/>
                <w:sz w:val="18"/>
              </w:rPr>
              <w:t>ATRIBUCION</w:t>
            </w:r>
            <w:r>
              <w:t xml:space="preserve"> (</w:t>
            </w:r>
            <w:r>
              <w:rPr>
                <w:rFonts w:ascii="Consolas" w:hAnsi="Consolas"/>
                <w:sz w:val="18"/>
              </w:rPr>
              <w:t>datos/atribucion_&lt;fuente&gt;.csv</w:t>
            </w:r>
            <w:r>
              <w:t>)</w:t>
            </w:r>
          </w:p>
        </w:tc>
        <w:tc>
          <w:tcPr>
            <w:tcW w:type="dxa" w:w="2880"/>
          </w:tcPr>
          <w:p>
            <w:r/>
            <w:r>
              <w:t>fuente + fila</w:t>
            </w:r>
          </w:p>
        </w:tc>
        <w:tc>
          <w:tcPr>
            <w:tcW w:type="dxa" w:w="2880"/>
          </w:tcPr>
          <w:p>
            <w:r/>
            <w:r>
              <w:t>Un cruce solución↔publicado con Δt/Δlat/Δlon.</w:t>
            </w:r>
          </w:p>
        </w:tc>
      </w:tr>
      <w:tr>
        <w:tc>
          <w:tcPr>
            <w:tcW w:type="dxa" w:w="2880"/>
          </w:tcPr>
          <w:p>
            <w:r/>
            <w:r>
              <w:rPr>
                <w:rFonts w:ascii="Consolas" w:hAnsi="Consolas"/>
                <w:sz w:val="18"/>
              </w:rPr>
              <w:t>NO_PUBLICADO</w:t>
            </w:r>
            <w:r>
              <w:t xml:space="preserve"> (</w:t>
            </w:r>
            <w:r>
              <w:rPr>
                <w:rFonts w:ascii="Consolas" w:hAnsi="Consolas"/>
                <w:sz w:val="18"/>
              </w:rPr>
              <w:t>datos/no_pub_desde_2_5_*estricto.csv</w:t>
            </w:r>
            <w:r>
              <w:t>)</w:t>
            </w:r>
          </w:p>
        </w:tc>
        <w:tc>
          <w:tcPr>
            <w:tcW w:type="dxa" w:w="2880"/>
          </w:tcPr>
          <w:p>
            <w:r/>
            <w:r>
              <w:t>fuente + fila</w:t>
            </w:r>
          </w:p>
        </w:tc>
        <w:tc>
          <w:tcPr>
            <w:tcW w:type="dxa" w:w="2880"/>
          </w:tcPr>
          <w:p>
            <w:r/>
            <w:r>
              <w:t>Ausentes de la fuente.</w:t>
            </w:r>
          </w:p>
        </w:tc>
      </w:tr>
      <w:tr>
        <w:tc>
          <w:tcPr>
            <w:tcW w:type="dxa" w:w="2880"/>
          </w:tcPr>
          <w:p>
            <w:r/>
            <w:r>
              <w:rPr>
                <w:rFonts w:ascii="Consolas" w:hAnsi="Consolas"/>
                <w:sz w:val="18"/>
              </w:rPr>
              <w:t>SEISCOMP_PARAMETROS</w:t>
            </w:r>
            <w:r>
              <w:t xml:space="preserve"> (</w:t>
            </w:r>
            <w:r>
              <w:rPr>
                <w:rFonts w:ascii="Consolas" w:hAnsi="Consolas"/>
                <w:sz w:val="18"/>
              </w:rPr>
              <w:t>datos/seiscomp_parametros.csv</w:t>
            </w:r>
            <w:r>
              <w:t>)</w:t>
            </w:r>
          </w:p>
        </w:tc>
        <w:tc>
          <w:tcPr>
            <w:tcW w:type="dxa" w:w="2880"/>
          </w:tcPr>
          <w:p>
            <w:r/>
            <w:r>
              <w:t>id_evento</w:t>
            </w:r>
          </w:p>
        </w:tc>
        <w:tc>
          <w:tcPr>
            <w:tcW w:type="dxa" w:w="2880"/>
          </w:tcPr>
          <w:p>
            <w:r/>
            <w:r>
              <w:t>Export normalizado de SeisComp.</w:t>
            </w:r>
          </w:p>
        </w:tc>
      </w:tr>
      <w:tr>
        <w:tc>
          <w:tcPr>
            <w:tcW w:type="dxa" w:w="2880"/>
          </w:tcPr>
          <w:p>
            <w:r/>
            <w:r>
              <w:rPr>
                <w:rFonts w:ascii="Consolas" w:hAnsi="Consolas"/>
                <w:sz w:val="18"/>
              </w:rPr>
              <w:t>PERFIL</w:t>
            </w:r>
            <w:r>
              <w:t xml:space="preserve"> (</w:t>
            </w:r>
            <w:r>
              <w:rPr>
                <w:rFonts w:ascii="Consolas" w:hAnsi="Consolas"/>
                <w:sz w:val="18"/>
              </w:rPr>
              <w:t>grillas/slabP###</w:t>
            </w:r>
            <w:r>
              <w:t xml:space="preserve">, </w:t>
            </w:r>
            <w:r>
              <w:rPr>
                <w:rFonts w:ascii="Consolas" w:hAnsi="Consolas"/>
                <w:sz w:val="18"/>
              </w:rPr>
              <w:t>topoP###</w:t>
            </w:r>
            <w:r>
              <w:t>)</w:t>
            </w:r>
          </w:p>
        </w:tc>
        <w:tc>
          <w:tcPr>
            <w:tcW w:type="dxa" w:w="2880"/>
          </w:tcPr>
          <w:p>
            <w:r/>
            <w:r>
              <w:t>código</w:t>
            </w:r>
          </w:p>
        </w:tc>
        <w:tc>
          <w:tcPr>
            <w:tcW w:type="dxa" w:w="2880"/>
          </w:tcPr>
          <w:p>
            <w:r/>
            <w:r>
              <w:t>Perfiles de subducción.</w:t>
            </w:r>
          </w:p>
        </w:tc>
      </w:tr>
      <w:tr>
        <w:tc>
          <w:tcPr>
            <w:tcW w:type="dxa" w:w="2880"/>
          </w:tcPr>
          <w:p>
            <w:r/>
            <w:r>
              <w:rPr>
                <w:rFonts w:ascii="Consolas" w:hAnsi="Consolas"/>
                <w:sz w:val="18"/>
              </w:rPr>
              <w:t>CONSULTA_AGENCIA</w:t>
            </w:r>
            <w:r>
              <w:t xml:space="preserve"> (</w:t>
            </w:r>
            <w:r>
              <w:rPr>
                <w:rFonts w:ascii="Consolas" w:hAnsi="Consolas"/>
                <w:sz w:val="18"/>
              </w:rPr>
              <w:t>datos/agencias/consultaapi_&lt;AG&gt;.csv</w:t>
            </w:r>
            <w:r>
              <w:t>)</w:t>
            </w:r>
          </w:p>
        </w:tc>
        <w:tc>
          <w:tcPr>
            <w:tcW w:type="dxa" w:w="2880"/>
          </w:tcPr>
          <w:p>
            <w:r/>
            <w:r>
              <w:t>agencia + id</w:t>
            </w:r>
          </w:p>
        </w:tc>
        <w:tc>
          <w:tcPr>
            <w:tcW w:type="dxa" w:w="2880"/>
          </w:tcPr>
          <w:p>
            <w:r/>
            <w:r>
              <w:t>Catálogo por agencia.</w:t>
            </w:r>
          </w:p>
        </w:tc>
      </w:tr>
      <w:tr>
        <w:tc>
          <w:tcPr>
            <w:tcW w:type="dxa" w:w="2880"/>
          </w:tcPr>
          <w:p>
            <w:r/>
            <w:r>
              <w:rPr>
                <w:rFonts w:ascii="Consolas" w:hAnsi="Consolas"/>
                <w:sz w:val="18"/>
              </w:rPr>
              <w:t>ESTADO</w:t>
            </w:r>
            <w:r>
              <w:t xml:space="preserve"> (</w:t>
            </w:r>
            <w:r>
              <w:rPr>
                <w:rFonts w:ascii="Consolas" w:hAnsi="Consolas"/>
                <w:sz w:val="18"/>
              </w:rPr>
              <w:t>estado.json</w:t>
            </w:r>
            <w:r>
              <w:t>)</w:t>
            </w:r>
          </w:p>
        </w:tc>
        <w:tc>
          <w:tcPr>
            <w:tcW w:type="dxa" w:w="2880"/>
          </w:tcPr>
          <w:p>
            <w:r/>
            <w:r>
              <w:t>clave</w:t>
            </w:r>
          </w:p>
        </w:tc>
        <w:tc>
          <w:tcPr>
            <w:tcW w:type="dxa" w:w="2880"/>
          </w:tcPr>
          <w:p>
            <w:r/>
            <w:r>
              <w:t>Período y catálogos faltantes.</w:t>
            </w:r>
          </w:p>
        </w:tc>
      </w:tr>
      <w:tr>
        <w:tc>
          <w:tcPr>
            <w:tcW w:type="dxa" w:w="2880"/>
          </w:tcPr>
          <w:p>
            <w:r/>
            <w:r>
              <w:rPr>
                <w:rFonts w:ascii="Consolas" w:hAnsi="Consolas"/>
                <w:sz w:val="18"/>
              </w:rPr>
              <w:t>REPETIDO</w:t>
            </w:r>
            <w:r>
              <w:t xml:space="preserve"> (</w:t>
            </w:r>
            <w:r>
              <w:rPr>
                <w:rFonts w:ascii="Consolas" w:hAnsi="Consolas"/>
                <w:sz w:val="18"/>
              </w:rPr>
              <w:t>informes/rep_*.txt</w:t>
            </w:r>
            <w:r>
              <w:t>)</w:t>
            </w:r>
          </w:p>
        </w:tc>
        <w:tc>
          <w:tcPr>
            <w:tcW w:type="dxa" w:w="2880"/>
          </w:tcPr>
          <w:p>
            <w:r/>
            <w:r>
              <w:t>fuente + grupo</w:t>
            </w:r>
          </w:p>
        </w:tc>
        <w:tc>
          <w:tcPr>
            <w:tcW w:type="dxa" w:w="2880"/>
          </w:tcPr>
          <w:p>
            <w:r/>
            <w:r>
              <w:t>Duplicados amplios/estrictos.</w:t>
            </w:r>
          </w:p>
        </w:tc>
      </w:tr>
    </w:tbl>
    <w:p/>
    <w:p>
      <w:pPr>
        <w:pStyle w:val="Heading3"/>
      </w:pPr>
      <w:r>
        <w:t>Anexo B. Manuales del sistema</w:t>
      </w:r>
    </w:p>
    <w:p>
      <w:pPr>
        <w:pStyle w:val="ListBullet"/>
      </w:pPr>
      <w:r>
        <w:rPr>
          <w:rFonts w:ascii="Consolas" w:hAnsi="Consolas"/>
          <w:sz w:val="18"/>
        </w:rPr>
        <w:t>docs/manual_usuario.md</w:t>
      </w:r>
      <w:r>
        <w:t xml:space="preserve"> — funciones, botones y capturas (uso diario).</w:t>
      </w:r>
    </w:p>
    <w:p>
      <w:pPr>
        <w:pStyle w:val="ListBullet"/>
      </w:pPr>
      <w:r>
        <w:rPr>
          <w:rFonts w:ascii="Consolas" w:hAnsi="Consolas"/>
          <w:sz w:val="18"/>
        </w:rPr>
        <w:t>docs/manual_tecnico.md</w:t>
      </w:r>
      <w:r>
        <w:t xml:space="preserve"> — arquitectura, scripts, interfaces y parámetros</w:t>
      </w:r>
    </w:p>
    <w:p>
      <w:r>
        <w:t>ajustables; incluye el inventario de módulos, el flujo por etapa y las tablas de constantes.</w:t>
      </w:r>
    </w:p>
    <w:p>
      <w:pPr>
        <w:pStyle w:val="Heading3"/>
      </w:pPr>
      <w:r>
        <w:t>Anexo C. Esquema de SeisComp</w:t>
      </w:r>
    </w:p>
    <w:p>
      <w:pPr>
        <w:pStyle w:val="ListBullet"/>
      </w:pPr>
      <w:r>
        <w:rPr>
          <w:rFonts w:ascii="Consolas" w:hAnsi="Consolas"/>
          <w:sz w:val="18"/>
        </w:rPr>
        <w:t>docs/esquema_seiscomp.md</w:t>
      </w:r>
      <w:r>
        <w:t xml:space="preserve"> — descripción completa de las tablas y relaciones.</w:t>
      </w:r>
    </w:p>
    <w:p>
      <w:pPr>
        <w:pStyle w:val="ListBullet"/>
      </w:pPr>
      <w:r>
        <w:rPr>
          <w:rFonts w:ascii="Consolas" w:hAnsi="Consolas"/>
          <w:sz w:val="18"/>
        </w:rPr>
        <w:t>docs/esquema_seiscomp.txt</w:t>
      </w:r>
      <w:r>
        <w:t xml:space="preserve"> — la misma información sin el diagrama.</w:t>
      </w:r>
    </w:p>
    <w:p>
      <w:pPr>
        <w:pStyle w:val="ListBullet"/>
      </w:pPr>
      <w:r>
        <w:rPr>
          <w:rFonts w:ascii="Consolas" w:hAnsi="Consolas"/>
          <w:sz w:val="18"/>
        </w:rPr>
        <w:t>docs/esquema_seiscomp_mysql.sql</w:t>
      </w:r>
      <w:r>
        <w:t xml:space="preserve"> — versión importable en MySQL Workbench</w:t>
      </w:r>
    </w:p>
    <w:p>
      <w:r>
        <w:t>(diagrama EER); la base real es PostgreSQL.</w:t>
      </w:r>
    </w:p>
    <w:p>
      <w:pPr>
        <w:pStyle w:val="Heading3"/>
      </w:pPr>
      <w:r>
        <w:t>Anexo D. Tests unitarios</w:t>
      </w:r>
    </w:p>
    <w:p>
      <w:r>
        <w:t xml:space="preserve">La suite de </w:t>
      </w:r>
      <w:r>
        <w:rPr>
          <w:b/>
        </w:rPr>
        <w:t>tests unitarios</w:t>
      </w:r>
      <w:r>
        <w:t xml:space="preserve"> (pytest) vive en </w:t>
      </w:r>
      <w:r>
        <w:rPr>
          <w:rFonts w:ascii="Consolas" w:hAnsi="Consolas"/>
          <w:sz w:val="18"/>
        </w:rPr>
        <w:t>tests/</w:t>
      </w:r>
      <w:r>
        <w:t xml:space="preserve"> y se documenta en </w:t>
      </w:r>
      <w:r>
        <w:rPr>
          <w:rFonts w:ascii="Consolas" w:hAnsi="Consolas"/>
          <w:sz w:val="18"/>
        </w:rPr>
        <w:t>docs/proyecto/tests_unitarios.md</w:t>
      </w:r>
      <w:r>
        <w:t xml:space="preserve"> (versión </w:t>
      </w:r>
      <w:r>
        <w:rPr>
          <w:rFonts w:ascii="Consolas" w:hAnsi="Consolas"/>
          <w:sz w:val="18"/>
        </w:rPr>
        <w:t>.docx</w:t>
      </w:r>
      <w:r>
        <w:t xml:space="preserve"> en </w:t>
      </w:r>
      <w:r>
        <w:rPr>
          <w:rFonts w:ascii="Consolas" w:hAnsi="Consolas"/>
          <w:sz w:val="18"/>
        </w:rPr>
        <w:t>docs/versiones/tests_unitarios_v1.0_2026-10-15.docx</w:t>
      </w:r>
      <w:r>
        <w:t xml:space="preserve">): grupos y marcadores, índice módulo → grupo → archivo, arnés de regresión y cómo correrla. El índice de cobertura resumido está además en </w:t>
      </w:r>
      <w:r>
        <w:rPr>
          <w:rFonts w:ascii="Consolas" w:hAnsi="Consolas"/>
          <w:sz w:val="18"/>
        </w:rPr>
        <w:t>tests/COBERTURA.md</w:t>
      </w:r>
      <w:r>
        <w:t xml:space="preserve"> y las convenciones en </w:t>
      </w:r>
      <w:r>
        <w:rPr>
          <w:rFonts w:ascii="Consolas" w:hAnsi="Consolas"/>
          <w:sz w:val="18"/>
        </w:rPr>
        <w:t>tests/README.md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