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RevisaPubSeisan</w:t>
      </w:r>
    </w:p>
    <w:p>
      <w:r>
        <w:t>Arquitectura, scripts, interfaces y parámetros ajustables. Versión 1.7 — 13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t xml:space="preserve">La comparación de agencias se </w:t>
      </w:r>
      <w:r>
        <w:rPr>
          <w:b/>
        </w:rPr>
        <w:t>reutiliza</w:t>
      </w:r>
      <w:r>
        <w:t xml:space="preserve"> si no cambió ningún insumo: el período y los parámetros salen de </w:t>
      </w:r>
      <w:r>
        <w:rPr>
          <w:rFonts w:ascii="Consolas" w:hAnsi="Consolas"/>
          <w:sz w:val="18"/>
        </w:rPr>
        <w:t>datos/agencias/estado.json</w:t>
      </w:r>
      <w:r>
        <w:t xml:space="preserve"> (</w:t>
      </w:r>
      <w:r>
        <w:rPr>
          <w:rFonts w:ascii="Consolas" w:hAnsi="Consolas"/>
          <w:sz w:val="18"/>
        </w:rPr>
        <w:t>_periodo()</w:t>
      </w:r>
      <w:r>
        <w:t xml:space="preserve"> infiere inicio/fin del nombre de los archivos cuando no vino </w:t>
      </w:r>
      <w:r>
        <w:rPr>
          <w:rFonts w:ascii="Consolas" w:hAnsi="Consolas"/>
          <w:sz w:val="18"/>
        </w:rPr>
        <w:t>estado.json</w:t>
      </w:r>
      <w:r>
        <w:t xml:space="preserve">) y </w:t>
      </w:r>
      <w:r>
        <w:rPr>
          <w:rFonts w:ascii="Consolas" w:hAnsi="Consolas"/>
          <w:sz w:val="18"/>
        </w:rPr>
        <w:t>_comparacion_al_dia()</w:t>
      </w:r>
      <w:r>
        <w:t>/</w:t>
      </w:r>
      <w:r>
        <w:rPr>
          <w:rFonts w:ascii="Consolas" w:hAnsi="Consolas"/>
          <w:sz w:val="18"/>
        </w:rPr>
        <w:t>_consulta_agencias_al_dia()</w:t>
      </w:r>
      <w:r>
        <w:t xml:space="preserve"> comparan contra el </w:t>
      </w:r>
      <w:r>
        <w:rPr>
          <w:rFonts w:ascii="Consolas" w:hAnsi="Consolas"/>
          <w:sz w:val="18"/>
        </w:rPr>
        <w:t>mtime</w:t>
      </w:r>
      <w:r>
        <w:t xml:space="preserve"> de </w:t>
      </w:r>
      <w:r>
        <w:rPr>
          <w:rFonts w:ascii="Consolas" w:hAnsi="Consolas"/>
          <w:sz w:val="18"/>
        </w:rPr>
        <w:t>datos/comparacion_agencias.json</w:t>
      </w:r>
      <w:r>
        <w:t xml:space="preserve"> y de </w:t>
      </w:r>
      <w:r>
        <w:rPr>
          <w:rFonts w:ascii="Consolas" w:hAnsi="Consolas"/>
          <w:sz w:val="18"/>
        </w:rPr>
        <w:t>eventos_&lt;referencia&gt;.json</w:t>
      </w:r>
      <w:r>
        <w:t xml:space="preserve"> / </w:t>
      </w:r>
      <w:r>
        <w:rPr>
          <w:rFonts w:ascii="Consolas" w:hAnsi="Consolas"/>
          <w:sz w:val="18"/>
        </w:rPr>
        <w:t>eventos_agencia_*.json</w:t>
      </w:r>
      <w:r>
        <w:t xml:space="preserve">. La cabecera de la ventana muestra «Reutilizada» o «Ejecutada» con el </w:t>
      </w:r>
      <w:r>
        <w:rPr>
          <w:rFonts w:ascii="Consolas" w:hAnsi="Consolas"/>
          <w:sz w:val="18"/>
        </w:rPr>
        <w:t>timestamp</w:t>
      </w:r>
      <w:r>
        <w:t xml:space="preserve"> (UTC) y </w:t>
      </w:r>
      <w:r>
        <w:rPr>
          <w:rFonts w:ascii="Consolas" w:hAnsi="Consolas"/>
          <w:sz w:val="18"/>
        </w:rPr>
        <w:t>_cobertura_agencias()</w:t>
      </w:r>
      <w:r>
        <w:t xml:space="preserve"> resume la ventana solicitada y la real por agencia (min/max de </w:t>
      </w:r>
      <w:r>
        <w:rPr>
          <w:rFonts w:ascii="Consolas" w:hAnsi="Consolas"/>
          <w:sz w:val="18"/>
        </w:rPr>
        <w:t>datos/agencias/consultaapi_&lt;AG&gt;.csv</w:t>
      </w:r>
      <w:r>
        <w:t>, con rezago), en un popup «Cobertura por agencia» y en la descarga. En modo «Desde/Hasta» el usuario fija el rango (</w:t>
      </w:r>
      <w:r>
        <w:rPr>
          <w:rFonts w:ascii="Consolas" w:hAnsi="Consolas"/>
          <w:sz w:val="18"/>
        </w:rPr>
        <w:t>desde</w:t>
      </w:r>
      <w:r>
        <w:t>/</w:t>
      </w:r>
      <w:r>
        <w:rPr>
          <w:rFonts w:ascii="Consolas" w:hAnsi="Consolas"/>
          <w:sz w:val="18"/>
        </w:rPr>
        <w:t>hasta</w:t>
      </w:r>
      <w:r>
        <w:t xml:space="preserve">, 14 díg., en el diálogo; por defecto el inicio del análisis y el instante de apertura). </w:t>
      </w:r>
      <w:r>
        <w:rPr>
          <w:rFonts w:ascii="Consolas" w:hAnsi="Consolas"/>
          <w:sz w:val="18"/>
        </w:rPr>
        <w:t>_comparacion_al_dia()</w:t>
      </w:r>
      <w:r>
        <w:t xml:space="preserve"> compara </w:t>
      </w:r>
      <w:r>
        <w:rPr>
          <w:rFonts w:ascii="Consolas" w:hAnsi="Consolas"/>
          <w:sz w:val="18"/>
        </w:rPr>
        <w:t>desde</w:t>
      </w:r>
      <w:r>
        <w:t xml:space="preserve"> y </w:t>
      </w:r>
      <w:r>
        <w:rPr>
          <w:rFonts w:ascii="Consolas" w:hAnsi="Consolas"/>
          <w:sz w:val="18"/>
        </w:rPr>
        <w:t>hasta</w:t>
      </w:r>
      <w:r>
        <w:t xml:space="preserve">: cambiar el </w:t>
      </w:r>
      <w:r>
        <w:rPr>
          <w:rFonts w:ascii="Consolas" w:hAnsi="Consolas"/>
          <w:sz w:val="18"/>
        </w:rPr>
        <w:t>desde</w:t>
      </w:r>
      <w:r>
        <w:t xml:space="preserve"> rehace; cambiar solo el </w:t>
      </w:r>
      <w:r>
        <w:rPr>
          <w:rFonts w:ascii="Consolas" w:hAnsi="Consolas"/>
          <w:sz w:val="18"/>
        </w:rPr>
        <w:t>hasta</w:t>
      </w:r>
      <w:r>
        <w:t xml:space="preserve"> rehace salvo que la comparación siga dentro del TTL (atajo para el caso «hasta = ahora»). La misma ventana se usa para las agencias y para re-extraer el eventquery de la comparación (</w:t>
      </w:r>
      <w:r>
        <w:rPr>
          <w:rFonts w:ascii="Consolas" w:hAnsi="Consolas"/>
          <w:sz w:val="18"/>
        </w:rPr>
        <w:t>_actualizar_eventquery</w:t>
      </w:r>
      <w:r>
        <w:t>), que queda aislado y no altera el eventquery del análisis.</w:t>
      </w:r>
    </w:p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r>
        <w:t xml:space="preserve">En una </w:t>
      </w:r>
      <w:r>
        <w:rPr>
          <w:b/>
        </w:rPr>
        <w:t>superposición</w:t>
      </w:r>
      <w:r>
        <w:t xml:space="preserve"> (varias fuentes en la misma ubicación) la viñeta la arma </w:t>
      </w:r>
      <w:r>
        <w:rPr>
          <w:rFonts w:ascii="Consolas" w:hAnsi="Consolas"/>
          <w:sz w:val="18"/>
        </w:rPr>
        <w:t>_texto_superposicion</w:t>
      </w:r>
      <w:r>
        <w:t xml:space="preserve">: además del encabezado </w:t>
      </w:r>
      <w:r>
        <w:rPr>
          <w:rFonts w:ascii="Consolas" w:hAnsi="Consolas"/>
          <w:sz w:val="18"/>
        </w:rPr>
        <w:t>Soluciones superpuestas (N): …</w:t>
      </w:r>
      <w:r>
        <w:t xml:space="preserve"> y el Δ de cada fuente, agrega una línea con el </w:t>
      </w:r>
      <w:r>
        <w:rPr>
          <w:b/>
        </w:rPr>
        <w:t>`id` y la fecha/hora de nuestro evento publicado</w:t>
      </w:r>
      <w:r>
        <w:t xml:space="preserve"> (la referencia) —</w:t>
      </w:r>
      <w:r>
        <w:rPr>
          <w:rFonts w:ascii="Consolas" w:hAnsi="Consolas"/>
          <w:sz w:val="18"/>
        </w:rPr>
        <w:t>id: 40 · 2026-10-02 12:47:27</w:t>
      </w:r>
      <w:r>
        <w:t>— para no depender de buscar el id en el catálogo. Si no hay referencia, muestra solo la fecha/hora (nunca el id de una agencia).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