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spacing w:lineRule="auto" w:line="360" w:before="140"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Комплекс «Рубикон»</w:t>
      </w:r>
    </w:p>
    <w:p>
      <w:pPr>
        <w:pStyle w:val="Style15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Разработанный компанией «Эшелон» программно-аппаратный комплекс «Рубикон» успешно прошел сертификацию во ФСТЭК России. Комплекс сочетает в себе межсетевой экран и систему обнаружения вторжений. «Рубикон» может использоваться в информационных системах персональных данных (ИСПДн) 1-го класса, а также в информационных системах, в которых обрабатывается информация вплоть до грифа «Совершенно секретно».</w:t>
      </w:r>
    </w:p>
    <w:p>
      <w:pPr>
        <w:pStyle w:val="Style15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Комплекс «Рубикон» может использоваться в качестве одностороннего шлюза для организации односторонней передачи информации в сегменты локальных вычислительных сетей, в которых обрабатывается информация, составляющая государственную тайну.</w:t>
      </w:r>
    </w:p>
    <w:p>
      <w:pPr>
        <w:pStyle w:val="Style15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Выданный ФСТЭК России сертификат соответствия №2574 подтверждает, что комплекс «Рубикон» соответствует 2 уровню контроля отсутствия недекларированных возможностей и 2 классу защищенности РД Гостехкомиссии, а также техническим условиям. Напомним, что «Рубикон» ранее уже успешно прошел сертификацию в Минобороны России по самым жестким требованиям к средствам защиты государственной тайны.</w:t>
      </w:r>
    </w:p>
    <w:p>
      <w:pPr>
        <w:pStyle w:val="Style15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«Рубикон» является первой системой обнаружения вторжений (СОВ), прошедшей сертификацию во ФСТЭК России. Функционал СОВ, реализованный в продукте, позволяет оперативно обнаруживать различные атаки:</w:t>
      </w:r>
    </w:p>
    <w:p>
      <w:pPr>
        <w:pStyle w:val="Style15"/>
        <w:numPr>
          <w:ilvl w:val="0"/>
          <w:numId w:val="1"/>
        </w:numPr>
        <w:tabs>
          <w:tab w:val="left" w:pos="0" w:leader="none"/>
        </w:tabs>
        <w:spacing w:lineRule="auto" w:line="360" w:before="0" w:after="0"/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web-службы; </w:t>
      </w:r>
    </w:p>
    <w:p>
      <w:pPr>
        <w:pStyle w:val="Style15"/>
        <w:numPr>
          <w:ilvl w:val="0"/>
          <w:numId w:val="1"/>
        </w:numPr>
        <w:tabs>
          <w:tab w:val="left" w:pos="0" w:leader="none"/>
        </w:tabs>
        <w:spacing w:lineRule="auto" w:line="360" w:before="0" w:after="0"/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служебным протоколам (в том числе SMTP, POP, SNMP, TELNET, FTP); </w:t>
      </w:r>
    </w:p>
    <w:p>
      <w:pPr>
        <w:pStyle w:val="Style15"/>
        <w:numPr>
          <w:ilvl w:val="0"/>
          <w:numId w:val="1"/>
        </w:numPr>
        <w:tabs>
          <w:tab w:val="left" w:pos="0" w:leader="none"/>
        </w:tabs>
        <w:spacing w:lineRule="auto" w:line="360" w:before="0" w:after="0"/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известные базы данных; </w:t>
      </w:r>
    </w:p>
    <w:p>
      <w:pPr>
        <w:pStyle w:val="Style15"/>
        <w:numPr>
          <w:ilvl w:val="0"/>
          <w:numId w:val="1"/>
        </w:numPr>
        <w:tabs>
          <w:tab w:val="left" w:pos="0" w:leader="none"/>
        </w:tabs>
        <w:spacing w:lineRule="auto" w:line="360" w:before="0" w:after="0"/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класса «отказ в обслуживании (DOS и DDOS); </w:t>
      </w:r>
    </w:p>
    <w:p>
      <w:pPr>
        <w:pStyle w:val="Style15"/>
        <w:numPr>
          <w:ilvl w:val="0"/>
          <w:numId w:val="1"/>
        </w:numPr>
        <w:tabs>
          <w:tab w:val="left" w:pos="0" w:leader="none"/>
        </w:tabs>
        <w:spacing w:lineRule="auto" w:line="360"/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 другие. </w:t>
      </w:r>
    </w:p>
    <w:p>
      <w:pPr>
        <w:pStyle w:val="Style15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Система позволяет выявлять компьютерные атаки на основе анализа сетевого трафика вплоть до прикладного уровня и сигнализировать о произошедшей атаке администратору.</w:t>
      </w:r>
    </w:p>
    <w:p>
      <w:pPr>
        <w:pStyle w:val="4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Преимущества</w:t>
      </w:r>
    </w:p>
    <w:p>
      <w:pPr>
        <w:pStyle w:val="Style15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«РУБИКОН» является программно-аппаратным комплексом, что упрощает его внедрение, эксплуатацию и сопровождение.</w:t>
      </w:r>
    </w:p>
    <w:p>
      <w:pPr>
        <w:pStyle w:val="Style15"/>
        <w:numPr>
          <w:ilvl w:val="0"/>
          <w:numId w:val="2"/>
        </w:numPr>
        <w:tabs>
          <w:tab w:val="left" w:pos="0" w:leader="none"/>
        </w:tabs>
        <w:spacing w:lineRule="auto" w:line="360" w:before="0" w:after="0"/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производительность МЭ: до 9Gb/s; </w:t>
      </w:r>
    </w:p>
    <w:p>
      <w:pPr>
        <w:pStyle w:val="Style15"/>
        <w:numPr>
          <w:ilvl w:val="0"/>
          <w:numId w:val="2"/>
        </w:numPr>
        <w:tabs>
          <w:tab w:val="left" w:pos="0" w:leader="none"/>
        </w:tabs>
        <w:spacing w:lineRule="auto" w:line="360" w:before="0" w:after="0"/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производительность СОВ: до 3Gb/s; </w:t>
      </w:r>
    </w:p>
    <w:p>
      <w:pPr>
        <w:pStyle w:val="Style15"/>
        <w:numPr>
          <w:ilvl w:val="0"/>
          <w:numId w:val="2"/>
        </w:numPr>
        <w:tabs>
          <w:tab w:val="left" w:pos="0" w:leader="none"/>
        </w:tabs>
        <w:spacing w:lineRule="auto" w:line="360" w:before="0" w:after="0"/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производительность маршрутизации: до 9 Gb/s; </w:t>
      </w:r>
    </w:p>
    <w:p>
      <w:pPr>
        <w:pStyle w:val="Style15"/>
        <w:numPr>
          <w:ilvl w:val="0"/>
          <w:numId w:val="2"/>
        </w:numPr>
        <w:tabs>
          <w:tab w:val="left" w:pos="0" w:leader="none"/>
        </w:tabs>
        <w:spacing w:lineRule="auto" w:line="360" w:before="0" w:after="0"/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возможность горячего резервирования: на уровне устройств (VRRP, Enthernet Bypass), на уровне портов (VLAN bonding), на уровне каналов связи (динамическая маршрутизация OSPF); </w:t>
      </w:r>
    </w:p>
    <w:p>
      <w:pPr>
        <w:pStyle w:val="Style15"/>
        <w:numPr>
          <w:ilvl w:val="0"/>
          <w:numId w:val="2"/>
        </w:numPr>
        <w:tabs>
          <w:tab w:val="left" w:pos="0" w:leader="none"/>
        </w:tabs>
        <w:spacing w:lineRule="auto" w:line="360" w:before="0" w:after="0"/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поддержка мандатных меток отечественных защищенных операционных систем в сетевом трафике; </w:t>
      </w:r>
    </w:p>
    <w:p>
      <w:pPr>
        <w:pStyle w:val="Style15"/>
        <w:numPr>
          <w:ilvl w:val="0"/>
          <w:numId w:val="2"/>
        </w:numPr>
        <w:tabs>
          <w:tab w:val="left" w:pos="0" w:leader="none"/>
        </w:tabs>
        <w:spacing w:lineRule="auto" w:line="360" w:before="0" w:after="0"/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возможность интеграции с системой мониторинга событий информационной безопасности «KOMRAD Enterprise SIEM»; </w:t>
      </w:r>
    </w:p>
    <w:p>
      <w:pPr>
        <w:pStyle w:val="Style15"/>
        <w:numPr>
          <w:ilvl w:val="0"/>
          <w:numId w:val="2"/>
        </w:numPr>
        <w:tabs>
          <w:tab w:val="left" w:pos="0" w:leader="none"/>
        </w:tabs>
        <w:spacing w:lineRule="auto" w:line="360" w:before="0" w:after="0"/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модульная структура аппаратных платформ; </w:t>
      </w:r>
    </w:p>
    <w:p>
      <w:pPr>
        <w:pStyle w:val="Style15"/>
        <w:numPr>
          <w:ilvl w:val="0"/>
          <w:numId w:val="2"/>
        </w:numPr>
        <w:tabs>
          <w:tab w:val="left" w:pos="0" w:leader="none"/>
        </w:tabs>
        <w:spacing w:lineRule="auto" w:line="360"/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возможность конфигурации до 64 портов в одном комплексе. </w:t>
      </w:r>
    </w:p>
    <w:p>
      <w:pPr>
        <w:pStyle w:val="4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Технические характеристики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spacing w:lineRule="auto" w:line="360" w:before="0" w:after="0"/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имеет в своем составе сертифицированную систему обнаружения вторжений (СОВ); 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spacing w:lineRule="auto" w:line="360" w:before="0" w:after="0"/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администрирование межсетевого экрана выполняется по защищенному протоколу HTTPS, устойчивому к перехвату информации; 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spacing w:lineRule="auto" w:line="360" w:before="0" w:after="0"/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обнаружение атак: web-службы, по служебным протоколам (в том числе SMTP, POP, SNMP, TELNET, FTP), на известные базы данных, DOS и DDOS атак, другие специфические атаки; 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spacing w:lineRule="auto" w:line="360" w:before="0" w:after="0"/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обеспечивает фильтрацию сетевых пакетов и осуществляет разграничение доступа пользователей к ресурсам сети на основе заданных правил. Поддержка фильтрации пакетов с мандатными метками Astra Linux и МСВС; 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spacing w:lineRule="auto" w:line="360" w:before="0" w:after="0"/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производит трансляцию сетевых адресов. Это дает возможность скрыть структуру внутренней сети от внешних субъектов и расширяет возможности использования произвольных диапазонов внутренних IP-адресов; 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spacing w:lineRule="auto" w:line="360" w:before="0" w:after="0"/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обеспечивает построение однонаправленного шлюза для связи сегментов с различными уровнями секретности; 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spacing w:lineRule="auto" w:line="360" w:before="0" w:after="0"/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высокая скорость работы; 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spacing w:lineRule="auto" w:line="360" w:before="0" w:after="0"/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количество сетевых портов - до 64 свободно конфигурируемых интерфейсов (Ethernet 100/1000 Base-T и оптических на основе SFP модулей); 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spacing w:lineRule="auto" w:line="360" w:before="0" w:after="0"/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возможность горячего резервирования; 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spacing w:lineRule="auto" w:line="360" w:before="0" w:after="0"/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поддержка оптических интерфейсов; 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spacing w:lineRule="auto" w:line="360" w:before="0" w:after="0"/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обновление базы правил СОВ; 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spacing w:lineRule="auto" w:line="360"/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возможна поставка в пяти вариантах исполнения. </w:t>
      </w:r>
    </w:p>
    <w:p>
      <w:pPr>
        <w:pStyle w:val="Style19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3">
    <w:name w:val="Heading 3"/>
    <w:basedOn w:val="Style14"/>
    <w:next w:val="Style15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paragraph" w:styleId="4">
    <w:name w:val="Heading 4"/>
    <w:basedOn w:val="Style14"/>
    <w:next w:val="Style15"/>
    <w:qFormat/>
    <w:pPr>
      <w:spacing w:before="120" w:after="120"/>
      <w:outlineLvl w:val="3"/>
      <w:outlineLvl w:val="3"/>
    </w:pPr>
    <w:rPr>
      <w:rFonts w:ascii="Liberation Serif" w:hAnsi="Liberation Serif" w:eastAsia="Noto Sans CJK SC Regular" w:cs="FreeSans"/>
      <w:b/>
      <w:bCs/>
      <w:sz w:val="24"/>
      <w:szCs w:val="24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3</Pages>
  <Words>437</Words>
  <Characters>3093</Characters>
  <CharactersWithSpaces>3501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2018-01-16T19:04:23Z</dcterms:modified>
  <cp:revision>2</cp:revision>
  <dc:subject/>
  <dc:title/>
</cp:coreProperties>
</file>