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Microsoft YaHei" w:hAnsi="Microsoft YaHei" w:eastAsia="Microsoft YaHei"/>
          <w:b/>
          <w:color w:val="8D2927"/>
          <w:sz w:val="64"/>
        </w:rPr>
        <w:t>京华·仕途</w:t>
      </w:r>
    </w:p>
    <w:p>
      <w:pPr>
        <w:jc w:val="center"/>
      </w:pPr>
      <w:r>
        <w:rPr>
          <w:rFonts w:ascii="Microsoft YaHei" w:hAnsi="Microsoft YaHei" w:eastAsia="Microsoft YaHei"/>
          <w:b/>
          <w:sz w:val="40"/>
        </w:rPr>
        <w:t>网页版官场模拟游戏开发方案</w:t>
      </w:r>
    </w:p>
    <w:p>
      <w:pPr>
        <w:spacing w:before="360"/>
        <w:jc w:val="center"/>
      </w:pPr>
      <w:r>
        <w:rPr>
          <w:color w:val="646464"/>
          <w:sz w:val="22"/>
        </w:rPr>
        <w:t>第一版产品规划 · 功能清单 · 页面设计 · 数据库结构 · 开发路线</w:t>
      </w:r>
    </w:p>
    <w:p>
      <w:pPr>
        <w:spacing w:before="1900"/>
        <w:jc w:val="center"/>
      </w:pPr>
      <w:r>
        <w:rPr>
          <w:sz w:val="20"/>
        </w:rPr>
        <w:t>项目定位：北京市单城市地图｜基层起步｜真实数据 + 模拟数据｜写实行政办公风</w:t>
      </w:r>
    </w:p>
    <w:p>
      <w:r>
        <w:br w:type="page"/>
      </w:r>
    </w:p>
    <w:p>
      <w:pPr>
        <w:pStyle w:val="Heading1"/>
      </w:pPr>
      <w:r>
        <w:t>一、项目概述</w:t>
      </w:r>
    </w:p>
    <w:p>
      <w:r>
        <w:t>《京华·仕途》是一款以北京市为唯一游戏舞台的网页版官场模拟与城市治理策略游戏。玩家从基层岗位起步，通过处理日常事务、制定政策、协调项目、完成考核和积累履职经验，逐步解锁更高层级的游戏职位。北京真实行政区划和公开统计数据用于地图与城市概况；人物、财政运行、政策后果、任务、关系和晋升机制使用虚构或模拟规则。</w:t>
      </w:r>
    </w:p>
    <w:p>
      <w:pPr>
        <w:pStyle w:val="Heading2"/>
      </w:pPr>
      <w:r>
        <w:t>1.1 已确定的产品方向</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3374B"/>
          </w:tcPr>
          <w:p>
            <w:pPr>
              <w:spacing w:after="0"/>
            </w:pPr>
            <w:r/>
            <w:r>
              <w:rPr>
                <w:rFonts w:ascii="Microsoft YaHei" w:hAnsi="Microsoft YaHei" w:eastAsia="Microsoft YaHei"/>
                <w:b/>
                <w:color w:val="FFFFFF"/>
                <w:sz w:val="18"/>
              </w:rPr>
              <w:t>项目项</w:t>
            </w:r>
          </w:p>
        </w:tc>
        <w:tc>
          <w:tcPr>
            <w:tcW w:type="dxa" w:w="4968"/>
            <w:vAlign w:val="center"/>
            <w:shd w:fill="23374B"/>
          </w:tcPr>
          <w:p>
            <w:pPr>
              <w:spacing w:after="0"/>
            </w:pPr>
            <w:r/>
            <w:r>
              <w:rPr>
                <w:rFonts w:ascii="Microsoft YaHei" w:hAnsi="Microsoft YaHei" w:eastAsia="Microsoft YaHei"/>
                <w:b/>
                <w:color w:val="FFFFFF"/>
                <w:sz w:val="18"/>
              </w:rPr>
              <w:t>确定方案</w:t>
            </w:r>
          </w:p>
        </w:tc>
      </w:tr>
      <w:tr>
        <w:tc>
          <w:tcPr>
            <w:tcW w:type="dxa" w:w="4968"/>
            <w:vAlign w:val="center"/>
          </w:tcPr>
          <w:p>
            <w:pPr>
              <w:spacing w:after="0"/>
            </w:pPr>
            <w:r/>
            <w:r>
              <w:rPr>
                <w:rFonts w:ascii="Microsoft YaHei" w:hAnsi="Microsoft YaHei" w:eastAsia="Microsoft YaHei"/>
                <w:b w:val="0"/>
                <w:sz w:val="17"/>
              </w:rPr>
              <w:t>游戏模式</w:t>
            </w:r>
          </w:p>
        </w:tc>
        <w:tc>
          <w:tcPr>
            <w:tcW w:type="dxa" w:w="4968"/>
            <w:vAlign w:val="center"/>
          </w:tcPr>
          <w:p>
            <w:pPr>
              <w:spacing w:after="0"/>
            </w:pPr>
            <w:r/>
            <w:r>
              <w:rPr>
                <w:rFonts w:ascii="Microsoft YaHei" w:hAnsi="Microsoft YaHei" w:eastAsia="Microsoft YaHei"/>
                <w:b w:val="0"/>
                <w:sz w:val="17"/>
              </w:rPr>
              <w:t>单人策略模拟，浏览器运行</w:t>
            </w:r>
          </w:p>
        </w:tc>
      </w:tr>
      <w:tr>
        <w:tc>
          <w:tcPr>
            <w:tcW w:type="dxa" w:w="4968"/>
            <w:vAlign w:val="center"/>
            <w:shd w:fill="F3F5F7"/>
          </w:tcPr>
          <w:p>
            <w:pPr>
              <w:spacing w:after="0"/>
            </w:pPr>
            <w:r/>
            <w:r>
              <w:rPr>
                <w:rFonts w:ascii="Microsoft YaHei" w:hAnsi="Microsoft YaHei" w:eastAsia="Microsoft YaHei"/>
                <w:b w:val="0"/>
                <w:sz w:val="17"/>
              </w:rPr>
              <w:t>起始职位</w:t>
            </w:r>
          </w:p>
        </w:tc>
        <w:tc>
          <w:tcPr>
            <w:tcW w:type="dxa" w:w="4968"/>
            <w:vAlign w:val="center"/>
            <w:shd w:fill="F3F5F7"/>
          </w:tcPr>
          <w:p>
            <w:pPr>
              <w:spacing w:after="0"/>
            </w:pPr>
            <w:r/>
            <w:r>
              <w:rPr>
                <w:rFonts w:ascii="Microsoft YaHei" w:hAnsi="Microsoft YaHei" w:eastAsia="Microsoft YaHei"/>
                <w:b w:val="0"/>
                <w:sz w:val="17"/>
              </w:rPr>
              <w:t>基层岗位起步，逐步晋升</w:t>
            </w:r>
          </w:p>
        </w:tc>
      </w:tr>
      <w:tr>
        <w:tc>
          <w:tcPr>
            <w:tcW w:type="dxa" w:w="4968"/>
            <w:vAlign w:val="center"/>
          </w:tcPr>
          <w:p>
            <w:pPr>
              <w:spacing w:after="0"/>
            </w:pPr>
            <w:r/>
            <w:r>
              <w:rPr>
                <w:rFonts w:ascii="Microsoft YaHei" w:hAnsi="Microsoft YaHei" w:eastAsia="Microsoft YaHei"/>
                <w:b w:val="0"/>
                <w:sz w:val="17"/>
              </w:rPr>
              <w:t>地图范围</w:t>
            </w:r>
          </w:p>
        </w:tc>
        <w:tc>
          <w:tcPr>
            <w:tcW w:type="dxa" w:w="4968"/>
            <w:vAlign w:val="center"/>
          </w:tcPr>
          <w:p>
            <w:pPr>
              <w:spacing w:after="0"/>
            </w:pPr>
            <w:r/>
            <w:r>
              <w:rPr>
                <w:rFonts w:ascii="Microsoft YaHei" w:hAnsi="Microsoft YaHei" w:eastAsia="Microsoft YaHei"/>
                <w:b w:val="0"/>
                <w:sz w:val="17"/>
              </w:rPr>
              <w:t>北京市16个区，并逐步细化到街道、镇、乡</w:t>
            </w:r>
          </w:p>
        </w:tc>
      </w:tr>
      <w:tr>
        <w:tc>
          <w:tcPr>
            <w:tcW w:type="dxa" w:w="4968"/>
            <w:vAlign w:val="center"/>
            <w:shd w:fill="F3F5F7"/>
          </w:tcPr>
          <w:p>
            <w:pPr>
              <w:spacing w:after="0"/>
            </w:pPr>
            <w:r/>
            <w:r>
              <w:rPr>
                <w:rFonts w:ascii="Microsoft YaHei" w:hAnsi="Microsoft YaHei" w:eastAsia="Microsoft YaHei"/>
                <w:b w:val="0"/>
                <w:sz w:val="17"/>
              </w:rPr>
              <w:t>数据方案</w:t>
            </w:r>
          </w:p>
        </w:tc>
        <w:tc>
          <w:tcPr>
            <w:tcW w:type="dxa" w:w="4968"/>
            <w:vAlign w:val="center"/>
            <w:shd w:fill="F3F5F7"/>
          </w:tcPr>
          <w:p>
            <w:pPr>
              <w:spacing w:after="0"/>
            </w:pPr>
            <w:r/>
            <w:r>
              <w:rPr>
                <w:rFonts w:ascii="Microsoft YaHei" w:hAnsi="Microsoft YaHei" w:eastAsia="Microsoft YaHei"/>
                <w:b w:val="0"/>
                <w:sz w:val="17"/>
              </w:rPr>
              <w:t>真实公开数据 + 游戏模拟数据，明确标识两者差异</w:t>
            </w:r>
          </w:p>
        </w:tc>
      </w:tr>
      <w:tr>
        <w:tc>
          <w:tcPr>
            <w:tcW w:type="dxa" w:w="4968"/>
            <w:vAlign w:val="center"/>
          </w:tcPr>
          <w:p>
            <w:pPr>
              <w:spacing w:after="0"/>
            </w:pPr>
            <w:r/>
            <w:r>
              <w:rPr>
                <w:rFonts w:ascii="Microsoft YaHei" w:hAnsi="Microsoft YaHei" w:eastAsia="Microsoft YaHei"/>
                <w:b w:val="0"/>
                <w:sz w:val="17"/>
              </w:rPr>
              <w:t>视觉风格</w:t>
            </w:r>
          </w:p>
        </w:tc>
        <w:tc>
          <w:tcPr>
            <w:tcW w:type="dxa" w:w="4968"/>
            <w:vAlign w:val="center"/>
          </w:tcPr>
          <w:p>
            <w:pPr>
              <w:spacing w:after="0"/>
            </w:pPr>
            <w:r/>
            <w:r>
              <w:rPr>
                <w:rFonts w:ascii="Microsoft YaHei" w:hAnsi="Microsoft YaHei" w:eastAsia="Microsoft YaHei"/>
                <w:b w:val="0"/>
                <w:sz w:val="17"/>
              </w:rPr>
              <w:t>写实行政办公风：正式、克制、档案与工作台风格</w:t>
            </w:r>
          </w:p>
        </w:tc>
      </w:tr>
      <w:tr>
        <w:tc>
          <w:tcPr>
            <w:tcW w:type="dxa" w:w="4968"/>
            <w:vAlign w:val="center"/>
            <w:shd w:fill="F3F5F7"/>
          </w:tcPr>
          <w:p>
            <w:pPr>
              <w:spacing w:after="0"/>
            </w:pPr>
            <w:r/>
            <w:r>
              <w:rPr>
                <w:rFonts w:ascii="Microsoft YaHei" w:hAnsi="Microsoft YaHei" w:eastAsia="Microsoft YaHei"/>
                <w:b w:val="0"/>
                <w:sz w:val="17"/>
              </w:rPr>
              <w:t>时间机制</w:t>
            </w:r>
          </w:p>
        </w:tc>
        <w:tc>
          <w:tcPr>
            <w:tcW w:type="dxa" w:w="4968"/>
            <w:vAlign w:val="center"/>
            <w:shd w:fill="F3F5F7"/>
          </w:tcPr>
          <w:p>
            <w:pPr>
              <w:spacing w:after="0"/>
            </w:pPr>
            <w:r/>
            <w:r>
              <w:rPr>
                <w:rFonts w:ascii="Microsoft YaHei" w:hAnsi="Microsoft YaHei" w:eastAsia="Microsoft YaHei"/>
                <w:b w:val="0"/>
                <w:sz w:val="17"/>
              </w:rPr>
              <w:t>一回合代表一个季度，每4个季度结算一个游戏年度</w:t>
            </w:r>
          </w:p>
        </w:tc>
      </w:tr>
      <w:tr>
        <w:tc>
          <w:tcPr>
            <w:tcW w:type="dxa" w:w="4968"/>
            <w:vAlign w:val="center"/>
          </w:tcPr>
          <w:p>
            <w:pPr>
              <w:spacing w:after="0"/>
            </w:pPr>
            <w:r/>
            <w:r>
              <w:rPr>
                <w:rFonts w:ascii="Microsoft YaHei" w:hAnsi="Microsoft YaHei" w:eastAsia="Microsoft YaHei"/>
                <w:b w:val="0"/>
                <w:sz w:val="17"/>
              </w:rPr>
              <w:t>第一版存档</w:t>
            </w:r>
          </w:p>
        </w:tc>
        <w:tc>
          <w:tcPr>
            <w:tcW w:type="dxa" w:w="4968"/>
            <w:vAlign w:val="center"/>
          </w:tcPr>
          <w:p>
            <w:pPr>
              <w:spacing w:after="0"/>
            </w:pPr>
            <w:r/>
            <w:r>
              <w:rPr>
                <w:rFonts w:ascii="Microsoft YaHei" w:hAnsi="Microsoft YaHei" w:eastAsia="Microsoft YaHei"/>
                <w:b w:val="0"/>
                <w:sz w:val="17"/>
              </w:rPr>
              <w:t>优先本地单人存档；后续按需求增加账号和云存档</w:t>
            </w:r>
          </w:p>
        </w:tc>
      </w:tr>
    </w:tbl>
    <w:p/>
    <w:p>
      <w:pPr>
        <w:pStyle w:val="Heading2"/>
      </w:pPr>
      <w:r>
        <w:t>1.2 核心游戏循环</w:t>
      </w:r>
    </w:p>
    <w:p>
      <w:r>
        <w:t>接收任务 → 查看北京地图与区域数据 → 选择政策或项目 → 分配预算和执行资源 → 处理事件 → 季度结算 → 年度考核 → 解锁新的岗位与任务。</w:t>
      </w:r>
    </w:p>
    <w:p>
      <w:pPr>
        <w:pStyle w:val="Heading1"/>
      </w:pPr>
      <w:r>
        <w:t>二、第一版功能范围与优先级</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374B"/>
          </w:tcPr>
          <w:p>
            <w:pPr>
              <w:spacing w:after="0"/>
            </w:pPr>
            <w:r/>
            <w:r>
              <w:rPr>
                <w:rFonts w:ascii="Microsoft YaHei" w:hAnsi="Microsoft YaHei" w:eastAsia="Microsoft YaHei"/>
                <w:b/>
                <w:color w:val="FFFFFF"/>
                <w:sz w:val="18"/>
              </w:rPr>
              <w:t>优先级</w:t>
            </w:r>
          </w:p>
        </w:tc>
        <w:tc>
          <w:tcPr>
            <w:tcW w:type="dxa" w:w="3312"/>
            <w:vAlign w:val="center"/>
            <w:shd w:fill="23374B"/>
          </w:tcPr>
          <w:p>
            <w:pPr>
              <w:spacing w:after="0"/>
            </w:pPr>
            <w:r/>
            <w:r>
              <w:rPr>
                <w:rFonts w:ascii="Microsoft YaHei" w:hAnsi="Microsoft YaHei" w:eastAsia="Microsoft YaHei"/>
                <w:b/>
                <w:color w:val="FFFFFF"/>
                <w:sz w:val="18"/>
              </w:rPr>
              <w:t>功能范围</w:t>
            </w:r>
          </w:p>
        </w:tc>
        <w:tc>
          <w:tcPr>
            <w:tcW w:type="dxa" w:w="3312"/>
            <w:vAlign w:val="center"/>
            <w:shd w:fill="23374B"/>
          </w:tcPr>
          <w:p>
            <w:pPr>
              <w:spacing w:after="0"/>
            </w:pPr>
            <w:r/>
            <w:r>
              <w:rPr>
                <w:rFonts w:ascii="Microsoft YaHei" w:hAnsi="Microsoft YaHei" w:eastAsia="Microsoft YaHei"/>
                <w:b/>
                <w:color w:val="FFFFFF"/>
                <w:sz w:val="18"/>
              </w:rPr>
              <w:t>验收目标</w:t>
            </w:r>
          </w:p>
        </w:tc>
      </w:tr>
      <w:tr>
        <w:tc>
          <w:tcPr>
            <w:tcW w:type="dxa" w:w="3312"/>
            <w:vAlign w:val="center"/>
          </w:tcPr>
          <w:p>
            <w:pPr>
              <w:spacing w:after="0"/>
            </w:pPr>
            <w:r/>
            <w:r>
              <w:rPr>
                <w:rFonts w:ascii="Microsoft YaHei" w:hAnsi="Microsoft YaHei" w:eastAsia="Microsoft YaHei"/>
                <w:b w:val="0"/>
                <w:sz w:val="17"/>
              </w:rPr>
              <w:t>P0 必须完成</w:t>
            </w:r>
          </w:p>
        </w:tc>
        <w:tc>
          <w:tcPr>
            <w:tcW w:type="dxa" w:w="3312"/>
            <w:vAlign w:val="center"/>
          </w:tcPr>
          <w:p>
            <w:pPr>
              <w:spacing w:after="0"/>
            </w:pPr>
            <w:r/>
            <w:r>
              <w:rPr>
                <w:rFonts w:ascii="Microsoft YaHei" w:hAnsi="Microsoft YaHei" w:eastAsia="Microsoft YaHei"/>
                <w:b w:val="0"/>
                <w:sz w:val="17"/>
              </w:rPr>
              <w:t>创建角色、基层任职、北京地图、区/街道选择、数据看板、季度推进、政策决策、任务考核、存档读档</w:t>
            </w:r>
          </w:p>
        </w:tc>
        <w:tc>
          <w:tcPr>
            <w:tcW w:type="dxa" w:w="3312"/>
            <w:vAlign w:val="center"/>
          </w:tcPr>
          <w:p>
            <w:pPr>
              <w:spacing w:after="0"/>
            </w:pPr>
            <w:r/>
            <w:r>
              <w:rPr>
                <w:rFonts w:ascii="Microsoft YaHei" w:hAnsi="Microsoft YaHei" w:eastAsia="Microsoft YaHei"/>
                <w:b w:val="0"/>
                <w:sz w:val="17"/>
              </w:rPr>
              <w:t>形成可完整游玩的核心闭环</w:t>
            </w:r>
          </w:p>
        </w:tc>
      </w:tr>
      <w:tr>
        <w:tc>
          <w:tcPr>
            <w:tcW w:type="dxa" w:w="3312"/>
            <w:vAlign w:val="center"/>
            <w:shd w:fill="F3F5F7"/>
          </w:tcPr>
          <w:p>
            <w:pPr>
              <w:spacing w:after="0"/>
            </w:pPr>
            <w:r/>
            <w:r>
              <w:rPr>
                <w:rFonts w:ascii="Microsoft YaHei" w:hAnsi="Microsoft YaHei" w:eastAsia="Microsoft YaHei"/>
                <w:b w:val="0"/>
                <w:sz w:val="17"/>
              </w:rPr>
              <w:t>P1 核心增强</w:t>
            </w:r>
          </w:p>
        </w:tc>
        <w:tc>
          <w:tcPr>
            <w:tcW w:type="dxa" w:w="3312"/>
            <w:vAlign w:val="center"/>
            <w:shd w:fill="F3F5F7"/>
          </w:tcPr>
          <w:p>
            <w:pPr>
              <w:spacing w:after="0"/>
            </w:pPr>
            <w:r/>
            <w:r>
              <w:rPr>
                <w:rFonts w:ascii="Microsoft YaHei" w:hAnsi="Microsoft YaHei" w:eastAsia="Microsoft YaHei"/>
                <w:b w:val="0"/>
                <w:sz w:val="17"/>
              </w:rPr>
              <w:t>虚构干部档案、部门协作、人物关系、岗位竞争、项目建设、政策连锁事件、年度考核与晋升</w:t>
            </w:r>
          </w:p>
        </w:tc>
        <w:tc>
          <w:tcPr>
            <w:tcW w:type="dxa" w:w="3312"/>
            <w:vAlign w:val="center"/>
            <w:shd w:fill="F3F5F7"/>
          </w:tcPr>
          <w:p>
            <w:pPr>
              <w:spacing w:after="0"/>
            </w:pPr>
            <w:r/>
            <w:r>
              <w:rPr>
                <w:rFonts w:ascii="Microsoft YaHei" w:hAnsi="Microsoft YaHei" w:eastAsia="Microsoft YaHei"/>
                <w:b w:val="0"/>
                <w:sz w:val="17"/>
              </w:rPr>
              <w:t>形成具有策略深度的官场模拟体验</w:t>
            </w:r>
          </w:p>
        </w:tc>
      </w:tr>
      <w:tr>
        <w:tc>
          <w:tcPr>
            <w:tcW w:type="dxa" w:w="3312"/>
            <w:vAlign w:val="center"/>
          </w:tcPr>
          <w:p>
            <w:pPr>
              <w:spacing w:after="0"/>
            </w:pPr>
            <w:r/>
            <w:r>
              <w:rPr>
                <w:rFonts w:ascii="Microsoft YaHei" w:hAnsi="Microsoft YaHei" w:eastAsia="Microsoft YaHei"/>
                <w:b w:val="0"/>
                <w:sz w:val="17"/>
              </w:rPr>
              <w:t>P2 后续扩展</w:t>
            </w:r>
          </w:p>
        </w:tc>
        <w:tc>
          <w:tcPr>
            <w:tcW w:type="dxa" w:w="3312"/>
            <w:vAlign w:val="center"/>
          </w:tcPr>
          <w:p>
            <w:pPr>
              <w:spacing w:after="0"/>
            </w:pPr>
            <w:r/>
            <w:r>
              <w:rPr>
                <w:rFonts w:ascii="Microsoft YaHei" w:hAnsi="Microsoft YaHei" w:eastAsia="Microsoft YaHei"/>
                <w:b w:val="0"/>
                <w:sz w:val="17"/>
              </w:rPr>
              <w:t>更精细街道边界、区域历史趋势、动态事件、复杂预算模型、随机剧情、多周目</w:t>
            </w:r>
          </w:p>
        </w:tc>
        <w:tc>
          <w:tcPr>
            <w:tcW w:type="dxa" w:w="3312"/>
            <w:vAlign w:val="center"/>
          </w:tcPr>
          <w:p>
            <w:pPr>
              <w:spacing w:after="0"/>
            </w:pPr>
            <w:r/>
            <w:r>
              <w:rPr>
                <w:rFonts w:ascii="Microsoft YaHei" w:hAnsi="Microsoft YaHei" w:eastAsia="Microsoft YaHei"/>
                <w:b w:val="0"/>
                <w:sz w:val="17"/>
              </w:rPr>
              <w:t>提升真实感、重玩价值与内容深度</w:t>
            </w:r>
          </w:p>
        </w:tc>
      </w:tr>
    </w:tbl>
    <w:p/>
    <w:p>
      <w:pPr>
        <w:pStyle w:val="Heading2"/>
      </w:pPr>
      <w:r>
        <w:t>2.1 第一版明确不做的内容</w:t>
      </w:r>
    </w:p>
    <w:p>
      <w:pPr>
        <w:pStyle w:val="ListBullet"/>
        <w:spacing w:after="40"/>
      </w:pPr>
      <w:r>
        <w:t>暂不实现多人联机或玩家之间的权力竞争。</w:t>
      </w:r>
    </w:p>
    <w:p>
      <w:pPr>
        <w:pStyle w:val="ListBullet"/>
        <w:spacing w:after="40"/>
      </w:pPr>
      <w:r>
        <w:t>不要求所有指标实时更新；以可追溯、可核验的公开数据为先。</w:t>
      </w:r>
    </w:p>
    <w:p>
      <w:pPr>
        <w:pStyle w:val="ListBullet"/>
        <w:spacing w:after="40"/>
      </w:pPr>
      <w:r>
        <w:t>不把模拟人物、模拟职位或游戏晋升条件表述为现实中的任职标准。</w:t>
      </w:r>
    </w:p>
    <w:p>
      <w:pPr>
        <w:pStyle w:val="ListBullet"/>
        <w:spacing w:after="40"/>
      </w:pPr>
      <w:r>
        <w:t>若暂时无法取得合规的街道级边界数据，则先采用区级地图 + 街道列表 + 街道数据面板。</w:t>
      </w:r>
    </w:p>
    <w:p>
      <w:pPr>
        <w:pStyle w:val="Heading1"/>
      </w:pPr>
      <w:r>
        <w:t>三、页面结构与视觉设计</w:t>
      </w:r>
    </w:p>
    <w:p>
      <w:r>
        <w:t>建议采用左侧固定导航、顶部角色状态栏、中央内容区和右侧详情抽屉的布局。视觉上使用深木色、米白色、灰蓝色与克制的暗红色作为点缀，营造正式办公桌、档案夹、通知和统计报表的氛围。不得将虚构内容误导为真实机关内部系统或真实政务文件。</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374B"/>
          </w:tcPr>
          <w:p>
            <w:pPr>
              <w:spacing w:after="0"/>
            </w:pPr>
            <w:r/>
            <w:r>
              <w:rPr>
                <w:rFonts w:ascii="Microsoft YaHei" w:hAnsi="Microsoft YaHei" w:eastAsia="Microsoft YaHei"/>
                <w:b/>
                <w:color w:val="FFFFFF"/>
                <w:sz w:val="18"/>
              </w:rPr>
              <w:t>页面</w:t>
            </w:r>
          </w:p>
        </w:tc>
        <w:tc>
          <w:tcPr>
            <w:tcW w:type="dxa" w:w="3312"/>
            <w:vAlign w:val="center"/>
            <w:shd w:fill="23374B"/>
          </w:tcPr>
          <w:p>
            <w:pPr>
              <w:spacing w:after="0"/>
            </w:pPr>
            <w:r/>
            <w:r>
              <w:rPr>
                <w:rFonts w:ascii="Microsoft YaHei" w:hAnsi="Microsoft YaHei" w:eastAsia="Microsoft YaHei"/>
                <w:b/>
                <w:color w:val="FFFFFF"/>
                <w:sz w:val="18"/>
              </w:rPr>
              <w:t>主要内容</w:t>
            </w:r>
          </w:p>
        </w:tc>
        <w:tc>
          <w:tcPr>
            <w:tcW w:type="dxa" w:w="3312"/>
            <w:vAlign w:val="center"/>
            <w:shd w:fill="23374B"/>
          </w:tcPr>
          <w:p>
            <w:pPr>
              <w:spacing w:after="0"/>
            </w:pPr>
            <w:r/>
            <w:r>
              <w:rPr>
                <w:rFonts w:ascii="Microsoft YaHei" w:hAnsi="Microsoft YaHei" w:eastAsia="Microsoft YaHei"/>
                <w:b/>
                <w:color w:val="FFFFFF"/>
                <w:sz w:val="18"/>
              </w:rPr>
              <w:t>玩家操作</w:t>
            </w:r>
          </w:p>
        </w:tc>
      </w:tr>
      <w:tr>
        <w:tc>
          <w:tcPr>
            <w:tcW w:type="dxa" w:w="3312"/>
            <w:vAlign w:val="center"/>
          </w:tcPr>
          <w:p>
            <w:pPr>
              <w:spacing w:after="0"/>
            </w:pPr>
            <w:r/>
            <w:r>
              <w:rPr>
                <w:rFonts w:ascii="Microsoft YaHei" w:hAnsi="Microsoft YaHei" w:eastAsia="Microsoft YaHei"/>
                <w:b w:val="0"/>
                <w:sz w:val="17"/>
              </w:rPr>
              <w:t>游戏首页 / 工作台</w:t>
            </w:r>
          </w:p>
        </w:tc>
        <w:tc>
          <w:tcPr>
            <w:tcW w:type="dxa" w:w="3312"/>
            <w:vAlign w:val="center"/>
          </w:tcPr>
          <w:p>
            <w:pPr>
              <w:spacing w:after="0"/>
            </w:pPr>
            <w:r/>
            <w:r>
              <w:rPr>
                <w:rFonts w:ascii="Microsoft YaHei" w:hAnsi="Microsoft YaHei" w:eastAsia="Microsoft YaHei"/>
                <w:b w:val="0"/>
                <w:sz w:val="17"/>
              </w:rPr>
              <w:t>个人履历、待办、通知、季度状态</w:t>
            </w:r>
          </w:p>
        </w:tc>
        <w:tc>
          <w:tcPr>
            <w:tcW w:type="dxa" w:w="3312"/>
            <w:vAlign w:val="center"/>
          </w:tcPr>
          <w:p>
            <w:pPr>
              <w:spacing w:after="0"/>
            </w:pPr>
            <w:r/>
            <w:r>
              <w:rPr>
                <w:rFonts w:ascii="Microsoft YaHei" w:hAnsi="Microsoft YaHei" w:eastAsia="Microsoft YaHei"/>
                <w:b w:val="0"/>
                <w:sz w:val="17"/>
              </w:rPr>
              <w:t>进入工作台、处理任务</w:t>
            </w:r>
          </w:p>
        </w:tc>
      </w:tr>
      <w:tr>
        <w:tc>
          <w:tcPr>
            <w:tcW w:type="dxa" w:w="3312"/>
            <w:vAlign w:val="center"/>
            <w:shd w:fill="F3F5F7"/>
          </w:tcPr>
          <w:p>
            <w:pPr>
              <w:spacing w:after="0"/>
            </w:pPr>
            <w:r/>
            <w:r>
              <w:rPr>
                <w:rFonts w:ascii="Microsoft YaHei" w:hAnsi="Microsoft YaHei" w:eastAsia="Microsoft YaHei"/>
                <w:b w:val="0"/>
                <w:sz w:val="17"/>
              </w:rPr>
              <w:t>北京地图</w:t>
            </w:r>
          </w:p>
        </w:tc>
        <w:tc>
          <w:tcPr>
            <w:tcW w:type="dxa" w:w="3312"/>
            <w:vAlign w:val="center"/>
            <w:shd w:fill="F3F5F7"/>
          </w:tcPr>
          <w:p>
            <w:pPr>
              <w:spacing w:after="0"/>
            </w:pPr>
            <w:r/>
            <w:r>
              <w:rPr>
                <w:rFonts w:ascii="Microsoft YaHei" w:hAnsi="Microsoft YaHei" w:eastAsia="Microsoft YaHei"/>
                <w:b w:val="0"/>
                <w:sz w:val="17"/>
              </w:rPr>
              <w:t>16区、街道/镇乡列表、指标图层</w:t>
            </w:r>
          </w:p>
        </w:tc>
        <w:tc>
          <w:tcPr>
            <w:tcW w:type="dxa" w:w="3312"/>
            <w:vAlign w:val="center"/>
            <w:shd w:fill="F3F5F7"/>
          </w:tcPr>
          <w:p>
            <w:pPr>
              <w:spacing w:after="0"/>
            </w:pPr>
            <w:r/>
            <w:r>
              <w:rPr>
                <w:rFonts w:ascii="Microsoft YaHei" w:hAnsi="Microsoft YaHei" w:eastAsia="Microsoft YaHei"/>
                <w:b w:val="0"/>
                <w:sz w:val="17"/>
              </w:rPr>
              <w:t>选择辖区、查看区域详情</w:t>
            </w:r>
          </w:p>
        </w:tc>
      </w:tr>
      <w:tr>
        <w:tc>
          <w:tcPr>
            <w:tcW w:type="dxa" w:w="3312"/>
            <w:vAlign w:val="center"/>
          </w:tcPr>
          <w:p>
            <w:pPr>
              <w:spacing w:after="0"/>
            </w:pPr>
            <w:r/>
            <w:r>
              <w:rPr>
                <w:rFonts w:ascii="Microsoft YaHei" w:hAnsi="Microsoft YaHei" w:eastAsia="Microsoft YaHei"/>
                <w:b w:val="0"/>
                <w:sz w:val="17"/>
              </w:rPr>
              <w:t>区域详情</w:t>
            </w:r>
          </w:p>
        </w:tc>
        <w:tc>
          <w:tcPr>
            <w:tcW w:type="dxa" w:w="3312"/>
            <w:vAlign w:val="center"/>
          </w:tcPr>
          <w:p>
            <w:pPr>
              <w:spacing w:after="0"/>
            </w:pPr>
            <w:r/>
            <w:r>
              <w:rPr>
                <w:rFonts w:ascii="Microsoft YaHei" w:hAnsi="Microsoft YaHei" w:eastAsia="Microsoft YaHei"/>
                <w:b w:val="0"/>
                <w:sz w:val="17"/>
              </w:rPr>
              <w:t>经济、民生、财政、项目、历史趋势</w:t>
            </w:r>
          </w:p>
        </w:tc>
        <w:tc>
          <w:tcPr>
            <w:tcW w:type="dxa" w:w="3312"/>
            <w:vAlign w:val="center"/>
          </w:tcPr>
          <w:p>
            <w:pPr>
              <w:spacing w:after="0"/>
            </w:pPr>
            <w:r/>
            <w:r>
              <w:rPr>
                <w:rFonts w:ascii="Microsoft YaHei" w:hAnsi="Microsoft YaHei" w:eastAsia="Microsoft YaHei"/>
                <w:b w:val="0"/>
                <w:sz w:val="17"/>
              </w:rPr>
              <w:t>比较区域、制定模拟政策</w:t>
            </w:r>
          </w:p>
        </w:tc>
      </w:tr>
      <w:tr>
        <w:tc>
          <w:tcPr>
            <w:tcW w:type="dxa" w:w="3312"/>
            <w:vAlign w:val="center"/>
            <w:shd w:fill="F3F5F7"/>
          </w:tcPr>
          <w:p>
            <w:pPr>
              <w:spacing w:after="0"/>
            </w:pPr>
            <w:r/>
            <w:r>
              <w:rPr>
                <w:rFonts w:ascii="Microsoft YaHei" w:hAnsi="Microsoft YaHei" w:eastAsia="Microsoft YaHei"/>
                <w:b w:val="0"/>
                <w:sz w:val="17"/>
              </w:rPr>
              <w:t>政策与项目</w:t>
            </w:r>
          </w:p>
        </w:tc>
        <w:tc>
          <w:tcPr>
            <w:tcW w:type="dxa" w:w="3312"/>
            <w:vAlign w:val="center"/>
            <w:shd w:fill="F3F5F7"/>
          </w:tcPr>
          <w:p>
            <w:pPr>
              <w:spacing w:after="0"/>
            </w:pPr>
            <w:r/>
            <w:r>
              <w:rPr>
                <w:rFonts w:ascii="Microsoft YaHei" w:hAnsi="Microsoft YaHei" w:eastAsia="Microsoft YaHei"/>
                <w:b w:val="0"/>
                <w:sz w:val="17"/>
              </w:rPr>
              <w:t>项目预算、周期、预期效果、风险</w:t>
            </w:r>
          </w:p>
        </w:tc>
        <w:tc>
          <w:tcPr>
            <w:tcW w:type="dxa" w:w="3312"/>
            <w:vAlign w:val="center"/>
            <w:shd w:fill="F3F5F7"/>
          </w:tcPr>
          <w:p>
            <w:pPr>
              <w:spacing w:after="0"/>
            </w:pPr>
            <w:r/>
            <w:r>
              <w:rPr>
                <w:rFonts w:ascii="Microsoft YaHei" w:hAnsi="Microsoft YaHei" w:eastAsia="Microsoft YaHei"/>
                <w:b w:val="0"/>
                <w:sz w:val="17"/>
              </w:rPr>
              <w:t>立项、分配资金、推进建设</w:t>
            </w:r>
          </w:p>
        </w:tc>
      </w:tr>
      <w:tr>
        <w:tc>
          <w:tcPr>
            <w:tcW w:type="dxa" w:w="3312"/>
            <w:vAlign w:val="center"/>
          </w:tcPr>
          <w:p>
            <w:pPr>
              <w:spacing w:after="0"/>
            </w:pPr>
            <w:r/>
            <w:r>
              <w:rPr>
                <w:rFonts w:ascii="Microsoft YaHei" w:hAnsi="Microsoft YaHei" w:eastAsia="Microsoft YaHei"/>
                <w:b w:val="0"/>
                <w:sz w:val="17"/>
              </w:rPr>
              <w:t>人事系统</w:t>
            </w:r>
          </w:p>
        </w:tc>
        <w:tc>
          <w:tcPr>
            <w:tcW w:type="dxa" w:w="3312"/>
            <w:vAlign w:val="center"/>
          </w:tcPr>
          <w:p>
            <w:pPr>
              <w:spacing w:after="0"/>
            </w:pPr>
            <w:r/>
            <w:r>
              <w:rPr>
                <w:rFonts w:ascii="Microsoft YaHei" w:hAnsi="Microsoft YaHei" w:eastAsia="Microsoft YaHei"/>
                <w:b w:val="0"/>
                <w:sz w:val="17"/>
              </w:rPr>
              <w:t>虚构干部档案、能力、关系和评价</w:t>
            </w:r>
          </w:p>
        </w:tc>
        <w:tc>
          <w:tcPr>
            <w:tcW w:type="dxa" w:w="3312"/>
            <w:vAlign w:val="center"/>
          </w:tcPr>
          <w:p>
            <w:pPr>
              <w:spacing w:after="0"/>
            </w:pPr>
            <w:r/>
            <w:r>
              <w:rPr>
                <w:rFonts w:ascii="Microsoft YaHei" w:hAnsi="Microsoft YaHei" w:eastAsia="Microsoft YaHei"/>
                <w:b w:val="0"/>
                <w:sz w:val="17"/>
              </w:rPr>
              <w:t>协作、考核、申请岗位</w:t>
            </w:r>
          </w:p>
        </w:tc>
      </w:tr>
      <w:tr>
        <w:tc>
          <w:tcPr>
            <w:tcW w:type="dxa" w:w="3312"/>
            <w:vAlign w:val="center"/>
            <w:shd w:fill="F3F5F7"/>
          </w:tcPr>
          <w:p>
            <w:pPr>
              <w:spacing w:after="0"/>
            </w:pPr>
            <w:r/>
            <w:r>
              <w:rPr>
                <w:rFonts w:ascii="Microsoft YaHei" w:hAnsi="Microsoft YaHei" w:eastAsia="Microsoft YaHei"/>
                <w:b w:val="0"/>
                <w:sz w:val="17"/>
              </w:rPr>
              <w:t>个人档案</w:t>
            </w:r>
          </w:p>
        </w:tc>
        <w:tc>
          <w:tcPr>
            <w:tcW w:type="dxa" w:w="3312"/>
            <w:vAlign w:val="center"/>
            <w:shd w:fill="F3F5F7"/>
          </w:tcPr>
          <w:p>
            <w:pPr>
              <w:spacing w:after="0"/>
            </w:pPr>
            <w:r/>
            <w:r>
              <w:rPr>
                <w:rFonts w:ascii="Microsoft YaHei" w:hAnsi="Microsoft YaHei" w:eastAsia="Microsoft YaHei"/>
                <w:b w:val="0"/>
                <w:sz w:val="17"/>
              </w:rPr>
              <w:t>职位、履历、年度考核、晋升记录</w:t>
            </w:r>
          </w:p>
        </w:tc>
        <w:tc>
          <w:tcPr>
            <w:tcW w:type="dxa" w:w="3312"/>
            <w:vAlign w:val="center"/>
            <w:shd w:fill="F3F5F7"/>
          </w:tcPr>
          <w:p>
            <w:pPr>
              <w:spacing w:after="0"/>
            </w:pPr>
            <w:r/>
            <w:r>
              <w:rPr>
                <w:rFonts w:ascii="Microsoft YaHei" w:hAnsi="Microsoft YaHei" w:eastAsia="Microsoft YaHei"/>
                <w:b w:val="0"/>
                <w:sz w:val="17"/>
              </w:rPr>
              <w:t>查看仕途进度</w:t>
            </w:r>
          </w:p>
        </w:tc>
      </w:tr>
      <w:tr>
        <w:tc>
          <w:tcPr>
            <w:tcW w:type="dxa" w:w="3312"/>
            <w:vAlign w:val="center"/>
          </w:tcPr>
          <w:p>
            <w:pPr>
              <w:spacing w:after="0"/>
            </w:pPr>
            <w:r/>
            <w:r>
              <w:rPr>
                <w:rFonts w:ascii="Microsoft YaHei" w:hAnsi="Microsoft YaHei" w:eastAsia="Microsoft YaHei"/>
                <w:b w:val="0"/>
                <w:sz w:val="17"/>
              </w:rPr>
              <w:t>数据中心</w:t>
            </w:r>
          </w:p>
        </w:tc>
        <w:tc>
          <w:tcPr>
            <w:tcW w:type="dxa" w:w="3312"/>
            <w:vAlign w:val="center"/>
          </w:tcPr>
          <w:p>
            <w:pPr>
              <w:spacing w:after="0"/>
            </w:pPr>
            <w:r/>
            <w:r>
              <w:rPr>
                <w:rFonts w:ascii="Microsoft YaHei" w:hAnsi="Microsoft YaHei" w:eastAsia="Microsoft YaHei"/>
                <w:b w:val="0"/>
                <w:sz w:val="17"/>
              </w:rPr>
              <w:t>全市与区级指标、趋势图、区域排名</w:t>
            </w:r>
          </w:p>
        </w:tc>
        <w:tc>
          <w:tcPr>
            <w:tcW w:type="dxa" w:w="3312"/>
            <w:vAlign w:val="center"/>
          </w:tcPr>
          <w:p>
            <w:pPr>
              <w:spacing w:after="0"/>
            </w:pPr>
            <w:r/>
            <w:r>
              <w:rPr>
                <w:rFonts w:ascii="Microsoft YaHei" w:hAnsi="Microsoft YaHei" w:eastAsia="Microsoft YaHei"/>
                <w:b w:val="0"/>
                <w:sz w:val="17"/>
              </w:rPr>
              <w:t>查询、筛选、比较</w:t>
            </w:r>
          </w:p>
        </w:tc>
      </w:tr>
      <w:tr>
        <w:tc>
          <w:tcPr>
            <w:tcW w:type="dxa" w:w="3312"/>
            <w:vAlign w:val="center"/>
            <w:shd w:fill="F3F5F7"/>
          </w:tcPr>
          <w:p>
            <w:pPr>
              <w:spacing w:after="0"/>
            </w:pPr>
            <w:r/>
            <w:r>
              <w:rPr>
                <w:rFonts w:ascii="Microsoft YaHei" w:hAnsi="Microsoft YaHei" w:eastAsia="Microsoft YaHei"/>
                <w:b w:val="0"/>
                <w:sz w:val="17"/>
              </w:rPr>
              <w:t>存档设置</w:t>
            </w:r>
          </w:p>
        </w:tc>
        <w:tc>
          <w:tcPr>
            <w:tcW w:type="dxa" w:w="3312"/>
            <w:vAlign w:val="center"/>
            <w:shd w:fill="F3F5F7"/>
          </w:tcPr>
          <w:p>
            <w:pPr>
              <w:spacing w:after="0"/>
            </w:pPr>
            <w:r/>
            <w:r>
              <w:rPr>
                <w:rFonts w:ascii="Microsoft YaHei" w:hAnsi="Microsoft YaHei" w:eastAsia="Microsoft YaHei"/>
                <w:b w:val="0"/>
                <w:sz w:val="17"/>
              </w:rPr>
              <w:t>存档槽、读取、游戏设置</w:t>
            </w:r>
          </w:p>
        </w:tc>
        <w:tc>
          <w:tcPr>
            <w:tcW w:type="dxa" w:w="3312"/>
            <w:vAlign w:val="center"/>
            <w:shd w:fill="F3F5F7"/>
          </w:tcPr>
          <w:p>
            <w:pPr>
              <w:spacing w:after="0"/>
            </w:pPr>
            <w:r/>
            <w:r>
              <w:rPr>
                <w:rFonts w:ascii="Microsoft YaHei" w:hAnsi="Microsoft YaHei" w:eastAsia="Microsoft YaHei"/>
                <w:b w:val="0"/>
                <w:sz w:val="17"/>
              </w:rPr>
              <w:t>保存或恢复进度</w:t>
            </w:r>
          </w:p>
        </w:tc>
      </w:tr>
    </w:tbl>
    <w:p/>
    <w:p>
      <w:pPr>
        <w:pStyle w:val="Heading2"/>
      </w:pPr>
      <w:r>
        <w:t>3.1 首页信息模块</w:t>
      </w:r>
    </w:p>
    <w:p>
      <w:pPr>
        <w:pStyle w:val="ListBullet"/>
        <w:spacing w:after="40"/>
      </w:pPr>
      <w:r>
        <w:t>角色信息：姓名、当前模拟职位、所属单位、任职时间、能力属性。</w:t>
      </w:r>
    </w:p>
    <w:p>
      <w:pPr>
        <w:pStyle w:val="ListBullet"/>
        <w:spacing w:after="40"/>
      </w:pPr>
      <w:r>
        <w:t>季度概况：当前年份、季度、待处理任务数量、剩余游戏资金。</w:t>
      </w:r>
    </w:p>
    <w:p>
      <w:pPr>
        <w:pStyle w:val="ListBullet"/>
        <w:spacing w:after="40"/>
      </w:pPr>
      <w:r>
        <w:t>待办事项：上级部署、会议、项目进度、突发事件。</w:t>
      </w:r>
    </w:p>
    <w:p>
      <w:pPr>
        <w:pStyle w:val="ListBullet"/>
        <w:spacing w:after="40"/>
      </w:pPr>
      <w:r>
        <w:t>快捷入口：北京地图、工作台、数据中心、人事档案、项目管理。</w:t>
      </w:r>
    </w:p>
    <w:p>
      <w:pPr>
        <w:pStyle w:val="ListBullet"/>
        <w:spacing w:after="40"/>
      </w:pPr>
      <w:r>
        <w:t>近期动态：已完成任务、考核结果、区域指标变化。</w:t>
      </w:r>
    </w:p>
    <w:p>
      <w:pPr>
        <w:pStyle w:val="Heading1"/>
      </w:pPr>
      <w:r>
        <w:t>四、北京地图系统</w:t>
      </w:r>
    </w:p>
    <w:p>
      <w:r>
        <w:t>地图是核心玩法入口，采用“北京市总览 → 区级详情 → 街道/镇/乡详情”的层级结构。区划数据应使用稳定编码关联边界、统计数据、游戏项目和事件，不依赖名称字符串进行关联。</w:t>
      </w:r>
    </w:p>
    <w:p>
      <w:pPr>
        <w:pStyle w:val="Heading2"/>
      </w:pPr>
      <w:r>
        <w:t>4.1 地图交互功能</w:t>
      </w:r>
    </w:p>
    <w:p>
      <w:pPr>
        <w:pStyle w:val="ListBullet"/>
        <w:spacing w:after="40"/>
      </w:pPr>
      <w:r>
        <w:t>展示北京市16个区：东城、西城、朝阳、海淀、丰台、石景山、门头沟、房山、通州、顺义、昌平、大兴、怀柔、平谷、密云、延庆。</w:t>
      </w:r>
    </w:p>
    <w:p>
      <w:pPr>
        <w:pStyle w:val="ListBullet"/>
        <w:spacing w:after="40"/>
      </w:pPr>
      <w:r>
        <w:t>点击区划后高亮边界，并显示区级概况和基层区划清单。</w:t>
      </w:r>
    </w:p>
    <w:p>
      <w:pPr>
        <w:pStyle w:val="ListBullet"/>
        <w:spacing w:after="40"/>
      </w:pPr>
      <w:r>
        <w:t>支持区划名称搜索、缩放、返回上级、重置视图。</w:t>
      </w:r>
    </w:p>
    <w:p>
      <w:pPr>
        <w:pStyle w:val="ListBullet"/>
        <w:spacing w:after="40"/>
      </w:pPr>
      <w:r>
        <w:t>支持经济、人口、教育、医疗、住房、交通、生态、财政与游戏项目等图层。</w:t>
      </w:r>
    </w:p>
    <w:p>
      <w:pPr>
        <w:pStyle w:val="ListBullet"/>
        <w:spacing w:after="40"/>
      </w:pPr>
      <w:r>
        <w:t>地图悬停显示区域名称及选定指标；点击后打开区域详情抽屉。</w:t>
      </w:r>
    </w:p>
    <w:p>
      <w:pPr>
        <w:pStyle w:val="ListBullet"/>
        <w:spacing w:after="40"/>
      </w:pPr>
      <w:r>
        <w:t>区域详情区分真实统计值、游戏模拟值、数据来源和统计时间。</w:t>
      </w:r>
    </w:p>
    <w:p>
      <w:pPr>
        <w:pStyle w:val="Heading2"/>
      </w:pPr>
      <w:r>
        <w:t>4.2 地图数据来源与限制</w:t>
      </w:r>
    </w:p>
    <w:p>
      <w:pPr>
        <w:pStyle w:val="ListBullet"/>
        <w:spacing w:after="40"/>
      </w:pPr>
      <w:r>
        <w:t>行政区划名称与编码：优先参考北京市民政部门公开的行政区划信息。</w:t>
      </w:r>
    </w:p>
    <w:p>
      <w:pPr>
        <w:pStyle w:val="ListBullet"/>
        <w:spacing w:after="40"/>
      </w:pPr>
      <w:r>
        <w:t>公开统计数据：优先使用北京市统计部门和北京市公共数据开放平台。</w:t>
      </w:r>
    </w:p>
    <w:p>
      <w:pPr>
        <w:pStyle w:val="ListBullet"/>
        <w:spacing w:after="40"/>
      </w:pPr>
      <w:r>
        <w:t>空间边界：只使用授权条件明确、来源可追溯的边界数据或合规地图服务。</w:t>
      </w:r>
    </w:p>
    <w:p>
      <w:pPr>
        <w:pStyle w:val="ListBullet"/>
        <w:spacing w:after="40"/>
      </w:pPr>
      <w:r>
        <w:t>若街道级边界暂不可用，第一版采用区级可视地图和街道列表，不以虚构边界冒充真实地图。</w:t>
      </w:r>
    </w:p>
    <w:p>
      <w:pPr>
        <w:pStyle w:val="ListBullet"/>
        <w:spacing w:after="40"/>
      </w:pPr>
      <w:r>
        <w:t>正式公开上线前，核实底图授权、坐标系统、地图审核和相关合规要求。</w:t>
      </w:r>
    </w:p>
    <w:p>
      <w:pPr>
        <w:pStyle w:val="Heading1"/>
      </w:pPr>
      <w:r>
        <w:t>五、数据体系设计</w:t>
      </w:r>
    </w:p>
    <w:p>
      <w:r>
        <w:t>系统分为真实公开数据层和游戏模拟数据层。真实数据用于呈现北京城市背景，模拟数据用于驱动游戏规则。两类数据应在数据库、接口和界面上明确区分，避免把游戏计算值误认为官方统计。</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374B"/>
          </w:tcPr>
          <w:p>
            <w:pPr>
              <w:spacing w:after="0"/>
            </w:pPr>
            <w:r/>
            <w:r>
              <w:rPr>
                <w:rFonts w:ascii="Microsoft YaHei" w:hAnsi="Microsoft YaHei" w:eastAsia="Microsoft YaHei"/>
                <w:b/>
                <w:color w:val="FFFFFF"/>
                <w:sz w:val="18"/>
              </w:rPr>
              <w:t>模块</w:t>
            </w:r>
          </w:p>
        </w:tc>
        <w:tc>
          <w:tcPr>
            <w:tcW w:type="dxa" w:w="3312"/>
            <w:vAlign w:val="center"/>
            <w:shd w:fill="23374B"/>
          </w:tcPr>
          <w:p>
            <w:pPr>
              <w:spacing w:after="0"/>
            </w:pPr>
            <w:r/>
            <w:r>
              <w:rPr>
                <w:rFonts w:ascii="Microsoft YaHei" w:hAnsi="Microsoft YaHei" w:eastAsia="Microsoft YaHei"/>
                <w:b/>
                <w:color w:val="FFFFFF"/>
                <w:sz w:val="18"/>
              </w:rPr>
              <w:t>示例指标</w:t>
            </w:r>
          </w:p>
        </w:tc>
        <w:tc>
          <w:tcPr>
            <w:tcW w:type="dxa" w:w="3312"/>
            <w:vAlign w:val="center"/>
            <w:shd w:fill="23374B"/>
          </w:tcPr>
          <w:p>
            <w:pPr>
              <w:spacing w:after="0"/>
            </w:pPr>
            <w:r/>
            <w:r>
              <w:rPr>
                <w:rFonts w:ascii="Microsoft YaHei" w:hAnsi="Microsoft YaHei" w:eastAsia="Microsoft YaHei"/>
                <w:b/>
                <w:color w:val="FFFFFF"/>
                <w:sz w:val="18"/>
              </w:rPr>
              <w:t>游戏用途</w:t>
            </w:r>
          </w:p>
        </w:tc>
      </w:tr>
      <w:tr>
        <w:tc>
          <w:tcPr>
            <w:tcW w:type="dxa" w:w="3312"/>
            <w:vAlign w:val="center"/>
          </w:tcPr>
          <w:p>
            <w:pPr>
              <w:spacing w:after="0"/>
            </w:pPr>
            <w:r/>
            <w:r>
              <w:rPr>
                <w:rFonts w:ascii="Microsoft YaHei" w:hAnsi="Microsoft YaHei" w:eastAsia="Microsoft YaHei"/>
                <w:b w:val="0"/>
                <w:sz w:val="17"/>
              </w:rPr>
              <w:t>经济发展</w:t>
            </w:r>
          </w:p>
        </w:tc>
        <w:tc>
          <w:tcPr>
            <w:tcW w:type="dxa" w:w="3312"/>
            <w:vAlign w:val="center"/>
          </w:tcPr>
          <w:p>
            <w:pPr>
              <w:spacing w:after="0"/>
            </w:pPr>
            <w:r/>
            <w:r>
              <w:rPr>
                <w:rFonts w:ascii="Microsoft YaHei" w:hAnsi="Microsoft YaHei" w:eastAsia="Microsoft YaHei"/>
                <w:b w:val="0"/>
                <w:sz w:val="17"/>
              </w:rPr>
              <w:t>GDP、增速、产业结构、企业数量</w:t>
            </w:r>
          </w:p>
        </w:tc>
        <w:tc>
          <w:tcPr>
            <w:tcW w:type="dxa" w:w="3312"/>
            <w:vAlign w:val="center"/>
          </w:tcPr>
          <w:p>
            <w:pPr>
              <w:spacing w:after="0"/>
            </w:pPr>
            <w:r/>
            <w:r>
              <w:rPr>
                <w:rFonts w:ascii="Microsoft YaHei" w:hAnsi="Microsoft YaHei" w:eastAsia="Microsoft YaHei"/>
                <w:b w:val="0"/>
                <w:sz w:val="17"/>
              </w:rPr>
              <w:t>理解区域背景，辅助产业政策</w:t>
            </w:r>
          </w:p>
        </w:tc>
      </w:tr>
      <w:tr>
        <w:tc>
          <w:tcPr>
            <w:tcW w:type="dxa" w:w="3312"/>
            <w:vAlign w:val="center"/>
            <w:shd w:fill="F3F5F7"/>
          </w:tcPr>
          <w:p>
            <w:pPr>
              <w:spacing w:after="0"/>
            </w:pPr>
            <w:r/>
            <w:r>
              <w:rPr>
                <w:rFonts w:ascii="Microsoft YaHei" w:hAnsi="Microsoft YaHei" w:eastAsia="Microsoft YaHei"/>
                <w:b w:val="0"/>
                <w:sz w:val="17"/>
              </w:rPr>
              <w:t>人口民生</w:t>
            </w:r>
          </w:p>
        </w:tc>
        <w:tc>
          <w:tcPr>
            <w:tcW w:type="dxa" w:w="3312"/>
            <w:vAlign w:val="center"/>
            <w:shd w:fill="F3F5F7"/>
          </w:tcPr>
          <w:p>
            <w:pPr>
              <w:spacing w:after="0"/>
            </w:pPr>
            <w:r/>
            <w:r>
              <w:rPr>
                <w:rFonts w:ascii="Microsoft YaHei" w:hAnsi="Microsoft YaHei" w:eastAsia="Microsoft YaHei"/>
                <w:b w:val="0"/>
                <w:sz w:val="17"/>
              </w:rPr>
              <w:t>常住人口、人口变化、就业相关公开指标</w:t>
            </w:r>
          </w:p>
        </w:tc>
        <w:tc>
          <w:tcPr>
            <w:tcW w:type="dxa" w:w="3312"/>
            <w:vAlign w:val="center"/>
            <w:shd w:fill="F3F5F7"/>
          </w:tcPr>
          <w:p>
            <w:pPr>
              <w:spacing w:after="0"/>
            </w:pPr>
            <w:r/>
            <w:r>
              <w:rPr>
                <w:rFonts w:ascii="Microsoft YaHei" w:hAnsi="Microsoft YaHei" w:eastAsia="Microsoft YaHei"/>
                <w:b w:val="0"/>
                <w:sz w:val="17"/>
              </w:rPr>
              <w:t>住房、就业和公共服务压力</w:t>
            </w:r>
          </w:p>
        </w:tc>
      </w:tr>
      <w:tr>
        <w:tc>
          <w:tcPr>
            <w:tcW w:type="dxa" w:w="3312"/>
            <w:vAlign w:val="center"/>
          </w:tcPr>
          <w:p>
            <w:pPr>
              <w:spacing w:after="0"/>
            </w:pPr>
            <w:r/>
            <w:r>
              <w:rPr>
                <w:rFonts w:ascii="Microsoft YaHei" w:hAnsi="Microsoft YaHei" w:eastAsia="Microsoft YaHei"/>
                <w:b w:val="0"/>
                <w:sz w:val="17"/>
              </w:rPr>
              <w:t>财政预算</w:t>
            </w:r>
          </w:p>
        </w:tc>
        <w:tc>
          <w:tcPr>
            <w:tcW w:type="dxa" w:w="3312"/>
            <w:vAlign w:val="center"/>
          </w:tcPr>
          <w:p>
            <w:pPr>
              <w:spacing w:after="0"/>
            </w:pPr>
            <w:r/>
            <w:r>
              <w:rPr>
                <w:rFonts w:ascii="Microsoft YaHei" w:hAnsi="Microsoft YaHei" w:eastAsia="Microsoft YaHei"/>
                <w:b w:val="0"/>
                <w:sz w:val="17"/>
              </w:rPr>
              <w:t>公开预算收入/支出数据；游戏资金余额与项目预算</w:t>
            </w:r>
          </w:p>
        </w:tc>
        <w:tc>
          <w:tcPr>
            <w:tcW w:type="dxa" w:w="3312"/>
            <w:vAlign w:val="center"/>
          </w:tcPr>
          <w:p>
            <w:pPr>
              <w:spacing w:after="0"/>
            </w:pPr>
            <w:r/>
            <w:r>
              <w:rPr>
                <w:rFonts w:ascii="Microsoft YaHei" w:hAnsi="Microsoft YaHei" w:eastAsia="Microsoft YaHei"/>
                <w:b w:val="0"/>
                <w:sz w:val="17"/>
              </w:rPr>
              <w:t>预算约束和资源分配</w:t>
            </w:r>
          </w:p>
        </w:tc>
      </w:tr>
      <w:tr>
        <w:tc>
          <w:tcPr>
            <w:tcW w:type="dxa" w:w="3312"/>
            <w:vAlign w:val="center"/>
            <w:shd w:fill="F3F5F7"/>
          </w:tcPr>
          <w:p>
            <w:pPr>
              <w:spacing w:after="0"/>
            </w:pPr>
            <w:r/>
            <w:r>
              <w:rPr>
                <w:rFonts w:ascii="Microsoft YaHei" w:hAnsi="Microsoft YaHei" w:eastAsia="Microsoft YaHei"/>
                <w:b w:val="0"/>
                <w:sz w:val="17"/>
              </w:rPr>
              <w:t>教育医疗</w:t>
            </w:r>
          </w:p>
        </w:tc>
        <w:tc>
          <w:tcPr>
            <w:tcW w:type="dxa" w:w="3312"/>
            <w:vAlign w:val="center"/>
            <w:shd w:fill="F3F5F7"/>
          </w:tcPr>
          <w:p>
            <w:pPr>
              <w:spacing w:after="0"/>
            </w:pPr>
            <w:r/>
            <w:r>
              <w:rPr>
                <w:rFonts w:ascii="Microsoft YaHei" w:hAnsi="Microsoft YaHei" w:eastAsia="Microsoft YaHei"/>
                <w:b w:val="0"/>
                <w:sz w:val="17"/>
              </w:rPr>
              <w:t>学校、医院及公开资源分布</w:t>
            </w:r>
          </w:p>
        </w:tc>
        <w:tc>
          <w:tcPr>
            <w:tcW w:type="dxa" w:w="3312"/>
            <w:vAlign w:val="center"/>
            <w:shd w:fill="F3F5F7"/>
          </w:tcPr>
          <w:p>
            <w:pPr>
              <w:spacing w:after="0"/>
            </w:pPr>
            <w:r/>
            <w:r>
              <w:rPr>
                <w:rFonts w:ascii="Microsoft YaHei" w:hAnsi="Microsoft YaHei" w:eastAsia="Microsoft YaHei"/>
                <w:b w:val="0"/>
                <w:sz w:val="17"/>
              </w:rPr>
              <w:t>公共服务政策</w:t>
            </w:r>
          </w:p>
        </w:tc>
      </w:tr>
      <w:tr>
        <w:tc>
          <w:tcPr>
            <w:tcW w:type="dxa" w:w="3312"/>
            <w:vAlign w:val="center"/>
          </w:tcPr>
          <w:p>
            <w:pPr>
              <w:spacing w:after="0"/>
            </w:pPr>
            <w:r/>
            <w:r>
              <w:rPr>
                <w:rFonts w:ascii="Microsoft YaHei" w:hAnsi="Microsoft YaHei" w:eastAsia="Microsoft YaHei"/>
                <w:b w:val="0"/>
                <w:sz w:val="17"/>
              </w:rPr>
              <w:t>住房建设</w:t>
            </w:r>
          </w:p>
        </w:tc>
        <w:tc>
          <w:tcPr>
            <w:tcW w:type="dxa" w:w="3312"/>
            <w:vAlign w:val="center"/>
          </w:tcPr>
          <w:p>
            <w:pPr>
              <w:spacing w:after="0"/>
            </w:pPr>
            <w:r/>
            <w:r>
              <w:rPr>
                <w:rFonts w:ascii="Microsoft YaHei" w:hAnsi="Microsoft YaHei" w:eastAsia="Microsoft YaHei"/>
                <w:b w:val="0"/>
                <w:sz w:val="17"/>
              </w:rPr>
              <w:t>公开房价统计、保障房项目和模拟建设进度</w:t>
            </w:r>
          </w:p>
        </w:tc>
        <w:tc>
          <w:tcPr>
            <w:tcW w:type="dxa" w:w="3312"/>
            <w:vAlign w:val="center"/>
          </w:tcPr>
          <w:p>
            <w:pPr>
              <w:spacing w:after="0"/>
            </w:pPr>
            <w:r/>
            <w:r>
              <w:rPr>
                <w:rFonts w:ascii="Microsoft YaHei" w:hAnsi="Microsoft YaHei" w:eastAsia="Microsoft YaHei"/>
                <w:b w:val="0"/>
                <w:sz w:val="17"/>
              </w:rPr>
              <w:t>住房与城市更新事件</w:t>
            </w:r>
          </w:p>
        </w:tc>
      </w:tr>
      <w:tr>
        <w:tc>
          <w:tcPr>
            <w:tcW w:type="dxa" w:w="3312"/>
            <w:vAlign w:val="center"/>
            <w:shd w:fill="F3F5F7"/>
          </w:tcPr>
          <w:p>
            <w:pPr>
              <w:spacing w:after="0"/>
            </w:pPr>
            <w:r/>
            <w:r>
              <w:rPr>
                <w:rFonts w:ascii="Microsoft YaHei" w:hAnsi="Microsoft YaHei" w:eastAsia="Microsoft YaHei"/>
                <w:b w:val="0"/>
                <w:sz w:val="17"/>
              </w:rPr>
              <w:t>交通出行</w:t>
            </w:r>
          </w:p>
        </w:tc>
        <w:tc>
          <w:tcPr>
            <w:tcW w:type="dxa" w:w="3312"/>
            <w:vAlign w:val="center"/>
            <w:shd w:fill="F3F5F7"/>
          </w:tcPr>
          <w:p>
            <w:pPr>
              <w:spacing w:after="0"/>
            </w:pPr>
            <w:r/>
            <w:r>
              <w:rPr>
                <w:rFonts w:ascii="Microsoft YaHei" w:hAnsi="Microsoft YaHei" w:eastAsia="Microsoft YaHei"/>
                <w:b w:val="0"/>
                <w:sz w:val="17"/>
              </w:rPr>
              <w:t>公开交通指标、道路/公共交通信息、模拟拥堵指数</w:t>
            </w:r>
          </w:p>
        </w:tc>
        <w:tc>
          <w:tcPr>
            <w:tcW w:type="dxa" w:w="3312"/>
            <w:vAlign w:val="center"/>
            <w:shd w:fill="F3F5F7"/>
          </w:tcPr>
          <w:p>
            <w:pPr>
              <w:spacing w:after="0"/>
            </w:pPr>
            <w:r/>
            <w:r>
              <w:rPr>
                <w:rFonts w:ascii="Microsoft YaHei" w:hAnsi="Microsoft YaHei" w:eastAsia="Microsoft YaHei"/>
                <w:b w:val="0"/>
                <w:sz w:val="17"/>
              </w:rPr>
              <w:t>交通项目与通勤问题</w:t>
            </w:r>
          </w:p>
        </w:tc>
      </w:tr>
      <w:tr>
        <w:tc>
          <w:tcPr>
            <w:tcW w:type="dxa" w:w="3312"/>
            <w:vAlign w:val="center"/>
          </w:tcPr>
          <w:p>
            <w:pPr>
              <w:spacing w:after="0"/>
            </w:pPr>
            <w:r/>
            <w:r>
              <w:rPr>
                <w:rFonts w:ascii="Microsoft YaHei" w:hAnsi="Microsoft YaHei" w:eastAsia="Microsoft YaHei"/>
                <w:b w:val="0"/>
                <w:sz w:val="17"/>
              </w:rPr>
              <w:t>生态环境</w:t>
            </w:r>
          </w:p>
        </w:tc>
        <w:tc>
          <w:tcPr>
            <w:tcW w:type="dxa" w:w="3312"/>
            <w:vAlign w:val="center"/>
          </w:tcPr>
          <w:p>
            <w:pPr>
              <w:spacing w:after="0"/>
            </w:pPr>
            <w:r/>
            <w:r>
              <w:rPr>
                <w:rFonts w:ascii="Microsoft YaHei" w:hAnsi="Microsoft YaHei" w:eastAsia="Microsoft YaHei"/>
                <w:b w:val="0"/>
                <w:sz w:val="17"/>
              </w:rPr>
              <w:t>空气质量、绿地及水资源相关公开指标</w:t>
            </w:r>
          </w:p>
        </w:tc>
        <w:tc>
          <w:tcPr>
            <w:tcW w:type="dxa" w:w="3312"/>
            <w:vAlign w:val="center"/>
          </w:tcPr>
          <w:p>
            <w:pPr>
              <w:spacing w:after="0"/>
            </w:pPr>
            <w:r/>
            <w:r>
              <w:rPr>
                <w:rFonts w:ascii="Microsoft YaHei" w:hAnsi="Microsoft YaHei" w:eastAsia="Microsoft YaHei"/>
                <w:b w:val="0"/>
                <w:sz w:val="17"/>
              </w:rPr>
              <w:t>环境治理政策</w:t>
            </w:r>
          </w:p>
        </w:tc>
      </w:tr>
      <w:tr>
        <w:tc>
          <w:tcPr>
            <w:tcW w:type="dxa" w:w="3312"/>
            <w:vAlign w:val="center"/>
            <w:shd w:fill="F3F5F7"/>
          </w:tcPr>
          <w:p>
            <w:pPr>
              <w:spacing w:after="0"/>
            </w:pPr>
            <w:r/>
            <w:r>
              <w:rPr>
                <w:rFonts w:ascii="Microsoft YaHei" w:hAnsi="Microsoft YaHei" w:eastAsia="Microsoft YaHei"/>
                <w:b w:val="0"/>
                <w:sz w:val="17"/>
              </w:rPr>
              <w:t>游戏考核</w:t>
            </w:r>
          </w:p>
        </w:tc>
        <w:tc>
          <w:tcPr>
            <w:tcW w:type="dxa" w:w="3312"/>
            <w:vAlign w:val="center"/>
            <w:shd w:fill="F3F5F7"/>
          </w:tcPr>
          <w:p>
            <w:pPr>
              <w:spacing w:after="0"/>
            </w:pPr>
            <w:r/>
            <w:r>
              <w:rPr>
                <w:rFonts w:ascii="Microsoft YaHei" w:hAnsi="Microsoft YaHei" w:eastAsia="Microsoft YaHei"/>
                <w:b w:val="0"/>
                <w:sz w:val="17"/>
              </w:rPr>
              <w:t>履职、执行力、满意度、项目进度、纪律记录</w:t>
            </w:r>
          </w:p>
        </w:tc>
        <w:tc>
          <w:tcPr>
            <w:tcW w:type="dxa" w:w="3312"/>
            <w:vAlign w:val="center"/>
            <w:shd w:fill="F3F5F7"/>
          </w:tcPr>
          <w:p>
            <w:pPr>
              <w:spacing w:after="0"/>
            </w:pPr>
            <w:r/>
            <w:r>
              <w:rPr>
                <w:rFonts w:ascii="Microsoft YaHei" w:hAnsi="Microsoft YaHei" w:eastAsia="Microsoft YaHei"/>
                <w:b w:val="0"/>
                <w:sz w:val="17"/>
              </w:rPr>
              <w:t>任务评价和游戏晋升</w:t>
            </w:r>
          </w:p>
        </w:tc>
      </w:tr>
    </w:tbl>
    <w:p/>
    <w:p>
      <w:pPr>
        <w:pStyle w:val="Heading2"/>
      </w:pPr>
      <w:r>
        <w:t>5.1 推荐数据来源</w:t>
      </w:r>
    </w:p>
    <w:p>
      <w:pPr>
        <w:pStyle w:val="ListBullet"/>
        <w:spacing w:after="40"/>
      </w:pPr>
      <w:r>
        <w:t>北京市公共数据开放平台：https://data.beijing.gov.cn/</w:t>
      </w:r>
    </w:p>
    <w:p>
      <w:pPr>
        <w:pStyle w:val="ListBullet"/>
        <w:spacing w:after="40"/>
      </w:pPr>
      <w:r>
        <w:t>北京市统计局：https://tjj.beijing.gov.cn/tjsj_31433/</w:t>
      </w:r>
    </w:p>
    <w:p>
      <w:pPr>
        <w:pStyle w:val="ListBullet"/>
        <w:spacing w:after="40"/>
      </w:pPr>
      <w:r>
        <w:t>北京市政务服务地图：https://map.beijing.gov.cn/zwfwmap</w:t>
      </w:r>
    </w:p>
    <w:p>
      <w:pPr>
        <w:pStyle w:val="ListBullet"/>
        <w:spacing w:after="40"/>
      </w:pPr>
      <w:r>
        <w:t>北京市民政部门公开的行政区划信息：开发时核实最新页面、字段、年份与许可条件。</w:t>
      </w:r>
    </w:p>
    <w:p>
      <w:r>
        <w:t>数据导入时至少保存：指标名称、值、单位、统计期、区域编码、来源名称、来源网址、发布日期、采集时间和口径说明。缺失数据应明确标记，不自行编造真实值。</w:t>
      </w:r>
    </w:p>
    <w:p>
      <w:pPr>
        <w:pStyle w:val="Heading1"/>
      </w:pPr>
      <w:r>
        <w:t>六、数据库结构</w:t>
      </w:r>
    </w:p>
    <w:p>
      <w:r>
        <w:t>建议使用 PostgreSQL；若后续需要空间查询，可增加 PostGIS。第一版将真实数据、静态配置和游戏存档分开管理。</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374B"/>
          </w:tcPr>
          <w:p>
            <w:pPr>
              <w:spacing w:after="0"/>
            </w:pPr>
            <w:r/>
            <w:r>
              <w:rPr>
                <w:rFonts w:ascii="Microsoft YaHei" w:hAnsi="Microsoft YaHei" w:eastAsia="Microsoft YaHei"/>
                <w:b/>
                <w:color w:val="FFFFFF"/>
                <w:sz w:val="18"/>
              </w:rPr>
              <w:t>表名</w:t>
            </w:r>
          </w:p>
        </w:tc>
        <w:tc>
          <w:tcPr>
            <w:tcW w:type="dxa" w:w="3312"/>
            <w:vAlign w:val="center"/>
            <w:shd w:fill="23374B"/>
          </w:tcPr>
          <w:p>
            <w:pPr>
              <w:spacing w:after="0"/>
            </w:pPr>
            <w:r/>
            <w:r>
              <w:rPr>
                <w:rFonts w:ascii="Microsoft YaHei" w:hAnsi="Microsoft YaHei" w:eastAsia="Microsoft YaHei"/>
                <w:b/>
                <w:color w:val="FFFFFF"/>
                <w:sz w:val="18"/>
              </w:rPr>
              <w:t>用途</w:t>
            </w:r>
          </w:p>
        </w:tc>
        <w:tc>
          <w:tcPr>
            <w:tcW w:type="dxa" w:w="3312"/>
            <w:vAlign w:val="center"/>
            <w:shd w:fill="23374B"/>
          </w:tcPr>
          <w:p>
            <w:pPr>
              <w:spacing w:after="0"/>
            </w:pPr>
            <w:r/>
            <w:r>
              <w:rPr>
                <w:rFonts w:ascii="Microsoft YaHei" w:hAnsi="Microsoft YaHei" w:eastAsia="Microsoft YaHei"/>
                <w:b/>
                <w:color w:val="FFFFFF"/>
                <w:sz w:val="18"/>
              </w:rPr>
              <w:t>关键字段</w:t>
            </w:r>
          </w:p>
        </w:tc>
      </w:tr>
      <w:tr>
        <w:tc>
          <w:tcPr>
            <w:tcW w:type="dxa" w:w="3312"/>
            <w:vAlign w:val="center"/>
          </w:tcPr>
          <w:p>
            <w:pPr>
              <w:spacing w:after="0"/>
            </w:pPr>
            <w:r/>
            <w:r>
              <w:rPr>
                <w:rFonts w:ascii="Microsoft YaHei" w:hAnsi="Microsoft YaHei" w:eastAsia="Microsoft YaHei"/>
                <w:b w:val="0"/>
                <w:sz w:val="17"/>
              </w:rPr>
              <w:t>regions</w:t>
            </w:r>
          </w:p>
        </w:tc>
        <w:tc>
          <w:tcPr>
            <w:tcW w:type="dxa" w:w="3312"/>
            <w:vAlign w:val="center"/>
          </w:tcPr>
          <w:p>
            <w:pPr>
              <w:spacing w:after="0"/>
            </w:pPr>
            <w:r/>
            <w:r>
              <w:rPr>
                <w:rFonts w:ascii="Microsoft YaHei" w:hAnsi="Microsoft YaHei" w:eastAsia="Microsoft YaHei"/>
                <w:b w:val="0"/>
                <w:sz w:val="17"/>
              </w:rPr>
              <w:t>区、街道、镇乡等行政区划</w:t>
            </w:r>
          </w:p>
        </w:tc>
        <w:tc>
          <w:tcPr>
            <w:tcW w:type="dxa" w:w="3312"/>
            <w:vAlign w:val="center"/>
          </w:tcPr>
          <w:p>
            <w:pPr>
              <w:spacing w:after="0"/>
            </w:pPr>
            <w:r/>
            <w:r>
              <w:rPr>
                <w:rFonts w:ascii="Microsoft YaHei" w:hAnsi="Microsoft YaHei" w:eastAsia="Microsoft YaHei"/>
                <w:b w:val="0"/>
                <w:sz w:val="17"/>
              </w:rPr>
              <w:t>id, code, name, level, parent_id</w:t>
            </w:r>
          </w:p>
        </w:tc>
      </w:tr>
      <w:tr>
        <w:tc>
          <w:tcPr>
            <w:tcW w:type="dxa" w:w="3312"/>
            <w:vAlign w:val="center"/>
            <w:shd w:fill="F3F5F7"/>
          </w:tcPr>
          <w:p>
            <w:pPr>
              <w:spacing w:after="0"/>
            </w:pPr>
            <w:r/>
            <w:r>
              <w:rPr>
                <w:rFonts w:ascii="Microsoft YaHei" w:hAnsi="Microsoft YaHei" w:eastAsia="Microsoft YaHei"/>
                <w:b w:val="0"/>
                <w:sz w:val="17"/>
              </w:rPr>
              <w:t>region_boundaries</w:t>
            </w:r>
          </w:p>
        </w:tc>
        <w:tc>
          <w:tcPr>
            <w:tcW w:type="dxa" w:w="3312"/>
            <w:vAlign w:val="center"/>
            <w:shd w:fill="F3F5F7"/>
          </w:tcPr>
          <w:p>
            <w:pPr>
              <w:spacing w:after="0"/>
            </w:pPr>
            <w:r/>
            <w:r>
              <w:rPr>
                <w:rFonts w:ascii="Microsoft YaHei" w:hAnsi="Microsoft YaHei" w:eastAsia="Microsoft YaHei"/>
                <w:b w:val="0"/>
                <w:sz w:val="17"/>
              </w:rPr>
              <w:t>区划空间边界</w:t>
            </w:r>
          </w:p>
        </w:tc>
        <w:tc>
          <w:tcPr>
            <w:tcW w:type="dxa" w:w="3312"/>
            <w:vAlign w:val="center"/>
            <w:shd w:fill="F3F5F7"/>
          </w:tcPr>
          <w:p>
            <w:pPr>
              <w:spacing w:after="0"/>
            </w:pPr>
            <w:r/>
            <w:r>
              <w:rPr>
                <w:rFonts w:ascii="Microsoft YaHei" w:hAnsi="Microsoft YaHei" w:eastAsia="Microsoft YaHei"/>
                <w:b w:val="0"/>
                <w:sz w:val="17"/>
              </w:rPr>
              <w:t>region_id, geojson/geometry, source, license</w:t>
            </w:r>
          </w:p>
        </w:tc>
      </w:tr>
      <w:tr>
        <w:tc>
          <w:tcPr>
            <w:tcW w:type="dxa" w:w="3312"/>
            <w:vAlign w:val="center"/>
          </w:tcPr>
          <w:p>
            <w:pPr>
              <w:spacing w:after="0"/>
            </w:pPr>
            <w:r/>
            <w:r>
              <w:rPr>
                <w:rFonts w:ascii="Microsoft YaHei" w:hAnsi="Microsoft YaHei" w:eastAsia="Microsoft YaHei"/>
                <w:b w:val="0"/>
                <w:sz w:val="17"/>
              </w:rPr>
              <w:t>real_indicators</w:t>
            </w:r>
          </w:p>
        </w:tc>
        <w:tc>
          <w:tcPr>
            <w:tcW w:type="dxa" w:w="3312"/>
            <w:vAlign w:val="center"/>
          </w:tcPr>
          <w:p>
            <w:pPr>
              <w:spacing w:after="0"/>
            </w:pPr>
            <w:r/>
            <w:r>
              <w:rPr>
                <w:rFonts w:ascii="Microsoft YaHei" w:hAnsi="Microsoft YaHei" w:eastAsia="Microsoft YaHei"/>
                <w:b w:val="0"/>
                <w:sz w:val="17"/>
              </w:rPr>
              <w:t>真实公开统计指标</w:t>
            </w:r>
          </w:p>
        </w:tc>
        <w:tc>
          <w:tcPr>
            <w:tcW w:type="dxa" w:w="3312"/>
            <w:vAlign w:val="center"/>
          </w:tcPr>
          <w:p>
            <w:pPr>
              <w:spacing w:after="0"/>
            </w:pPr>
            <w:r/>
            <w:r>
              <w:rPr>
                <w:rFonts w:ascii="Microsoft YaHei" w:hAnsi="Microsoft YaHei" w:eastAsia="Microsoft YaHei"/>
                <w:b w:val="0"/>
                <w:sz w:val="17"/>
              </w:rPr>
              <w:t>region_id, indicator_key, value, unit, period, source_url</w:t>
            </w:r>
          </w:p>
        </w:tc>
      </w:tr>
      <w:tr>
        <w:tc>
          <w:tcPr>
            <w:tcW w:type="dxa" w:w="3312"/>
            <w:vAlign w:val="center"/>
            <w:shd w:fill="F3F5F7"/>
          </w:tcPr>
          <w:p>
            <w:pPr>
              <w:spacing w:after="0"/>
            </w:pPr>
            <w:r/>
            <w:r>
              <w:rPr>
                <w:rFonts w:ascii="Microsoft YaHei" w:hAnsi="Microsoft YaHei" w:eastAsia="Microsoft YaHei"/>
                <w:b w:val="0"/>
                <w:sz w:val="17"/>
              </w:rPr>
              <w:t>game_saves</w:t>
            </w:r>
          </w:p>
        </w:tc>
        <w:tc>
          <w:tcPr>
            <w:tcW w:type="dxa" w:w="3312"/>
            <w:vAlign w:val="center"/>
            <w:shd w:fill="F3F5F7"/>
          </w:tcPr>
          <w:p>
            <w:pPr>
              <w:spacing w:after="0"/>
            </w:pPr>
            <w:r/>
            <w:r>
              <w:rPr>
                <w:rFonts w:ascii="Microsoft YaHei" w:hAnsi="Microsoft YaHei" w:eastAsia="Microsoft YaHei"/>
                <w:b w:val="0"/>
                <w:sz w:val="17"/>
              </w:rPr>
              <w:t>玩家存档</w:t>
            </w:r>
          </w:p>
        </w:tc>
        <w:tc>
          <w:tcPr>
            <w:tcW w:type="dxa" w:w="3312"/>
            <w:vAlign w:val="center"/>
            <w:shd w:fill="F3F5F7"/>
          </w:tcPr>
          <w:p>
            <w:pPr>
              <w:spacing w:after="0"/>
            </w:pPr>
            <w:r/>
            <w:r>
              <w:rPr>
                <w:rFonts w:ascii="Microsoft YaHei" w:hAnsi="Microsoft YaHei" w:eastAsia="Microsoft YaHei"/>
                <w:b w:val="0"/>
                <w:sz w:val="17"/>
              </w:rPr>
              <w:t>id, player_name, current_year, current_quarter, state_json</w:t>
            </w:r>
          </w:p>
        </w:tc>
      </w:tr>
      <w:tr>
        <w:tc>
          <w:tcPr>
            <w:tcW w:type="dxa" w:w="3312"/>
            <w:vAlign w:val="center"/>
          </w:tcPr>
          <w:p>
            <w:pPr>
              <w:spacing w:after="0"/>
            </w:pPr>
            <w:r/>
            <w:r>
              <w:rPr>
                <w:rFonts w:ascii="Microsoft YaHei" w:hAnsi="Microsoft YaHei" w:eastAsia="Microsoft YaHei"/>
                <w:b w:val="0"/>
                <w:sz w:val="17"/>
              </w:rPr>
              <w:t>positions</w:t>
            </w:r>
          </w:p>
        </w:tc>
        <w:tc>
          <w:tcPr>
            <w:tcW w:type="dxa" w:w="3312"/>
            <w:vAlign w:val="center"/>
          </w:tcPr>
          <w:p>
            <w:pPr>
              <w:spacing w:after="0"/>
            </w:pPr>
            <w:r/>
            <w:r>
              <w:rPr>
                <w:rFonts w:ascii="Microsoft YaHei" w:hAnsi="Microsoft YaHei" w:eastAsia="Microsoft YaHei"/>
                <w:b w:val="0"/>
                <w:sz w:val="17"/>
              </w:rPr>
              <w:t>游戏职位配置</w:t>
            </w:r>
          </w:p>
        </w:tc>
        <w:tc>
          <w:tcPr>
            <w:tcW w:type="dxa" w:w="3312"/>
            <w:vAlign w:val="center"/>
          </w:tcPr>
          <w:p>
            <w:pPr>
              <w:spacing w:after="0"/>
            </w:pPr>
            <w:r/>
            <w:r>
              <w:rPr>
                <w:rFonts w:ascii="Microsoft YaHei" w:hAnsi="Microsoft YaHei" w:eastAsia="Microsoft YaHei"/>
                <w:b w:val="0"/>
                <w:sz w:val="17"/>
              </w:rPr>
              <w:t>id, name, rank_level, permissions_json</w:t>
            </w:r>
          </w:p>
        </w:tc>
      </w:tr>
      <w:tr>
        <w:tc>
          <w:tcPr>
            <w:tcW w:type="dxa" w:w="3312"/>
            <w:vAlign w:val="center"/>
            <w:shd w:fill="F3F5F7"/>
          </w:tcPr>
          <w:p>
            <w:pPr>
              <w:spacing w:after="0"/>
            </w:pPr>
            <w:r/>
            <w:r>
              <w:rPr>
                <w:rFonts w:ascii="Microsoft YaHei" w:hAnsi="Microsoft YaHei" w:eastAsia="Microsoft YaHei"/>
                <w:b w:val="0"/>
                <w:sz w:val="17"/>
              </w:rPr>
              <w:t>characters</w:t>
            </w:r>
          </w:p>
        </w:tc>
        <w:tc>
          <w:tcPr>
            <w:tcW w:type="dxa" w:w="3312"/>
            <w:vAlign w:val="center"/>
            <w:shd w:fill="F3F5F7"/>
          </w:tcPr>
          <w:p>
            <w:pPr>
              <w:spacing w:after="0"/>
            </w:pPr>
            <w:r/>
            <w:r>
              <w:rPr>
                <w:rFonts w:ascii="Microsoft YaHei" w:hAnsi="Microsoft YaHei" w:eastAsia="Microsoft YaHei"/>
                <w:b w:val="0"/>
                <w:sz w:val="17"/>
              </w:rPr>
              <w:t>虚构人物</w:t>
            </w:r>
          </w:p>
        </w:tc>
        <w:tc>
          <w:tcPr>
            <w:tcW w:type="dxa" w:w="3312"/>
            <w:vAlign w:val="center"/>
            <w:shd w:fill="F3F5F7"/>
          </w:tcPr>
          <w:p>
            <w:pPr>
              <w:spacing w:after="0"/>
            </w:pPr>
            <w:r/>
            <w:r>
              <w:rPr>
                <w:rFonts w:ascii="Microsoft YaHei" w:hAnsi="Microsoft YaHei" w:eastAsia="Microsoft YaHei"/>
                <w:b w:val="0"/>
                <w:sz w:val="17"/>
              </w:rPr>
              <w:t>id, save_id, name, position_id, skills_json, traits_json</w:t>
            </w:r>
          </w:p>
        </w:tc>
      </w:tr>
      <w:tr>
        <w:tc>
          <w:tcPr>
            <w:tcW w:type="dxa" w:w="3312"/>
            <w:vAlign w:val="center"/>
          </w:tcPr>
          <w:p>
            <w:pPr>
              <w:spacing w:after="0"/>
            </w:pPr>
            <w:r/>
            <w:r>
              <w:rPr>
                <w:rFonts w:ascii="Microsoft YaHei" w:hAnsi="Microsoft YaHei" w:eastAsia="Microsoft YaHei"/>
                <w:b w:val="0"/>
                <w:sz w:val="17"/>
              </w:rPr>
              <w:t>projects</w:t>
            </w:r>
          </w:p>
        </w:tc>
        <w:tc>
          <w:tcPr>
            <w:tcW w:type="dxa" w:w="3312"/>
            <w:vAlign w:val="center"/>
          </w:tcPr>
          <w:p>
            <w:pPr>
              <w:spacing w:after="0"/>
            </w:pPr>
            <w:r/>
            <w:r>
              <w:rPr>
                <w:rFonts w:ascii="Microsoft YaHei" w:hAnsi="Microsoft YaHei" w:eastAsia="Microsoft YaHei"/>
                <w:b w:val="0"/>
                <w:sz w:val="17"/>
              </w:rPr>
              <w:t>模拟项目</w:t>
            </w:r>
          </w:p>
        </w:tc>
        <w:tc>
          <w:tcPr>
            <w:tcW w:type="dxa" w:w="3312"/>
            <w:vAlign w:val="center"/>
          </w:tcPr>
          <w:p>
            <w:pPr>
              <w:spacing w:after="0"/>
            </w:pPr>
            <w:r/>
            <w:r>
              <w:rPr>
                <w:rFonts w:ascii="Microsoft YaHei" w:hAnsi="Microsoft YaHei" w:eastAsia="Microsoft YaHei"/>
                <w:b w:val="0"/>
                <w:sz w:val="17"/>
              </w:rPr>
              <w:t>id, save_id, region_id, budget, progress, status</w:t>
            </w:r>
          </w:p>
        </w:tc>
      </w:tr>
      <w:tr>
        <w:tc>
          <w:tcPr>
            <w:tcW w:type="dxa" w:w="3312"/>
            <w:vAlign w:val="center"/>
            <w:shd w:fill="F3F5F7"/>
          </w:tcPr>
          <w:p>
            <w:pPr>
              <w:spacing w:after="0"/>
            </w:pPr>
            <w:r/>
            <w:r>
              <w:rPr>
                <w:rFonts w:ascii="Microsoft YaHei" w:hAnsi="Microsoft YaHei" w:eastAsia="Microsoft YaHei"/>
                <w:b w:val="0"/>
                <w:sz w:val="17"/>
              </w:rPr>
              <w:t>policies</w:t>
            </w:r>
          </w:p>
        </w:tc>
        <w:tc>
          <w:tcPr>
            <w:tcW w:type="dxa" w:w="3312"/>
            <w:vAlign w:val="center"/>
            <w:shd w:fill="F3F5F7"/>
          </w:tcPr>
          <w:p>
            <w:pPr>
              <w:spacing w:after="0"/>
            </w:pPr>
            <w:r/>
            <w:r>
              <w:rPr>
                <w:rFonts w:ascii="Microsoft YaHei" w:hAnsi="Microsoft YaHei" w:eastAsia="Microsoft YaHei"/>
                <w:b w:val="0"/>
                <w:sz w:val="17"/>
              </w:rPr>
              <w:t>政策模板</w:t>
            </w:r>
          </w:p>
        </w:tc>
        <w:tc>
          <w:tcPr>
            <w:tcW w:type="dxa" w:w="3312"/>
            <w:vAlign w:val="center"/>
            <w:shd w:fill="F3F5F7"/>
          </w:tcPr>
          <w:p>
            <w:pPr>
              <w:spacing w:after="0"/>
            </w:pPr>
            <w:r/>
            <w:r>
              <w:rPr>
                <w:rFonts w:ascii="Microsoft YaHei" w:hAnsi="Microsoft YaHei" w:eastAsia="Microsoft YaHei"/>
                <w:b w:val="0"/>
                <w:sz w:val="17"/>
              </w:rPr>
              <w:t>id, name, cost_formula/config, effect_formula/config, duration</w:t>
            </w:r>
          </w:p>
        </w:tc>
      </w:tr>
      <w:tr>
        <w:tc>
          <w:tcPr>
            <w:tcW w:type="dxa" w:w="3312"/>
            <w:vAlign w:val="center"/>
          </w:tcPr>
          <w:p>
            <w:pPr>
              <w:spacing w:after="0"/>
            </w:pPr>
            <w:r/>
            <w:r>
              <w:rPr>
                <w:rFonts w:ascii="Microsoft YaHei" w:hAnsi="Microsoft YaHei" w:eastAsia="Microsoft YaHei"/>
                <w:b w:val="0"/>
                <w:sz w:val="17"/>
              </w:rPr>
              <w:t>game_events</w:t>
            </w:r>
          </w:p>
        </w:tc>
        <w:tc>
          <w:tcPr>
            <w:tcW w:type="dxa" w:w="3312"/>
            <w:vAlign w:val="center"/>
          </w:tcPr>
          <w:p>
            <w:pPr>
              <w:spacing w:after="0"/>
            </w:pPr>
            <w:r/>
            <w:r>
              <w:rPr>
                <w:rFonts w:ascii="Microsoft YaHei" w:hAnsi="Microsoft YaHei" w:eastAsia="Microsoft YaHei"/>
                <w:b w:val="0"/>
                <w:sz w:val="17"/>
              </w:rPr>
              <w:t>随机或条件事件</w:t>
            </w:r>
          </w:p>
        </w:tc>
        <w:tc>
          <w:tcPr>
            <w:tcW w:type="dxa" w:w="3312"/>
            <w:vAlign w:val="center"/>
          </w:tcPr>
          <w:p>
            <w:pPr>
              <w:spacing w:after="0"/>
            </w:pPr>
            <w:r/>
            <w:r>
              <w:rPr>
                <w:rFonts w:ascii="Microsoft YaHei" w:hAnsi="Microsoft YaHei" w:eastAsia="Microsoft YaHei"/>
                <w:b w:val="0"/>
                <w:sz w:val="17"/>
              </w:rPr>
              <w:t>id, save_id, event_type, payload_json, resolved_at</w:t>
            </w:r>
          </w:p>
        </w:tc>
      </w:tr>
      <w:tr>
        <w:tc>
          <w:tcPr>
            <w:tcW w:type="dxa" w:w="3312"/>
            <w:vAlign w:val="center"/>
            <w:shd w:fill="F3F5F7"/>
          </w:tcPr>
          <w:p>
            <w:pPr>
              <w:spacing w:after="0"/>
            </w:pPr>
            <w:r/>
            <w:r>
              <w:rPr>
                <w:rFonts w:ascii="Microsoft YaHei" w:hAnsi="Microsoft YaHei" w:eastAsia="Microsoft YaHei"/>
                <w:b w:val="0"/>
                <w:sz w:val="17"/>
              </w:rPr>
              <w:t>quarterly_reports</w:t>
            </w:r>
          </w:p>
        </w:tc>
        <w:tc>
          <w:tcPr>
            <w:tcW w:type="dxa" w:w="3312"/>
            <w:vAlign w:val="center"/>
            <w:shd w:fill="F3F5F7"/>
          </w:tcPr>
          <w:p>
            <w:pPr>
              <w:spacing w:after="0"/>
            </w:pPr>
            <w:r/>
            <w:r>
              <w:rPr>
                <w:rFonts w:ascii="Microsoft YaHei" w:hAnsi="Microsoft YaHei" w:eastAsia="Microsoft YaHei"/>
                <w:b w:val="0"/>
                <w:sz w:val="17"/>
              </w:rPr>
              <w:t>季度结算结果</w:t>
            </w:r>
          </w:p>
        </w:tc>
        <w:tc>
          <w:tcPr>
            <w:tcW w:type="dxa" w:w="3312"/>
            <w:vAlign w:val="center"/>
            <w:shd w:fill="F3F5F7"/>
          </w:tcPr>
          <w:p>
            <w:pPr>
              <w:spacing w:after="0"/>
            </w:pPr>
            <w:r/>
            <w:r>
              <w:rPr>
                <w:rFonts w:ascii="Microsoft YaHei" w:hAnsi="Microsoft YaHei" w:eastAsia="Microsoft YaHei"/>
                <w:b w:val="0"/>
                <w:sz w:val="17"/>
              </w:rPr>
              <w:t>save_id, year, quarter, metrics_json, evaluation</w:t>
            </w:r>
          </w:p>
        </w:tc>
      </w:tr>
      <w:tr>
        <w:tc>
          <w:tcPr>
            <w:tcW w:type="dxa" w:w="3312"/>
            <w:vAlign w:val="center"/>
          </w:tcPr>
          <w:p>
            <w:pPr>
              <w:spacing w:after="0"/>
            </w:pPr>
            <w:r/>
            <w:r>
              <w:rPr>
                <w:rFonts w:ascii="Microsoft YaHei" w:hAnsi="Microsoft YaHei" w:eastAsia="Microsoft YaHei"/>
                <w:b w:val="0"/>
                <w:sz w:val="17"/>
              </w:rPr>
              <w:t>character_relations</w:t>
            </w:r>
          </w:p>
        </w:tc>
        <w:tc>
          <w:tcPr>
            <w:tcW w:type="dxa" w:w="3312"/>
            <w:vAlign w:val="center"/>
          </w:tcPr>
          <w:p>
            <w:pPr>
              <w:spacing w:after="0"/>
            </w:pPr>
            <w:r/>
            <w:r>
              <w:rPr>
                <w:rFonts w:ascii="Microsoft YaHei" w:hAnsi="Microsoft YaHei" w:eastAsia="Microsoft YaHei"/>
                <w:b w:val="0"/>
                <w:sz w:val="17"/>
              </w:rPr>
              <w:t>虚构人物关系</w:t>
            </w:r>
          </w:p>
        </w:tc>
        <w:tc>
          <w:tcPr>
            <w:tcW w:type="dxa" w:w="3312"/>
            <w:vAlign w:val="center"/>
          </w:tcPr>
          <w:p>
            <w:pPr>
              <w:spacing w:after="0"/>
            </w:pPr>
            <w:r/>
            <w:r>
              <w:rPr>
                <w:rFonts w:ascii="Microsoft YaHei" w:hAnsi="Microsoft YaHei" w:eastAsia="Microsoft YaHei"/>
                <w:b w:val="0"/>
                <w:sz w:val="17"/>
              </w:rPr>
              <w:t>save_id, character_a, character_b, trust_score</w:t>
            </w:r>
          </w:p>
        </w:tc>
      </w:tr>
      <w:tr>
        <w:tc>
          <w:tcPr>
            <w:tcW w:type="dxa" w:w="3312"/>
            <w:vAlign w:val="center"/>
            <w:shd w:fill="F3F5F7"/>
          </w:tcPr>
          <w:p>
            <w:pPr>
              <w:spacing w:after="0"/>
            </w:pPr>
            <w:r/>
            <w:r>
              <w:rPr>
                <w:rFonts w:ascii="Microsoft YaHei" w:hAnsi="Microsoft YaHei" w:eastAsia="Microsoft YaHei"/>
                <w:b w:val="0"/>
                <w:sz w:val="17"/>
              </w:rPr>
              <w:t>audit_logs</w:t>
            </w:r>
          </w:p>
        </w:tc>
        <w:tc>
          <w:tcPr>
            <w:tcW w:type="dxa" w:w="3312"/>
            <w:vAlign w:val="center"/>
            <w:shd w:fill="F3F5F7"/>
          </w:tcPr>
          <w:p>
            <w:pPr>
              <w:spacing w:after="0"/>
            </w:pPr>
            <w:r/>
            <w:r>
              <w:rPr>
                <w:rFonts w:ascii="Microsoft YaHei" w:hAnsi="Microsoft YaHei" w:eastAsia="Microsoft YaHei"/>
                <w:b w:val="0"/>
                <w:sz w:val="17"/>
              </w:rPr>
              <w:t>玩家操作记录</w:t>
            </w:r>
          </w:p>
        </w:tc>
        <w:tc>
          <w:tcPr>
            <w:tcW w:type="dxa" w:w="3312"/>
            <w:vAlign w:val="center"/>
            <w:shd w:fill="F3F5F7"/>
          </w:tcPr>
          <w:p>
            <w:pPr>
              <w:spacing w:after="0"/>
            </w:pPr>
            <w:r/>
            <w:r>
              <w:rPr>
                <w:rFonts w:ascii="Microsoft YaHei" w:hAnsi="Microsoft YaHei" w:eastAsia="Microsoft YaHei"/>
                <w:b w:val="0"/>
                <w:sz w:val="17"/>
              </w:rPr>
              <w:t>save_id, action, payload_json, created_at</w:t>
            </w:r>
          </w:p>
        </w:tc>
      </w:tr>
    </w:tbl>
    <w:p/>
    <w:p>
      <w:pPr>
        <w:pStyle w:val="Heading2"/>
      </w:pPr>
      <w:r>
        <w:t>6.1 区划表 SQL 示例</w:t>
      </w:r>
    </w:p>
    <w:p>
      <w:pPr>
        <w:ind w:left="360"/>
      </w:pPr>
      <w:r>
        <w:rPr>
          <w:rFonts w:ascii="Consolas" w:hAnsi="Consolas"/>
          <w:sz w:val="18"/>
        </w:rPr>
        <w:t>CREATE TABLE regions (</w:t>
        <w:br/>
        <w:t xml:space="preserve">    id BIGINT GENERATED ALWAYS AS IDENTITY PRIMARY KEY,</w:t>
        <w:br/>
        <w:t xml:space="preserve">    code VARCHAR(12) NOT NULL UNIQUE,</w:t>
        <w:br/>
        <w:t xml:space="preserve">    name VARCHAR(100) NOT NULL,</w:t>
        <w:br/>
        <w:t xml:space="preserve">    level VARCHAR(20) NOT NULL,</w:t>
        <w:br/>
        <w:t xml:space="preserve">    parent_id BIGINT REFERENCES regions(id),</w:t>
        <w:br/>
        <w:t xml:space="preserve">    source_date DATE,</w:t>
        <w:br/>
        <w:t xml:space="preserve">    created_at TIMESTAMPTZ NOT NULL DEFAULT NOW()</w:t>
        <w:br/>
        <w:t>);</w:t>
        <w:br/>
        <w:br/>
        <w:t>CREATE INDEX idx_regions_parent_id ON regions(parent_id);</w:t>
        <w:br/>
        <w:t>CREATE INDEX idx_regions_level ON regions(level);</w:t>
      </w:r>
    </w:p>
    <w:p>
      <w:pPr>
        <w:pStyle w:val="Heading2"/>
      </w:pPr>
      <w:r>
        <w:t>6.2 真实指标表 SQL 示例</w:t>
      </w:r>
    </w:p>
    <w:p>
      <w:pPr>
        <w:ind w:left="360"/>
      </w:pPr>
      <w:r>
        <w:rPr>
          <w:rFonts w:ascii="Consolas" w:hAnsi="Consolas"/>
          <w:sz w:val="18"/>
        </w:rPr>
        <w:t>CREATE TABLE real_indicators (</w:t>
        <w:br/>
        <w:t xml:space="preserve">    id BIGINT GENERATED ALWAYS AS IDENTITY PRIMARY KEY,</w:t>
        <w:br/>
        <w:t xml:space="preserve">    region_id BIGINT NOT NULL REFERENCES regions(id),</w:t>
        <w:br/>
        <w:t xml:space="preserve">    indicator_key VARCHAR(100) NOT NULL,</w:t>
        <w:br/>
        <w:t xml:space="preserve">    value NUMERIC,</w:t>
        <w:br/>
        <w:t xml:space="preserve">    unit VARCHAR(40),</w:t>
        <w:br/>
        <w:t xml:space="preserve">    period VARCHAR(30) NOT NULL,</w:t>
        <w:br/>
        <w:t xml:space="preserve">    source_name VARCHAR(200) NOT NULL,</w:t>
        <w:br/>
        <w:t xml:space="preserve">    source_url TEXT,</w:t>
        <w:br/>
        <w:t xml:space="preserve">    published_at DATE,</w:t>
        <w:br/>
        <w:t xml:space="preserve">    fetched_at TIMESTAMPTZ NOT NULL DEFAULT NOW(),</w:t>
        <w:br/>
        <w:t xml:space="preserve">    UNIQUE (region_id, indicator_key, period, source_name)</w:t>
        <w:br/>
        <w:t>);</w:t>
      </w:r>
    </w:p>
    <w:p>
      <w:r>
        <w:t>说明：真实指标按来源与统计期保存；模拟指标和季度状态保存在游戏存档或独立的模拟状态表中。相同名称的真实值与模拟值不得混写。</w:t>
      </w:r>
    </w:p>
    <w:p>
      <w:pPr>
        <w:pStyle w:val="Heading1"/>
      </w:pPr>
      <w:r>
        <w:t>七、游戏规则与晋升机制</w:t>
      </w:r>
    </w:p>
    <w:p>
      <w:pPr>
        <w:pStyle w:val="Heading2"/>
      </w:pPr>
      <w:r>
        <w:t>7.1 游戏化成长路线</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374B"/>
          </w:tcPr>
          <w:p>
            <w:pPr>
              <w:spacing w:after="0"/>
            </w:pPr>
            <w:r/>
            <w:r>
              <w:rPr>
                <w:rFonts w:ascii="Microsoft YaHei" w:hAnsi="Microsoft YaHei" w:eastAsia="Microsoft YaHei"/>
                <w:b/>
                <w:color w:val="FFFFFF"/>
                <w:sz w:val="18"/>
              </w:rPr>
              <w:t>阶段</w:t>
            </w:r>
          </w:p>
        </w:tc>
        <w:tc>
          <w:tcPr>
            <w:tcW w:type="dxa" w:w="3312"/>
            <w:vAlign w:val="center"/>
            <w:shd w:fill="23374B"/>
          </w:tcPr>
          <w:p>
            <w:pPr>
              <w:spacing w:after="0"/>
            </w:pPr>
            <w:r/>
            <w:r>
              <w:rPr>
                <w:rFonts w:ascii="Microsoft YaHei" w:hAnsi="Microsoft YaHei" w:eastAsia="Microsoft YaHei"/>
                <w:b/>
                <w:color w:val="FFFFFF"/>
                <w:sz w:val="18"/>
              </w:rPr>
              <w:t>主要职责（游戏设定）</w:t>
            </w:r>
          </w:p>
        </w:tc>
        <w:tc>
          <w:tcPr>
            <w:tcW w:type="dxa" w:w="3312"/>
            <w:vAlign w:val="center"/>
            <w:shd w:fill="23374B"/>
          </w:tcPr>
          <w:p>
            <w:pPr>
              <w:spacing w:after="0"/>
            </w:pPr>
            <w:r/>
            <w:r>
              <w:rPr>
                <w:rFonts w:ascii="Microsoft YaHei" w:hAnsi="Microsoft YaHei" w:eastAsia="Microsoft YaHei"/>
                <w:b/>
                <w:color w:val="FFFFFF"/>
                <w:sz w:val="18"/>
              </w:rPr>
              <w:t>解锁内容</w:t>
            </w:r>
          </w:p>
        </w:tc>
      </w:tr>
      <w:tr>
        <w:tc>
          <w:tcPr>
            <w:tcW w:type="dxa" w:w="3312"/>
            <w:vAlign w:val="center"/>
          </w:tcPr>
          <w:p>
            <w:pPr>
              <w:spacing w:after="0"/>
            </w:pPr>
            <w:r/>
            <w:r>
              <w:rPr>
                <w:rFonts w:ascii="Microsoft YaHei" w:hAnsi="Microsoft YaHei" w:eastAsia="Microsoft YaHei"/>
                <w:b w:val="0"/>
                <w:sz w:val="17"/>
              </w:rPr>
              <w:t>基层办事岗位</w:t>
            </w:r>
          </w:p>
        </w:tc>
        <w:tc>
          <w:tcPr>
            <w:tcW w:type="dxa" w:w="3312"/>
            <w:vAlign w:val="center"/>
          </w:tcPr>
          <w:p>
            <w:pPr>
              <w:spacing w:after="0"/>
            </w:pPr>
            <w:r/>
            <w:r>
              <w:rPr>
                <w:rFonts w:ascii="Microsoft YaHei" w:hAnsi="Microsoft YaHei" w:eastAsia="Microsoft YaHei"/>
                <w:b w:val="0"/>
                <w:sz w:val="17"/>
              </w:rPr>
              <w:t>处理群众诉求、材料审核和日常事务</w:t>
            </w:r>
          </w:p>
        </w:tc>
        <w:tc>
          <w:tcPr>
            <w:tcW w:type="dxa" w:w="3312"/>
            <w:vAlign w:val="center"/>
          </w:tcPr>
          <w:p>
            <w:pPr>
              <w:spacing w:after="0"/>
            </w:pPr>
            <w:r/>
            <w:r>
              <w:rPr>
                <w:rFonts w:ascii="Microsoft YaHei" w:hAnsi="Microsoft YaHei" w:eastAsia="Microsoft YaHei"/>
                <w:b w:val="0"/>
                <w:sz w:val="17"/>
              </w:rPr>
              <w:t>基础任务与简单事件</w:t>
            </w:r>
          </w:p>
        </w:tc>
      </w:tr>
      <w:tr>
        <w:tc>
          <w:tcPr>
            <w:tcW w:type="dxa" w:w="3312"/>
            <w:vAlign w:val="center"/>
            <w:shd w:fill="F3F5F7"/>
          </w:tcPr>
          <w:p>
            <w:pPr>
              <w:spacing w:after="0"/>
            </w:pPr>
            <w:r/>
            <w:r>
              <w:rPr>
                <w:rFonts w:ascii="Microsoft YaHei" w:hAnsi="Microsoft YaHei" w:eastAsia="Microsoft YaHei"/>
                <w:b w:val="0"/>
                <w:sz w:val="17"/>
              </w:rPr>
              <w:t>基层业务骨干</w:t>
            </w:r>
          </w:p>
        </w:tc>
        <w:tc>
          <w:tcPr>
            <w:tcW w:type="dxa" w:w="3312"/>
            <w:vAlign w:val="center"/>
            <w:shd w:fill="F3F5F7"/>
          </w:tcPr>
          <w:p>
            <w:pPr>
              <w:spacing w:after="0"/>
            </w:pPr>
            <w:r/>
            <w:r>
              <w:rPr>
                <w:rFonts w:ascii="Microsoft YaHei" w:hAnsi="Microsoft YaHei" w:eastAsia="Microsoft YaHei"/>
                <w:b w:val="0"/>
                <w:sz w:val="17"/>
              </w:rPr>
              <w:t>协调多个事项，负责小型任务</w:t>
            </w:r>
          </w:p>
        </w:tc>
        <w:tc>
          <w:tcPr>
            <w:tcW w:type="dxa" w:w="3312"/>
            <w:vAlign w:val="center"/>
            <w:shd w:fill="F3F5F7"/>
          </w:tcPr>
          <w:p>
            <w:pPr>
              <w:spacing w:after="0"/>
            </w:pPr>
            <w:r/>
            <w:r>
              <w:rPr>
                <w:rFonts w:ascii="Microsoft YaHei" w:hAnsi="Microsoft YaHei" w:eastAsia="Microsoft YaHei"/>
                <w:b w:val="0"/>
                <w:sz w:val="17"/>
              </w:rPr>
              <w:t>跨部门协作与小项目</w:t>
            </w:r>
          </w:p>
        </w:tc>
      </w:tr>
      <w:tr>
        <w:tc>
          <w:tcPr>
            <w:tcW w:type="dxa" w:w="3312"/>
            <w:vAlign w:val="center"/>
          </w:tcPr>
          <w:p>
            <w:pPr>
              <w:spacing w:after="0"/>
            </w:pPr>
            <w:r/>
            <w:r>
              <w:rPr>
                <w:rFonts w:ascii="Microsoft YaHei" w:hAnsi="Microsoft YaHei" w:eastAsia="Microsoft YaHei"/>
                <w:b w:val="0"/>
                <w:sz w:val="17"/>
              </w:rPr>
              <w:t>基层管理岗位</w:t>
            </w:r>
          </w:p>
        </w:tc>
        <w:tc>
          <w:tcPr>
            <w:tcW w:type="dxa" w:w="3312"/>
            <w:vAlign w:val="center"/>
          </w:tcPr>
          <w:p>
            <w:pPr>
              <w:spacing w:after="0"/>
            </w:pPr>
            <w:r/>
            <w:r>
              <w:rPr>
                <w:rFonts w:ascii="Microsoft YaHei" w:hAnsi="Microsoft YaHei" w:eastAsia="Microsoft YaHei"/>
                <w:b w:val="0"/>
                <w:sz w:val="17"/>
              </w:rPr>
              <w:t>组织人员、安排工作、管理项目</w:t>
            </w:r>
          </w:p>
        </w:tc>
        <w:tc>
          <w:tcPr>
            <w:tcW w:type="dxa" w:w="3312"/>
            <w:vAlign w:val="center"/>
          </w:tcPr>
          <w:p>
            <w:pPr>
              <w:spacing w:after="0"/>
            </w:pPr>
            <w:r/>
            <w:r>
              <w:rPr>
                <w:rFonts w:ascii="Microsoft YaHei" w:hAnsi="Microsoft YaHei" w:eastAsia="Microsoft YaHei"/>
                <w:b w:val="0"/>
                <w:sz w:val="17"/>
              </w:rPr>
              <w:t>团队管理与季度目标</w:t>
            </w:r>
          </w:p>
        </w:tc>
      </w:tr>
      <w:tr>
        <w:tc>
          <w:tcPr>
            <w:tcW w:type="dxa" w:w="3312"/>
            <w:vAlign w:val="center"/>
            <w:shd w:fill="F3F5F7"/>
          </w:tcPr>
          <w:p>
            <w:pPr>
              <w:spacing w:after="0"/>
            </w:pPr>
            <w:r/>
            <w:r>
              <w:rPr>
                <w:rFonts w:ascii="Microsoft YaHei" w:hAnsi="Microsoft YaHei" w:eastAsia="Microsoft YaHei"/>
                <w:b w:val="0"/>
                <w:sz w:val="17"/>
              </w:rPr>
              <w:t>区级业务岗位</w:t>
            </w:r>
          </w:p>
        </w:tc>
        <w:tc>
          <w:tcPr>
            <w:tcW w:type="dxa" w:w="3312"/>
            <w:vAlign w:val="center"/>
            <w:shd w:fill="F3F5F7"/>
          </w:tcPr>
          <w:p>
            <w:pPr>
              <w:spacing w:after="0"/>
            </w:pPr>
            <w:r/>
            <w:r>
              <w:rPr>
                <w:rFonts w:ascii="Microsoft YaHei" w:hAnsi="Microsoft YaHei" w:eastAsia="Microsoft YaHei"/>
                <w:b w:val="0"/>
                <w:sz w:val="17"/>
              </w:rPr>
              <w:t>处理跨街道事项，参与区级项目</w:t>
            </w:r>
          </w:p>
        </w:tc>
        <w:tc>
          <w:tcPr>
            <w:tcW w:type="dxa" w:w="3312"/>
            <w:vAlign w:val="center"/>
            <w:shd w:fill="F3F5F7"/>
          </w:tcPr>
          <w:p>
            <w:pPr>
              <w:spacing w:after="0"/>
            </w:pPr>
            <w:r/>
            <w:r>
              <w:rPr>
                <w:rFonts w:ascii="Microsoft YaHei" w:hAnsi="Microsoft YaHei" w:eastAsia="Microsoft YaHei"/>
                <w:b w:val="0"/>
                <w:sz w:val="17"/>
              </w:rPr>
              <w:t>区级政策与更复杂预算</w:t>
            </w:r>
          </w:p>
        </w:tc>
      </w:tr>
      <w:tr>
        <w:tc>
          <w:tcPr>
            <w:tcW w:type="dxa" w:w="3312"/>
            <w:vAlign w:val="center"/>
          </w:tcPr>
          <w:p>
            <w:pPr>
              <w:spacing w:after="0"/>
            </w:pPr>
            <w:r/>
            <w:r>
              <w:rPr>
                <w:rFonts w:ascii="Microsoft YaHei" w:hAnsi="Microsoft YaHei" w:eastAsia="Microsoft YaHei"/>
                <w:b w:val="0"/>
                <w:sz w:val="17"/>
              </w:rPr>
              <w:t>更高层级模拟职位</w:t>
            </w:r>
          </w:p>
        </w:tc>
        <w:tc>
          <w:tcPr>
            <w:tcW w:type="dxa" w:w="3312"/>
            <w:vAlign w:val="center"/>
          </w:tcPr>
          <w:p>
            <w:pPr>
              <w:spacing w:after="0"/>
            </w:pPr>
            <w:r/>
            <w:r>
              <w:rPr>
                <w:rFonts w:ascii="Microsoft YaHei" w:hAnsi="Microsoft YaHei" w:eastAsia="Microsoft YaHei"/>
                <w:b w:val="0"/>
                <w:sz w:val="17"/>
              </w:rPr>
              <w:t>管理更大范围的政策与资源</w:t>
            </w:r>
          </w:p>
        </w:tc>
        <w:tc>
          <w:tcPr>
            <w:tcW w:type="dxa" w:w="3312"/>
            <w:vAlign w:val="center"/>
          </w:tcPr>
          <w:p>
            <w:pPr>
              <w:spacing w:after="0"/>
            </w:pPr>
            <w:r/>
            <w:r>
              <w:rPr>
                <w:rFonts w:ascii="Microsoft YaHei" w:hAnsi="Microsoft YaHei" w:eastAsia="Microsoft YaHei"/>
                <w:b w:val="0"/>
                <w:sz w:val="17"/>
              </w:rPr>
              <w:t>全市级任务和长期战略</w:t>
            </w:r>
          </w:p>
        </w:tc>
      </w:tr>
    </w:tbl>
    <w:p/>
    <w:p>
      <w:r>
        <w:t>以上是虚构的游戏职业阶段，不等同于现实行政级别、职务、任职资格或真实晋升程序。</w:t>
      </w:r>
    </w:p>
    <w:p>
      <w:pPr>
        <w:pStyle w:val="Heading2"/>
      </w:pPr>
      <w:r>
        <w:t>7.2 初始角色属性</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374B"/>
          </w:tcPr>
          <w:p>
            <w:pPr>
              <w:spacing w:after="0"/>
            </w:pPr>
            <w:r/>
            <w:r>
              <w:rPr>
                <w:rFonts w:ascii="Microsoft YaHei" w:hAnsi="Microsoft YaHei" w:eastAsia="Microsoft YaHei"/>
                <w:b/>
                <w:color w:val="FFFFFF"/>
                <w:sz w:val="18"/>
              </w:rPr>
              <w:t>属性</w:t>
            </w:r>
          </w:p>
        </w:tc>
        <w:tc>
          <w:tcPr>
            <w:tcW w:type="dxa" w:w="3312"/>
            <w:vAlign w:val="center"/>
            <w:shd w:fill="23374B"/>
          </w:tcPr>
          <w:p>
            <w:pPr>
              <w:spacing w:after="0"/>
            </w:pPr>
            <w:r/>
            <w:r>
              <w:rPr>
                <w:rFonts w:ascii="Microsoft YaHei" w:hAnsi="Microsoft YaHei" w:eastAsia="Microsoft YaHei"/>
                <w:b/>
                <w:color w:val="FFFFFF"/>
                <w:sz w:val="18"/>
              </w:rPr>
              <w:t>演示初始值</w:t>
            </w:r>
          </w:p>
        </w:tc>
        <w:tc>
          <w:tcPr>
            <w:tcW w:type="dxa" w:w="3312"/>
            <w:vAlign w:val="center"/>
            <w:shd w:fill="23374B"/>
          </w:tcPr>
          <w:p>
            <w:pPr>
              <w:spacing w:after="0"/>
            </w:pPr>
            <w:r/>
            <w:r>
              <w:rPr>
                <w:rFonts w:ascii="Microsoft YaHei" w:hAnsi="Microsoft YaHei" w:eastAsia="Microsoft YaHei"/>
                <w:b/>
                <w:color w:val="FFFFFF"/>
                <w:sz w:val="18"/>
              </w:rPr>
              <w:t>影响方向</w:t>
            </w:r>
          </w:p>
        </w:tc>
      </w:tr>
      <w:tr>
        <w:tc>
          <w:tcPr>
            <w:tcW w:type="dxa" w:w="3312"/>
            <w:vAlign w:val="center"/>
          </w:tcPr>
          <w:p>
            <w:pPr>
              <w:spacing w:after="0"/>
            </w:pPr>
            <w:r/>
            <w:r>
              <w:rPr>
                <w:rFonts w:ascii="Microsoft YaHei" w:hAnsi="Microsoft YaHei" w:eastAsia="Microsoft YaHei"/>
                <w:b w:val="0"/>
                <w:sz w:val="17"/>
              </w:rPr>
              <w:t>行政协调能力</w:t>
            </w:r>
          </w:p>
        </w:tc>
        <w:tc>
          <w:tcPr>
            <w:tcW w:type="dxa" w:w="3312"/>
            <w:vAlign w:val="center"/>
          </w:tcPr>
          <w:p>
            <w:pPr>
              <w:spacing w:after="0"/>
            </w:pPr>
            <w:r/>
            <w:r>
              <w:rPr>
                <w:rFonts w:ascii="Microsoft YaHei" w:hAnsi="Microsoft YaHei" w:eastAsia="Microsoft YaHei"/>
                <w:b w:val="0"/>
                <w:sz w:val="17"/>
              </w:rPr>
              <w:t>50/100</w:t>
            </w:r>
          </w:p>
        </w:tc>
        <w:tc>
          <w:tcPr>
            <w:tcW w:type="dxa" w:w="3312"/>
            <w:vAlign w:val="center"/>
          </w:tcPr>
          <w:p>
            <w:pPr>
              <w:spacing w:after="0"/>
            </w:pPr>
            <w:r/>
            <w:r>
              <w:rPr>
                <w:rFonts w:ascii="Microsoft YaHei" w:hAnsi="Microsoft YaHei" w:eastAsia="Microsoft YaHei"/>
                <w:b w:val="0"/>
                <w:sz w:val="17"/>
              </w:rPr>
              <w:t>协调多个任务和部门</w:t>
            </w:r>
          </w:p>
        </w:tc>
      </w:tr>
      <w:tr>
        <w:tc>
          <w:tcPr>
            <w:tcW w:type="dxa" w:w="3312"/>
            <w:vAlign w:val="center"/>
            <w:shd w:fill="F3F5F7"/>
          </w:tcPr>
          <w:p>
            <w:pPr>
              <w:spacing w:after="0"/>
            </w:pPr>
            <w:r/>
            <w:r>
              <w:rPr>
                <w:rFonts w:ascii="Microsoft YaHei" w:hAnsi="Microsoft YaHei" w:eastAsia="Microsoft YaHei"/>
                <w:b w:val="0"/>
                <w:sz w:val="17"/>
              </w:rPr>
              <w:t>政策执行能力</w:t>
            </w:r>
          </w:p>
        </w:tc>
        <w:tc>
          <w:tcPr>
            <w:tcW w:type="dxa" w:w="3312"/>
            <w:vAlign w:val="center"/>
            <w:shd w:fill="F3F5F7"/>
          </w:tcPr>
          <w:p>
            <w:pPr>
              <w:spacing w:after="0"/>
            </w:pPr>
            <w:r/>
            <w:r>
              <w:rPr>
                <w:rFonts w:ascii="Microsoft YaHei" w:hAnsi="Microsoft YaHei" w:eastAsia="Microsoft YaHei"/>
                <w:b w:val="0"/>
                <w:sz w:val="17"/>
              </w:rPr>
              <w:t>45/100</w:t>
            </w:r>
          </w:p>
        </w:tc>
        <w:tc>
          <w:tcPr>
            <w:tcW w:type="dxa" w:w="3312"/>
            <w:vAlign w:val="center"/>
            <w:shd w:fill="F3F5F7"/>
          </w:tcPr>
          <w:p>
            <w:pPr>
              <w:spacing w:after="0"/>
            </w:pPr>
            <w:r/>
            <w:r>
              <w:rPr>
                <w:rFonts w:ascii="Microsoft YaHei" w:hAnsi="Microsoft YaHei" w:eastAsia="Microsoft YaHei"/>
                <w:b w:val="0"/>
                <w:sz w:val="17"/>
              </w:rPr>
              <w:t>影响项目推进效率</w:t>
            </w:r>
          </w:p>
        </w:tc>
      </w:tr>
      <w:tr>
        <w:tc>
          <w:tcPr>
            <w:tcW w:type="dxa" w:w="3312"/>
            <w:vAlign w:val="center"/>
          </w:tcPr>
          <w:p>
            <w:pPr>
              <w:spacing w:after="0"/>
            </w:pPr>
            <w:r/>
            <w:r>
              <w:rPr>
                <w:rFonts w:ascii="Microsoft YaHei" w:hAnsi="Microsoft YaHei" w:eastAsia="Microsoft YaHei"/>
                <w:b w:val="0"/>
                <w:sz w:val="17"/>
              </w:rPr>
              <w:t>群众工作能力</w:t>
            </w:r>
          </w:p>
        </w:tc>
        <w:tc>
          <w:tcPr>
            <w:tcW w:type="dxa" w:w="3312"/>
            <w:vAlign w:val="center"/>
          </w:tcPr>
          <w:p>
            <w:pPr>
              <w:spacing w:after="0"/>
            </w:pPr>
            <w:r/>
            <w:r>
              <w:rPr>
                <w:rFonts w:ascii="Microsoft YaHei" w:hAnsi="Microsoft YaHei" w:eastAsia="Microsoft YaHei"/>
                <w:b w:val="0"/>
                <w:sz w:val="17"/>
              </w:rPr>
              <w:t>55/100</w:t>
            </w:r>
          </w:p>
        </w:tc>
        <w:tc>
          <w:tcPr>
            <w:tcW w:type="dxa" w:w="3312"/>
            <w:vAlign w:val="center"/>
          </w:tcPr>
          <w:p>
            <w:pPr>
              <w:spacing w:after="0"/>
            </w:pPr>
            <w:r/>
            <w:r>
              <w:rPr>
                <w:rFonts w:ascii="Microsoft YaHei" w:hAnsi="Microsoft YaHei" w:eastAsia="Microsoft YaHei"/>
                <w:b w:val="0"/>
                <w:sz w:val="17"/>
              </w:rPr>
              <w:t>影响诉求处理和满意度类事件</w:t>
            </w:r>
          </w:p>
        </w:tc>
      </w:tr>
      <w:tr>
        <w:tc>
          <w:tcPr>
            <w:tcW w:type="dxa" w:w="3312"/>
            <w:vAlign w:val="center"/>
            <w:shd w:fill="F3F5F7"/>
          </w:tcPr>
          <w:p>
            <w:pPr>
              <w:spacing w:after="0"/>
            </w:pPr>
            <w:r/>
            <w:r>
              <w:rPr>
                <w:rFonts w:ascii="Microsoft YaHei" w:hAnsi="Microsoft YaHei" w:eastAsia="Microsoft YaHei"/>
                <w:b w:val="0"/>
                <w:sz w:val="17"/>
              </w:rPr>
              <w:t>纪律与合规意识</w:t>
            </w:r>
          </w:p>
        </w:tc>
        <w:tc>
          <w:tcPr>
            <w:tcW w:type="dxa" w:w="3312"/>
            <w:vAlign w:val="center"/>
            <w:shd w:fill="F3F5F7"/>
          </w:tcPr>
          <w:p>
            <w:pPr>
              <w:spacing w:after="0"/>
            </w:pPr>
            <w:r/>
            <w:r>
              <w:rPr>
                <w:rFonts w:ascii="Microsoft YaHei" w:hAnsi="Microsoft YaHei" w:eastAsia="Microsoft YaHei"/>
                <w:b w:val="0"/>
                <w:sz w:val="17"/>
              </w:rPr>
              <w:t>70/100</w:t>
            </w:r>
          </w:p>
        </w:tc>
        <w:tc>
          <w:tcPr>
            <w:tcW w:type="dxa" w:w="3312"/>
            <w:vAlign w:val="center"/>
            <w:shd w:fill="F3F5F7"/>
          </w:tcPr>
          <w:p>
            <w:pPr>
              <w:spacing w:after="0"/>
            </w:pPr>
            <w:r/>
            <w:r>
              <w:rPr>
                <w:rFonts w:ascii="Microsoft YaHei" w:hAnsi="Microsoft YaHei" w:eastAsia="Microsoft YaHei"/>
                <w:b w:val="0"/>
                <w:sz w:val="17"/>
              </w:rPr>
              <w:t>影响风险事件与合规评价</w:t>
            </w:r>
          </w:p>
        </w:tc>
      </w:tr>
    </w:tbl>
    <w:p/>
    <w:p>
      <w:r>
        <w:t>以上数值仅用于游戏平衡，不代表现实任职标准。晋升由履职成果、能力、协作、纪律记录、职位空缺和游戏设定条件综合决定，不采用单一政绩分自动升职。</w:t>
      </w:r>
    </w:p>
    <w:p>
      <w:pPr>
        <w:pStyle w:val="Heading1"/>
      </w:pPr>
      <w:r>
        <w:t>八、核心结算模型</w:t>
      </w:r>
    </w:p>
    <w:p>
      <w:r>
        <w:t>第一版使用可解释、可调参的规则引擎，不必立即引入复杂 AI。</w:t>
      </w:r>
    </w:p>
    <w:p>
      <w:r>
        <w:t>项目进度增量 = 基础进度 × 执行效率 × 事件系数</w:t>
      </w:r>
    </w:p>
    <w:p>
      <w:r>
        <w:t>季度考核 = 各项标准化得分按权重汇总 − 违规扣分</w:t>
      </w:r>
    </w:p>
    <w:p>
      <w:r>
        <w:t>项目示例：某街道开展公共服务改善项目，预算为游戏资金100单位，周期2个季度；项目可能提升公共服务指数，但会增加短期财政压力，并受到延期、超支或需求变化等事件影响。</w:t>
      </w:r>
    </w:p>
    <w:p>
      <w:r>
        <w:t>所有公式、权重、事件概率和政策效果应配置化；推进季度时，在一个数据库事务中完成项目更新、事件结算、指标变化和季度报告写入，避免存档状态不一致。</w:t>
      </w:r>
    </w:p>
    <w:p>
      <w:pPr>
        <w:pStyle w:val="Heading1"/>
      </w:pPr>
      <w:r>
        <w:t>九、后端 API 设计</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3374B"/>
          </w:tcPr>
          <w:p>
            <w:pPr>
              <w:spacing w:after="0"/>
            </w:pPr>
            <w:r/>
            <w:r>
              <w:rPr>
                <w:rFonts w:ascii="Microsoft YaHei" w:hAnsi="Microsoft YaHei" w:eastAsia="Microsoft YaHei"/>
                <w:b/>
                <w:color w:val="FFFFFF"/>
                <w:sz w:val="18"/>
              </w:rPr>
              <w:t>接口</w:t>
            </w:r>
          </w:p>
        </w:tc>
        <w:tc>
          <w:tcPr>
            <w:tcW w:type="dxa" w:w="4968"/>
            <w:vAlign w:val="center"/>
            <w:shd w:fill="23374B"/>
          </w:tcPr>
          <w:p>
            <w:pPr>
              <w:spacing w:after="0"/>
            </w:pPr>
            <w:r/>
            <w:r>
              <w:rPr>
                <w:rFonts w:ascii="Microsoft YaHei" w:hAnsi="Microsoft YaHei" w:eastAsia="Microsoft YaHei"/>
                <w:b/>
                <w:color w:val="FFFFFF"/>
                <w:sz w:val="18"/>
              </w:rPr>
              <w:t>用途</w:t>
            </w:r>
          </w:p>
        </w:tc>
      </w:tr>
      <w:tr>
        <w:tc>
          <w:tcPr>
            <w:tcW w:type="dxa" w:w="4968"/>
            <w:vAlign w:val="center"/>
          </w:tcPr>
          <w:p>
            <w:pPr>
              <w:spacing w:after="0"/>
            </w:pPr>
            <w:r/>
            <w:r>
              <w:rPr>
                <w:rFonts w:ascii="Microsoft YaHei" w:hAnsi="Microsoft YaHei" w:eastAsia="Microsoft YaHei"/>
                <w:b w:val="0"/>
                <w:sz w:val="17"/>
              </w:rPr>
              <w:t>GET /api/regions</w:t>
            </w:r>
          </w:p>
        </w:tc>
        <w:tc>
          <w:tcPr>
            <w:tcW w:type="dxa" w:w="4968"/>
            <w:vAlign w:val="center"/>
          </w:tcPr>
          <w:p>
            <w:pPr>
              <w:spacing w:after="0"/>
            </w:pPr>
            <w:r/>
            <w:r>
              <w:rPr>
                <w:rFonts w:ascii="Microsoft YaHei" w:hAnsi="Microsoft YaHei" w:eastAsia="Microsoft YaHei"/>
                <w:b w:val="0"/>
                <w:sz w:val="17"/>
              </w:rPr>
              <w:t>获取北京行政区划树</w:t>
            </w:r>
          </w:p>
        </w:tc>
      </w:tr>
      <w:tr>
        <w:tc>
          <w:tcPr>
            <w:tcW w:type="dxa" w:w="4968"/>
            <w:vAlign w:val="center"/>
            <w:shd w:fill="F3F5F7"/>
          </w:tcPr>
          <w:p>
            <w:pPr>
              <w:spacing w:after="0"/>
            </w:pPr>
            <w:r/>
            <w:r>
              <w:rPr>
                <w:rFonts w:ascii="Microsoft YaHei" w:hAnsi="Microsoft YaHei" w:eastAsia="Microsoft YaHei"/>
                <w:b w:val="0"/>
                <w:sz w:val="17"/>
              </w:rPr>
              <w:t>GET /api/regions/:id</w:t>
            </w:r>
          </w:p>
        </w:tc>
        <w:tc>
          <w:tcPr>
            <w:tcW w:type="dxa" w:w="4968"/>
            <w:vAlign w:val="center"/>
            <w:shd w:fill="F3F5F7"/>
          </w:tcPr>
          <w:p>
            <w:pPr>
              <w:spacing w:after="0"/>
            </w:pPr>
            <w:r/>
            <w:r>
              <w:rPr>
                <w:rFonts w:ascii="Microsoft YaHei" w:hAnsi="Microsoft YaHei" w:eastAsia="Microsoft YaHei"/>
                <w:b w:val="0"/>
                <w:sz w:val="17"/>
              </w:rPr>
              <w:t>查询区或街道详情</w:t>
            </w:r>
          </w:p>
        </w:tc>
      </w:tr>
      <w:tr>
        <w:tc>
          <w:tcPr>
            <w:tcW w:type="dxa" w:w="4968"/>
            <w:vAlign w:val="center"/>
          </w:tcPr>
          <w:p>
            <w:pPr>
              <w:spacing w:after="0"/>
            </w:pPr>
            <w:r/>
            <w:r>
              <w:rPr>
                <w:rFonts w:ascii="Microsoft YaHei" w:hAnsi="Microsoft YaHei" w:eastAsia="Microsoft YaHei"/>
                <w:b w:val="0"/>
                <w:sz w:val="17"/>
              </w:rPr>
              <w:t>GET /api/regions/:id/indicators</w:t>
            </w:r>
          </w:p>
        </w:tc>
        <w:tc>
          <w:tcPr>
            <w:tcW w:type="dxa" w:w="4968"/>
            <w:vAlign w:val="center"/>
          </w:tcPr>
          <w:p>
            <w:pPr>
              <w:spacing w:after="0"/>
            </w:pPr>
            <w:r/>
            <w:r>
              <w:rPr>
                <w:rFonts w:ascii="Microsoft YaHei" w:hAnsi="Microsoft YaHei" w:eastAsia="Microsoft YaHei"/>
                <w:b w:val="0"/>
                <w:sz w:val="17"/>
              </w:rPr>
              <w:t>获取区域公开指标</w:t>
            </w:r>
          </w:p>
        </w:tc>
      </w:tr>
      <w:tr>
        <w:tc>
          <w:tcPr>
            <w:tcW w:type="dxa" w:w="4968"/>
            <w:vAlign w:val="center"/>
            <w:shd w:fill="F3F5F7"/>
          </w:tcPr>
          <w:p>
            <w:pPr>
              <w:spacing w:after="0"/>
            </w:pPr>
            <w:r/>
            <w:r>
              <w:rPr>
                <w:rFonts w:ascii="Microsoft YaHei" w:hAnsi="Microsoft YaHei" w:eastAsia="Microsoft YaHei"/>
                <w:b w:val="0"/>
                <w:sz w:val="17"/>
              </w:rPr>
              <w:t>POST /api/saves</w:t>
            </w:r>
          </w:p>
        </w:tc>
        <w:tc>
          <w:tcPr>
            <w:tcW w:type="dxa" w:w="4968"/>
            <w:vAlign w:val="center"/>
            <w:shd w:fill="F3F5F7"/>
          </w:tcPr>
          <w:p>
            <w:pPr>
              <w:spacing w:after="0"/>
            </w:pPr>
            <w:r/>
            <w:r>
              <w:rPr>
                <w:rFonts w:ascii="Microsoft YaHei" w:hAnsi="Microsoft YaHei" w:eastAsia="Microsoft YaHei"/>
                <w:b w:val="0"/>
                <w:sz w:val="17"/>
              </w:rPr>
              <w:t>创建新存档</w:t>
            </w:r>
          </w:p>
        </w:tc>
      </w:tr>
      <w:tr>
        <w:tc>
          <w:tcPr>
            <w:tcW w:type="dxa" w:w="4968"/>
            <w:vAlign w:val="center"/>
          </w:tcPr>
          <w:p>
            <w:pPr>
              <w:spacing w:after="0"/>
            </w:pPr>
            <w:r/>
            <w:r>
              <w:rPr>
                <w:rFonts w:ascii="Microsoft YaHei" w:hAnsi="Microsoft YaHei" w:eastAsia="Microsoft YaHei"/>
                <w:b w:val="0"/>
                <w:sz w:val="17"/>
              </w:rPr>
              <w:t>GET /api/saves/:id</w:t>
            </w:r>
          </w:p>
        </w:tc>
        <w:tc>
          <w:tcPr>
            <w:tcW w:type="dxa" w:w="4968"/>
            <w:vAlign w:val="center"/>
          </w:tcPr>
          <w:p>
            <w:pPr>
              <w:spacing w:after="0"/>
            </w:pPr>
            <w:r/>
            <w:r>
              <w:rPr>
                <w:rFonts w:ascii="Microsoft YaHei" w:hAnsi="Microsoft YaHei" w:eastAsia="Microsoft YaHei"/>
                <w:b w:val="0"/>
                <w:sz w:val="17"/>
              </w:rPr>
              <w:t>读取存档</w:t>
            </w:r>
          </w:p>
        </w:tc>
      </w:tr>
      <w:tr>
        <w:tc>
          <w:tcPr>
            <w:tcW w:type="dxa" w:w="4968"/>
            <w:vAlign w:val="center"/>
            <w:shd w:fill="F3F5F7"/>
          </w:tcPr>
          <w:p>
            <w:pPr>
              <w:spacing w:after="0"/>
            </w:pPr>
            <w:r/>
            <w:r>
              <w:rPr>
                <w:rFonts w:ascii="Microsoft YaHei" w:hAnsi="Microsoft YaHei" w:eastAsia="Microsoft YaHei"/>
                <w:b w:val="0"/>
                <w:sz w:val="17"/>
              </w:rPr>
              <w:t>POST /api/saves/:id/actions</w:t>
            </w:r>
          </w:p>
        </w:tc>
        <w:tc>
          <w:tcPr>
            <w:tcW w:type="dxa" w:w="4968"/>
            <w:vAlign w:val="center"/>
            <w:shd w:fill="F3F5F7"/>
          </w:tcPr>
          <w:p>
            <w:pPr>
              <w:spacing w:after="0"/>
            </w:pPr>
            <w:r/>
            <w:r>
              <w:rPr>
                <w:rFonts w:ascii="Microsoft YaHei" w:hAnsi="Microsoft YaHei" w:eastAsia="Microsoft YaHei"/>
                <w:b w:val="0"/>
                <w:sz w:val="17"/>
              </w:rPr>
              <w:t>执行政策或项目等游戏操作</w:t>
            </w:r>
          </w:p>
        </w:tc>
      </w:tr>
      <w:tr>
        <w:tc>
          <w:tcPr>
            <w:tcW w:type="dxa" w:w="4968"/>
            <w:vAlign w:val="center"/>
          </w:tcPr>
          <w:p>
            <w:pPr>
              <w:spacing w:after="0"/>
            </w:pPr>
            <w:r/>
            <w:r>
              <w:rPr>
                <w:rFonts w:ascii="Microsoft YaHei" w:hAnsi="Microsoft YaHei" w:eastAsia="Microsoft YaHei"/>
                <w:b w:val="0"/>
                <w:sz w:val="17"/>
              </w:rPr>
              <w:t>POST /api/saves/:id/advance-quarter</w:t>
            </w:r>
          </w:p>
        </w:tc>
        <w:tc>
          <w:tcPr>
            <w:tcW w:type="dxa" w:w="4968"/>
            <w:vAlign w:val="center"/>
          </w:tcPr>
          <w:p>
            <w:pPr>
              <w:spacing w:after="0"/>
            </w:pPr>
            <w:r/>
            <w:r>
              <w:rPr>
                <w:rFonts w:ascii="Microsoft YaHei" w:hAnsi="Microsoft YaHei" w:eastAsia="Microsoft YaHei"/>
                <w:b w:val="0"/>
                <w:sz w:val="17"/>
              </w:rPr>
              <w:t>推进季度并结算</w:t>
            </w:r>
          </w:p>
        </w:tc>
      </w:tr>
      <w:tr>
        <w:tc>
          <w:tcPr>
            <w:tcW w:type="dxa" w:w="4968"/>
            <w:vAlign w:val="center"/>
            <w:shd w:fill="F3F5F7"/>
          </w:tcPr>
          <w:p>
            <w:pPr>
              <w:spacing w:after="0"/>
            </w:pPr>
            <w:r/>
            <w:r>
              <w:rPr>
                <w:rFonts w:ascii="Microsoft YaHei" w:hAnsi="Microsoft YaHei" w:eastAsia="Microsoft YaHei"/>
                <w:b w:val="0"/>
                <w:sz w:val="17"/>
              </w:rPr>
              <w:t>GET /api/saves/:id/events</w:t>
            </w:r>
          </w:p>
        </w:tc>
        <w:tc>
          <w:tcPr>
            <w:tcW w:type="dxa" w:w="4968"/>
            <w:vAlign w:val="center"/>
            <w:shd w:fill="F3F5F7"/>
          </w:tcPr>
          <w:p>
            <w:pPr>
              <w:spacing w:after="0"/>
            </w:pPr>
            <w:r/>
            <w:r>
              <w:rPr>
                <w:rFonts w:ascii="Microsoft YaHei" w:hAnsi="Microsoft YaHei" w:eastAsia="Microsoft YaHei"/>
                <w:b w:val="0"/>
                <w:sz w:val="17"/>
              </w:rPr>
              <w:t>获取待处理事件</w:t>
            </w:r>
          </w:p>
        </w:tc>
      </w:tr>
      <w:tr>
        <w:tc>
          <w:tcPr>
            <w:tcW w:type="dxa" w:w="4968"/>
            <w:vAlign w:val="center"/>
          </w:tcPr>
          <w:p>
            <w:pPr>
              <w:spacing w:after="0"/>
            </w:pPr>
            <w:r/>
            <w:r>
              <w:rPr>
                <w:rFonts w:ascii="Microsoft YaHei" w:hAnsi="Microsoft YaHei" w:eastAsia="Microsoft YaHei"/>
                <w:b w:val="0"/>
                <w:sz w:val="17"/>
              </w:rPr>
              <w:t>POST /api/saves/:id/events/:eventId/resolve</w:t>
            </w:r>
          </w:p>
        </w:tc>
        <w:tc>
          <w:tcPr>
            <w:tcW w:type="dxa" w:w="4968"/>
            <w:vAlign w:val="center"/>
          </w:tcPr>
          <w:p>
            <w:pPr>
              <w:spacing w:after="0"/>
            </w:pPr>
            <w:r/>
            <w:r>
              <w:rPr>
                <w:rFonts w:ascii="Microsoft YaHei" w:hAnsi="Microsoft YaHei" w:eastAsia="Microsoft YaHei"/>
                <w:b w:val="0"/>
                <w:sz w:val="17"/>
              </w:rPr>
              <w:t>处理事件</w:t>
            </w:r>
          </w:p>
        </w:tc>
      </w:tr>
      <w:tr>
        <w:tc>
          <w:tcPr>
            <w:tcW w:type="dxa" w:w="4968"/>
            <w:vAlign w:val="center"/>
            <w:shd w:fill="F3F5F7"/>
          </w:tcPr>
          <w:p>
            <w:pPr>
              <w:spacing w:after="0"/>
            </w:pPr>
            <w:r/>
            <w:r>
              <w:rPr>
                <w:rFonts w:ascii="Microsoft YaHei" w:hAnsi="Microsoft YaHei" w:eastAsia="Microsoft YaHei"/>
                <w:b w:val="0"/>
                <w:sz w:val="17"/>
              </w:rPr>
              <w:t>GET /api/saves/:id/reports</w:t>
            </w:r>
          </w:p>
        </w:tc>
        <w:tc>
          <w:tcPr>
            <w:tcW w:type="dxa" w:w="4968"/>
            <w:vAlign w:val="center"/>
            <w:shd w:fill="F3F5F7"/>
          </w:tcPr>
          <w:p>
            <w:pPr>
              <w:spacing w:after="0"/>
            </w:pPr>
            <w:r/>
            <w:r>
              <w:rPr>
                <w:rFonts w:ascii="Microsoft YaHei" w:hAnsi="Microsoft YaHei" w:eastAsia="Microsoft YaHei"/>
                <w:b w:val="0"/>
                <w:sz w:val="17"/>
              </w:rPr>
              <w:t>查询季度与年度报告</w:t>
            </w:r>
          </w:p>
        </w:tc>
      </w:tr>
    </w:tbl>
    <w:p/>
    <w:p>
      <w:r>
        <w:t>关键要求：季度推进应具备事务处理与幂等保护，防止玩家重复点击造成重复结算；所有存档操作都要校验存档归属和当前状态。</w:t>
      </w:r>
    </w:p>
    <w:p>
      <w:pPr>
        <w:pStyle w:val="Heading1"/>
      </w:pPr>
      <w:r>
        <w:t>十、技术选型</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374B"/>
          </w:tcPr>
          <w:p>
            <w:pPr>
              <w:spacing w:after="0"/>
            </w:pPr>
            <w:r/>
            <w:r>
              <w:rPr>
                <w:rFonts w:ascii="Microsoft YaHei" w:hAnsi="Microsoft YaHei" w:eastAsia="Microsoft YaHei"/>
                <w:b/>
                <w:color w:val="FFFFFF"/>
                <w:sz w:val="18"/>
              </w:rPr>
              <w:t>模块</w:t>
            </w:r>
          </w:p>
        </w:tc>
        <w:tc>
          <w:tcPr>
            <w:tcW w:type="dxa" w:w="3312"/>
            <w:vAlign w:val="center"/>
            <w:shd w:fill="23374B"/>
          </w:tcPr>
          <w:p>
            <w:pPr>
              <w:spacing w:after="0"/>
            </w:pPr>
            <w:r/>
            <w:r>
              <w:rPr>
                <w:rFonts w:ascii="Microsoft YaHei" w:hAnsi="Microsoft YaHei" w:eastAsia="Microsoft YaHei"/>
                <w:b/>
                <w:color w:val="FFFFFF"/>
                <w:sz w:val="18"/>
              </w:rPr>
              <w:t>建议技术</w:t>
            </w:r>
          </w:p>
        </w:tc>
        <w:tc>
          <w:tcPr>
            <w:tcW w:type="dxa" w:w="3312"/>
            <w:vAlign w:val="center"/>
            <w:shd w:fill="23374B"/>
          </w:tcPr>
          <w:p>
            <w:pPr>
              <w:spacing w:after="0"/>
            </w:pPr>
            <w:r/>
            <w:r>
              <w:rPr>
                <w:rFonts w:ascii="Microsoft YaHei" w:hAnsi="Microsoft YaHei" w:eastAsia="Microsoft YaHei"/>
                <w:b/>
                <w:color w:val="FFFFFF"/>
                <w:sz w:val="18"/>
              </w:rPr>
              <w:t>原因</w:t>
            </w:r>
          </w:p>
        </w:tc>
      </w:tr>
      <w:tr>
        <w:tc>
          <w:tcPr>
            <w:tcW w:type="dxa" w:w="3312"/>
            <w:vAlign w:val="center"/>
          </w:tcPr>
          <w:p>
            <w:pPr>
              <w:spacing w:after="0"/>
            </w:pPr>
            <w:r/>
            <w:r>
              <w:rPr>
                <w:rFonts w:ascii="Microsoft YaHei" w:hAnsi="Microsoft YaHei" w:eastAsia="Microsoft YaHei"/>
                <w:b w:val="0"/>
                <w:sz w:val="17"/>
              </w:rPr>
              <w:t>前端</w:t>
            </w:r>
          </w:p>
        </w:tc>
        <w:tc>
          <w:tcPr>
            <w:tcW w:type="dxa" w:w="3312"/>
            <w:vAlign w:val="center"/>
          </w:tcPr>
          <w:p>
            <w:pPr>
              <w:spacing w:after="0"/>
            </w:pPr>
            <w:r/>
            <w:r>
              <w:rPr>
                <w:rFonts w:ascii="Microsoft YaHei" w:hAnsi="Microsoft YaHei" w:eastAsia="Microsoft YaHei"/>
                <w:b w:val="0"/>
                <w:sz w:val="17"/>
              </w:rPr>
              <w:t>React + TypeScript</w:t>
            </w:r>
          </w:p>
        </w:tc>
        <w:tc>
          <w:tcPr>
            <w:tcW w:type="dxa" w:w="3312"/>
            <w:vAlign w:val="center"/>
          </w:tcPr>
          <w:p>
            <w:pPr>
              <w:spacing w:after="0"/>
            </w:pPr>
            <w:r/>
            <w:r>
              <w:rPr>
                <w:rFonts w:ascii="Microsoft YaHei" w:hAnsi="Microsoft YaHei" w:eastAsia="Microsoft YaHei"/>
                <w:b w:val="0"/>
                <w:sz w:val="17"/>
              </w:rPr>
              <w:t>适合组件化界面与复杂交互</w:t>
            </w:r>
          </w:p>
        </w:tc>
      </w:tr>
      <w:tr>
        <w:tc>
          <w:tcPr>
            <w:tcW w:type="dxa" w:w="3312"/>
            <w:vAlign w:val="center"/>
            <w:shd w:fill="F3F5F7"/>
          </w:tcPr>
          <w:p>
            <w:pPr>
              <w:spacing w:after="0"/>
            </w:pPr>
            <w:r/>
            <w:r>
              <w:rPr>
                <w:rFonts w:ascii="Microsoft YaHei" w:hAnsi="Microsoft YaHei" w:eastAsia="Microsoft YaHei"/>
                <w:b w:val="0"/>
                <w:sz w:val="17"/>
              </w:rPr>
              <w:t>样式</w:t>
            </w:r>
          </w:p>
        </w:tc>
        <w:tc>
          <w:tcPr>
            <w:tcW w:type="dxa" w:w="3312"/>
            <w:vAlign w:val="center"/>
            <w:shd w:fill="F3F5F7"/>
          </w:tcPr>
          <w:p>
            <w:pPr>
              <w:spacing w:after="0"/>
            </w:pPr>
            <w:r/>
            <w:r>
              <w:rPr>
                <w:rFonts w:ascii="Microsoft YaHei" w:hAnsi="Microsoft YaHei" w:eastAsia="Microsoft YaHei"/>
                <w:b w:val="0"/>
                <w:sz w:val="17"/>
              </w:rPr>
              <w:t>Tailwind CSS</w:t>
            </w:r>
          </w:p>
        </w:tc>
        <w:tc>
          <w:tcPr>
            <w:tcW w:type="dxa" w:w="3312"/>
            <w:vAlign w:val="center"/>
            <w:shd w:fill="F3F5F7"/>
          </w:tcPr>
          <w:p>
            <w:pPr>
              <w:spacing w:after="0"/>
            </w:pPr>
            <w:r/>
            <w:r>
              <w:rPr>
                <w:rFonts w:ascii="Microsoft YaHei" w:hAnsi="Microsoft YaHei" w:eastAsia="Microsoft YaHei"/>
                <w:b w:val="0"/>
                <w:sz w:val="17"/>
              </w:rPr>
              <w:t>快速统一视觉规范</w:t>
            </w:r>
          </w:p>
        </w:tc>
      </w:tr>
      <w:tr>
        <w:tc>
          <w:tcPr>
            <w:tcW w:type="dxa" w:w="3312"/>
            <w:vAlign w:val="center"/>
          </w:tcPr>
          <w:p>
            <w:pPr>
              <w:spacing w:after="0"/>
            </w:pPr>
            <w:r/>
            <w:r>
              <w:rPr>
                <w:rFonts w:ascii="Microsoft YaHei" w:hAnsi="Microsoft YaHei" w:eastAsia="Microsoft YaHei"/>
                <w:b w:val="0"/>
                <w:sz w:val="17"/>
              </w:rPr>
              <w:t>地图</w:t>
            </w:r>
          </w:p>
        </w:tc>
        <w:tc>
          <w:tcPr>
            <w:tcW w:type="dxa" w:w="3312"/>
            <w:vAlign w:val="center"/>
          </w:tcPr>
          <w:p>
            <w:pPr>
              <w:spacing w:after="0"/>
            </w:pPr>
            <w:r/>
            <w:r>
              <w:rPr>
                <w:rFonts w:ascii="Microsoft YaHei" w:hAnsi="Microsoft YaHei" w:eastAsia="Microsoft YaHei"/>
                <w:b w:val="0"/>
                <w:sz w:val="17"/>
              </w:rPr>
              <w:t>Leaflet + GeoJSON</w:t>
            </w:r>
          </w:p>
        </w:tc>
        <w:tc>
          <w:tcPr>
            <w:tcW w:type="dxa" w:w="3312"/>
            <w:vAlign w:val="center"/>
          </w:tcPr>
          <w:p>
            <w:pPr>
              <w:spacing w:after="0"/>
            </w:pPr>
            <w:r/>
            <w:r>
              <w:rPr>
                <w:rFonts w:ascii="Microsoft YaHei" w:hAnsi="Microsoft YaHei" w:eastAsia="Microsoft YaHei"/>
                <w:b w:val="0"/>
                <w:sz w:val="17"/>
              </w:rPr>
              <w:t>适合区划多边形与点击交互</w:t>
            </w:r>
          </w:p>
        </w:tc>
      </w:tr>
      <w:tr>
        <w:tc>
          <w:tcPr>
            <w:tcW w:type="dxa" w:w="3312"/>
            <w:vAlign w:val="center"/>
            <w:shd w:fill="F3F5F7"/>
          </w:tcPr>
          <w:p>
            <w:pPr>
              <w:spacing w:after="0"/>
            </w:pPr>
            <w:r/>
            <w:r>
              <w:rPr>
                <w:rFonts w:ascii="Microsoft YaHei" w:hAnsi="Microsoft YaHei" w:eastAsia="Microsoft YaHei"/>
                <w:b w:val="0"/>
                <w:sz w:val="17"/>
              </w:rPr>
              <w:t>图表</w:t>
            </w:r>
          </w:p>
        </w:tc>
        <w:tc>
          <w:tcPr>
            <w:tcW w:type="dxa" w:w="3312"/>
            <w:vAlign w:val="center"/>
            <w:shd w:fill="F3F5F7"/>
          </w:tcPr>
          <w:p>
            <w:pPr>
              <w:spacing w:after="0"/>
            </w:pPr>
            <w:r/>
            <w:r>
              <w:rPr>
                <w:rFonts w:ascii="Microsoft YaHei" w:hAnsi="Microsoft YaHei" w:eastAsia="Microsoft YaHei"/>
                <w:b w:val="0"/>
                <w:sz w:val="17"/>
              </w:rPr>
              <w:t>ECharts</w:t>
            </w:r>
          </w:p>
        </w:tc>
        <w:tc>
          <w:tcPr>
            <w:tcW w:type="dxa" w:w="3312"/>
            <w:vAlign w:val="center"/>
            <w:shd w:fill="F3F5F7"/>
          </w:tcPr>
          <w:p>
            <w:pPr>
              <w:spacing w:after="0"/>
            </w:pPr>
            <w:r/>
            <w:r>
              <w:rPr>
                <w:rFonts w:ascii="Microsoft YaHei" w:hAnsi="Microsoft YaHei" w:eastAsia="Microsoft YaHei"/>
                <w:b w:val="0"/>
                <w:sz w:val="17"/>
              </w:rPr>
              <w:t>适合趋势图、排名和数据看板</w:t>
            </w:r>
          </w:p>
        </w:tc>
      </w:tr>
      <w:tr>
        <w:tc>
          <w:tcPr>
            <w:tcW w:type="dxa" w:w="3312"/>
            <w:vAlign w:val="center"/>
          </w:tcPr>
          <w:p>
            <w:pPr>
              <w:spacing w:after="0"/>
            </w:pPr>
            <w:r/>
            <w:r>
              <w:rPr>
                <w:rFonts w:ascii="Microsoft YaHei" w:hAnsi="Microsoft YaHei" w:eastAsia="Microsoft YaHei"/>
                <w:b w:val="0"/>
                <w:sz w:val="17"/>
              </w:rPr>
              <w:t>后端</w:t>
            </w:r>
          </w:p>
        </w:tc>
        <w:tc>
          <w:tcPr>
            <w:tcW w:type="dxa" w:w="3312"/>
            <w:vAlign w:val="center"/>
          </w:tcPr>
          <w:p>
            <w:pPr>
              <w:spacing w:after="0"/>
            </w:pPr>
            <w:r/>
            <w:r>
              <w:rPr>
                <w:rFonts w:ascii="Microsoft YaHei" w:hAnsi="Microsoft YaHei" w:eastAsia="Microsoft YaHei"/>
                <w:b w:val="0"/>
                <w:sz w:val="17"/>
              </w:rPr>
              <w:t>Node.js + NestJS</w:t>
            </w:r>
          </w:p>
        </w:tc>
        <w:tc>
          <w:tcPr>
            <w:tcW w:type="dxa" w:w="3312"/>
            <w:vAlign w:val="center"/>
          </w:tcPr>
          <w:p>
            <w:pPr>
              <w:spacing w:after="0"/>
            </w:pPr>
            <w:r/>
            <w:r>
              <w:rPr>
                <w:rFonts w:ascii="Microsoft YaHei" w:hAnsi="Microsoft YaHei" w:eastAsia="Microsoft YaHei"/>
                <w:b w:val="0"/>
                <w:sz w:val="17"/>
              </w:rPr>
              <w:t>便于构建模块化 API</w:t>
            </w:r>
          </w:p>
        </w:tc>
      </w:tr>
      <w:tr>
        <w:tc>
          <w:tcPr>
            <w:tcW w:type="dxa" w:w="3312"/>
            <w:vAlign w:val="center"/>
            <w:shd w:fill="F3F5F7"/>
          </w:tcPr>
          <w:p>
            <w:pPr>
              <w:spacing w:after="0"/>
            </w:pPr>
            <w:r/>
            <w:r>
              <w:rPr>
                <w:rFonts w:ascii="Microsoft YaHei" w:hAnsi="Microsoft YaHei" w:eastAsia="Microsoft YaHei"/>
                <w:b w:val="0"/>
                <w:sz w:val="17"/>
              </w:rPr>
              <w:t>数据库</w:t>
            </w:r>
          </w:p>
        </w:tc>
        <w:tc>
          <w:tcPr>
            <w:tcW w:type="dxa" w:w="3312"/>
            <w:vAlign w:val="center"/>
            <w:shd w:fill="F3F5F7"/>
          </w:tcPr>
          <w:p>
            <w:pPr>
              <w:spacing w:after="0"/>
            </w:pPr>
            <w:r/>
            <w:r>
              <w:rPr>
                <w:rFonts w:ascii="Microsoft YaHei" w:hAnsi="Microsoft YaHei" w:eastAsia="Microsoft YaHei"/>
                <w:b w:val="0"/>
                <w:sz w:val="17"/>
              </w:rPr>
              <w:t>PostgreSQL</w:t>
            </w:r>
          </w:p>
        </w:tc>
        <w:tc>
          <w:tcPr>
            <w:tcW w:type="dxa" w:w="3312"/>
            <w:vAlign w:val="center"/>
            <w:shd w:fill="F3F5F7"/>
          </w:tcPr>
          <w:p>
            <w:pPr>
              <w:spacing w:after="0"/>
            </w:pPr>
            <w:r/>
            <w:r>
              <w:rPr>
                <w:rFonts w:ascii="Microsoft YaHei" w:hAnsi="Microsoft YaHei" w:eastAsia="Microsoft YaHei"/>
                <w:b w:val="0"/>
                <w:sz w:val="17"/>
              </w:rPr>
              <w:t>结构化数据与事务支持</w:t>
            </w:r>
          </w:p>
        </w:tc>
      </w:tr>
      <w:tr>
        <w:tc>
          <w:tcPr>
            <w:tcW w:type="dxa" w:w="3312"/>
            <w:vAlign w:val="center"/>
          </w:tcPr>
          <w:p>
            <w:pPr>
              <w:spacing w:after="0"/>
            </w:pPr>
            <w:r/>
            <w:r>
              <w:rPr>
                <w:rFonts w:ascii="Microsoft YaHei" w:hAnsi="Microsoft YaHei" w:eastAsia="Microsoft YaHei"/>
                <w:b w:val="0"/>
                <w:sz w:val="17"/>
              </w:rPr>
              <w:t>空间数据（可选）</w:t>
            </w:r>
          </w:p>
        </w:tc>
        <w:tc>
          <w:tcPr>
            <w:tcW w:type="dxa" w:w="3312"/>
            <w:vAlign w:val="center"/>
          </w:tcPr>
          <w:p>
            <w:pPr>
              <w:spacing w:after="0"/>
            </w:pPr>
            <w:r/>
            <w:r>
              <w:rPr>
                <w:rFonts w:ascii="Microsoft YaHei" w:hAnsi="Microsoft YaHei" w:eastAsia="Microsoft YaHei"/>
                <w:b w:val="0"/>
                <w:sz w:val="17"/>
              </w:rPr>
              <w:t>PostGIS</w:t>
            </w:r>
          </w:p>
        </w:tc>
        <w:tc>
          <w:tcPr>
            <w:tcW w:type="dxa" w:w="3312"/>
            <w:vAlign w:val="center"/>
          </w:tcPr>
          <w:p>
            <w:pPr>
              <w:spacing w:after="0"/>
            </w:pPr>
            <w:r/>
            <w:r>
              <w:rPr>
                <w:rFonts w:ascii="Microsoft YaHei" w:hAnsi="Microsoft YaHei" w:eastAsia="Microsoft YaHei"/>
                <w:b w:val="0"/>
                <w:sz w:val="17"/>
              </w:rPr>
              <w:t>后续需要空间查询时使用</w:t>
            </w:r>
          </w:p>
        </w:tc>
      </w:tr>
      <w:tr>
        <w:tc>
          <w:tcPr>
            <w:tcW w:type="dxa" w:w="3312"/>
            <w:vAlign w:val="center"/>
            <w:shd w:fill="F3F5F7"/>
          </w:tcPr>
          <w:p>
            <w:pPr>
              <w:spacing w:after="0"/>
            </w:pPr>
            <w:r/>
            <w:r>
              <w:rPr>
                <w:rFonts w:ascii="Microsoft YaHei" w:hAnsi="Microsoft YaHei" w:eastAsia="Microsoft YaHei"/>
                <w:b w:val="0"/>
                <w:sz w:val="17"/>
              </w:rPr>
              <w:t>部署</w:t>
            </w:r>
          </w:p>
        </w:tc>
        <w:tc>
          <w:tcPr>
            <w:tcW w:type="dxa" w:w="3312"/>
            <w:vAlign w:val="center"/>
            <w:shd w:fill="F3F5F7"/>
          </w:tcPr>
          <w:p>
            <w:pPr>
              <w:spacing w:after="0"/>
            </w:pPr>
            <w:r/>
            <w:r>
              <w:rPr>
                <w:rFonts w:ascii="Microsoft YaHei" w:hAnsi="Microsoft YaHei" w:eastAsia="Microsoft YaHei"/>
                <w:b w:val="0"/>
                <w:sz w:val="17"/>
              </w:rPr>
              <w:t>云服务器 + HTTPS</w:t>
            </w:r>
          </w:p>
        </w:tc>
        <w:tc>
          <w:tcPr>
            <w:tcW w:type="dxa" w:w="3312"/>
            <w:vAlign w:val="center"/>
            <w:shd w:fill="F3F5F7"/>
          </w:tcPr>
          <w:p>
            <w:pPr>
              <w:spacing w:after="0"/>
            </w:pPr>
            <w:r/>
            <w:r>
              <w:rPr>
                <w:rFonts w:ascii="Microsoft YaHei" w:hAnsi="Microsoft YaHei" w:eastAsia="Microsoft YaHei"/>
                <w:b w:val="0"/>
                <w:sz w:val="17"/>
              </w:rPr>
              <w:t>公开访问与安全传输</w:t>
            </w:r>
          </w:p>
        </w:tc>
      </w:tr>
    </w:tbl>
    <w:p/>
    <w:p>
      <w:pPr>
        <w:pStyle w:val="Heading1"/>
      </w:pPr>
      <w:r>
        <w:t>十一、开发排期</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374B"/>
          </w:tcPr>
          <w:p>
            <w:pPr>
              <w:spacing w:after="0"/>
            </w:pPr>
            <w:r/>
            <w:r>
              <w:rPr>
                <w:rFonts w:ascii="Microsoft YaHei" w:hAnsi="Microsoft YaHei" w:eastAsia="Microsoft YaHei"/>
                <w:b/>
                <w:color w:val="FFFFFF"/>
                <w:sz w:val="18"/>
              </w:rPr>
              <w:t>阶段</w:t>
            </w:r>
          </w:p>
        </w:tc>
        <w:tc>
          <w:tcPr>
            <w:tcW w:type="dxa" w:w="3312"/>
            <w:vAlign w:val="center"/>
            <w:shd w:fill="23374B"/>
          </w:tcPr>
          <w:p>
            <w:pPr>
              <w:spacing w:after="0"/>
            </w:pPr>
            <w:r/>
            <w:r>
              <w:rPr>
                <w:rFonts w:ascii="Microsoft YaHei" w:hAnsi="Microsoft YaHei" w:eastAsia="Microsoft YaHei"/>
                <w:b/>
                <w:color w:val="FFFFFF"/>
                <w:sz w:val="18"/>
              </w:rPr>
              <w:t>预估时间</w:t>
            </w:r>
          </w:p>
        </w:tc>
        <w:tc>
          <w:tcPr>
            <w:tcW w:type="dxa" w:w="3312"/>
            <w:vAlign w:val="center"/>
            <w:shd w:fill="23374B"/>
          </w:tcPr>
          <w:p>
            <w:pPr>
              <w:spacing w:after="0"/>
            </w:pPr>
            <w:r/>
            <w:r>
              <w:rPr>
                <w:rFonts w:ascii="Microsoft YaHei" w:hAnsi="Microsoft YaHei" w:eastAsia="Microsoft YaHei"/>
                <w:b/>
                <w:color w:val="FFFFFF"/>
                <w:sz w:val="18"/>
              </w:rPr>
              <w:t>交付成果</w:t>
            </w:r>
          </w:p>
        </w:tc>
      </w:tr>
      <w:tr>
        <w:tc>
          <w:tcPr>
            <w:tcW w:type="dxa" w:w="3312"/>
            <w:vAlign w:val="center"/>
          </w:tcPr>
          <w:p>
            <w:pPr>
              <w:spacing w:after="0"/>
            </w:pPr>
            <w:r/>
            <w:r>
              <w:rPr>
                <w:rFonts w:ascii="Microsoft YaHei" w:hAnsi="Microsoft YaHei" w:eastAsia="Microsoft YaHei"/>
                <w:b w:val="0"/>
                <w:sz w:val="17"/>
              </w:rPr>
              <w:t>第1阶段：静态界面</w:t>
            </w:r>
          </w:p>
        </w:tc>
        <w:tc>
          <w:tcPr>
            <w:tcW w:type="dxa" w:w="3312"/>
            <w:vAlign w:val="center"/>
          </w:tcPr>
          <w:p>
            <w:pPr>
              <w:spacing w:after="0"/>
            </w:pPr>
            <w:r/>
            <w:r>
              <w:rPr>
                <w:rFonts w:ascii="Microsoft YaHei" w:hAnsi="Microsoft YaHei" w:eastAsia="Microsoft YaHei"/>
                <w:b w:val="0"/>
                <w:sz w:val="17"/>
              </w:rPr>
              <w:t>1–2周</w:t>
            </w:r>
          </w:p>
        </w:tc>
        <w:tc>
          <w:tcPr>
            <w:tcW w:type="dxa" w:w="3312"/>
            <w:vAlign w:val="center"/>
          </w:tcPr>
          <w:p>
            <w:pPr>
              <w:spacing w:after="0"/>
            </w:pPr>
            <w:r/>
            <w:r>
              <w:rPr>
                <w:rFonts w:ascii="Microsoft YaHei" w:hAnsi="Microsoft YaHei" w:eastAsia="Microsoft YaHei"/>
                <w:b w:val="0"/>
                <w:sz w:val="17"/>
              </w:rPr>
              <w:t>首页、导航、角色档案、工作台、数据看板</w:t>
            </w:r>
          </w:p>
        </w:tc>
      </w:tr>
      <w:tr>
        <w:tc>
          <w:tcPr>
            <w:tcW w:type="dxa" w:w="3312"/>
            <w:vAlign w:val="center"/>
            <w:shd w:fill="F3F5F7"/>
          </w:tcPr>
          <w:p>
            <w:pPr>
              <w:spacing w:after="0"/>
            </w:pPr>
            <w:r/>
            <w:r>
              <w:rPr>
                <w:rFonts w:ascii="Microsoft YaHei" w:hAnsi="Microsoft YaHei" w:eastAsia="Microsoft YaHei"/>
                <w:b w:val="0"/>
                <w:sz w:val="17"/>
              </w:rPr>
              <w:t>第2阶段：北京地图</w:t>
            </w:r>
          </w:p>
        </w:tc>
        <w:tc>
          <w:tcPr>
            <w:tcW w:type="dxa" w:w="3312"/>
            <w:vAlign w:val="center"/>
            <w:shd w:fill="F3F5F7"/>
          </w:tcPr>
          <w:p>
            <w:pPr>
              <w:spacing w:after="0"/>
            </w:pPr>
            <w:r/>
            <w:r>
              <w:rPr>
                <w:rFonts w:ascii="Microsoft YaHei" w:hAnsi="Microsoft YaHei" w:eastAsia="Microsoft YaHei"/>
                <w:b w:val="0"/>
                <w:sz w:val="17"/>
              </w:rPr>
              <w:t>2–3周</w:t>
            </w:r>
          </w:p>
        </w:tc>
        <w:tc>
          <w:tcPr>
            <w:tcW w:type="dxa" w:w="3312"/>
            <w:vAlign w:val="center"/>
            <w:shd w:fill="F3F5F7"/>
          </w:tcPr>
          <w:p>
            <w:pPr>
              <w:spacing w:after="0"/>
            </w:pPr>
            <w:r/>
            <w:r>
              <w:rPr>
                <w:rFonts w:ascii="Microsoft YaHei" w:hAnsi="Microsoft YaHei" w:eastAsia="Microsoft YaHei"/>
                <w:b w:val="0"/>
                <w:sz w:val="17"/>
              </w:rPr>
              <w:t>区划数据、区级地图、街道列表和区域详情</w:t>
            </w:r>
          </w:p>
        </w:tc>
      </w:tr>
      <w:tr>
        <w:tc>
          <w:tcPr>
            <w:tcW w:type="dxa" w:w="3312"/>
            <w:vAlign w:val="center"/>
          </w:tcPr>
          <w:p>
            <w:pPr>
              <w:spacing w:after="0"/>
            </w:pPr>
            <w:r/>
            <w:r>
              <w:rPr>
                <w:rFonts w:ascii="Microsoft YaHei" w:hAnsi="Microsoft YaHei" w:eastAsia="Microsoft YaHei"/>
                <w:b w:val="0"/>
                <w:sz w:val="17"/>
              </w:rPr>
              <w:t>第3阶段：核心玩法</w:t>
            </w:r>
          </w:p>
        </w:tc>
        <w:tc>
          <w:tcPr>
            <w:tcW w:type="dxa" w:w="3312"/>
            <w:vAlign w:val="center"/>
          </w:tcPr>
          <w:p>
            <w:pPr>
              <w:spacing w:after="0"/>
            </w:pPr>
            <w:r/>
            <w:r>
              <w:rPr>
                <w:rFonts w:ascii="Microsoft YaHei" w:hAnsi="Microsoft YaHei" w:eastAsia="Microsoft YaHei"/>
                <w:b w:val="0"/>
                <w:sz w:val="17"/>
              </w:rPr>
              <w:t>2–3周</w:t>
            </w:r>
          </w:p>
        </w:tc>
        <w:tc>
          <w:tcPr>
            <w:tcW w:type="dxa" w:w="3312"/>
            <w:vAlign w:val="center"/>
          </w:tcPr>
          <w:p>
            <w:pPr>
              <w:spacing w:after="0"/>
            </w:pPr>
            <w:r/>
            <w:r>
              <w:rPr>
                <w:rFonts w:ascii="Microsoft YaHei" w:hAnsi="Microsoft YaHei" w:eastAsia="Microsoft YaHei"/>
                <w:b w:val="0"/>
                <w:sz w:val="17"/>
              </w:rPr>
              <w:t>任务、政策、预算、项目、季度推进、存档</w:t>
            </w:r>
          </w:p>
        </w:tc>
      </w:tr>
      <w:tr>
        <w:tc>
          <w:tcPr>
            <w:tcW w:type="dxa" w:w="3312"/>
            <w:vAlign w:val="center"/>
            <w:shd w:fill="F3F5F7"/>
          </w:tcPr>
          <w:p>
            <w:pPr>
              <w:spacing w:after="0"/>
            </w:pPr>
            <w:r/>
            <w:r>
              <w:rPr>
                <w:rFonts w:ascii="Microsoft YaHei" w:hAnsi="Microsoft YaHei" w:eastAsia="Microsoft YaHei"/>
                <w:b w:val="0"/>
                <w:sz w:val="17"/>
              </w:rPr>
              <w:t>第4阶段：真实数据</w:t>
            </w:r>
          </w:p>
        </w:tc>
        <w:tc>
          <w:tcPr>
            <w:tcW w:type="dxa" w:w="3312"/>
            <w:vAlign w:val="center"/>
            <w:shd w:fill="F3F5F7"/>
          </w:tcPr>
          <w:p>
            <w:pPr>
              <w:spacing w:after="0"/>
            </w:pPr>
            <w:r/>
            <w:r>
              <w:rPr>
                <w:rFonts w:ascii="Microsoft YaHei" w:hAnsi="Microsoft YaHei" w:eastAsia="Microsoft YaHei"/>
                <w:b w:val="0"/>
                <w:sz w:val="17"/>
              </w:rPr>
              <w:t>1–2周</w:t>
            </w:r>
          </w:p>
        </w:tc>
        <w:tc>
          <w:tcPr>
            <w:tcW w:type="dxa" w:w="3312"/>
            <w:vAlign w:val="center"/>
            <w:shd w:fill="F3F5F7"/>
          </w:tcPr>
          <w:p>
            <w:pPr>
              <w:spacing w:after="0"/>
            </w:pPr>
            <w:r/>
            <w:r>
              <w:rPr>
                <w:rFonts w:ascii="Microsoft YaHei" w:hAnsi="Microsoft YaHei" w:eastAsia="Microsoft YaHei"/>
                <w:b w:val="0"/>
                <w:sz w:val="17"/>
              </w:rPr>
              <w:t>接入首批公开指标，展示来源、年份和单位</w:t>
            </w:r>
          </w:p>
        </w:tc>
      </w:tr>
      <w:tr>
        <w:tc>
          <w:tcPr>
            <w:tcW w:type="dxa" w:w="3312"/>
            <w:vAlign w:val="center"/>
          </w:tcPr>
          <w:p>
            <w:pPr>
              <w:spacing w:after="0"/>
            </w:pPr>
            <w:r/>
            <w:r>
              <w:rPr>
                <w:rFonts w:ascii="Microsoft YaHei" w:hAnsi="Microsoft YaHei" w:eastAsia="Microsoft YaHei"/>
                <w:b w:val="0"/>
                <w:sz w:val="17"/>
              </w:rPr>
              <w:t>第5阶段：测试部署</w:t>
            </w:r>
          </w:p>
        </w:tc>
        <w:tc>
          <w:tcPr>
            <w:tcW w:type="dxa" w:w="3312"/>
            <w:vAlign w:val="center"/>
          </w:tcPr>
          <w:p>
            <w:pPr>
              <w:spacing w:after="0"/>
            </w:pPr>
            <w:r/>
            <w:r>
              <w:rPr>
                <w:rFonts w:ascii="Microsoft YaHei" w:hAnsi="Microsoft YaHei" w:eastAsia="Microsoft YaHei"/>
                <w:b w:val="0"/>
                <w:sz w:val="17"/>
              </w:rPr>
              <w:t>1周</w:t>
            </w:r>
          </w:p>
        </w:tc>
        <w:tc>
          <w:tcPr>
            <w:tcW w:type="dxa" w:w="3312"/>
            <w:vAlign w:val="center"/>
          </w:tcPr>
          <w:p>
            <w:pPr>
              <w:spacing w:after="0"/>
            </w:pPr>
            <w:r/>
            <w:r>
              <w:rPr>
                <w:rFonts w:ascii="Microsoft YaHei" w:hAnsi="Microsoft YaHei" w:eastAsia="Microsoft YaHei"/>
                <w:b w:val="0"/>
                <w:sz w:val="17"/>
              </w:rPr>
              <w:t>存档恢复、边界情况、响应式布局和线上部署</w:t>
            </w:r>
          </w:p>
        </w:tc>
      </w:tr>
    </w:tbl>
    <w:p/>
    <w:p>
      <w:r>
        <w:t>若由熟悉 React 与数据库的开发者独立完成，可先按约6–10周规划可玩第一版；从零学习编程则需额外安排学习时间。排期会受到地图数据授权、数据清洗和部署经验影响。</w:t>
      </w:r>
    </w:p>
    <w:p>
      <w:pPr>
        <w:pStyle w:val="Heading1"/>
      </w:pPr>
      <w:r>
        <w:t>十二、第一版验收清单</w:t>
      </w:r>
    </w:p>
    <w:p>
      <w:pPr>
        <w:pStyle w:val="ListBullet"/>
        <w:spacing w:after="40"/>
      </w:pPr>
      <w:r>
        <w:t>□ 打开网页可以开始新游戏并创建角色。</w:t>
      </w:r>
    </w:p>
    <w:p>
      <w:pPr>
        <w:pStyle w:val="ListBullet"/>
        <w:spacing w:after="40"/>
      </w:pPr>
      <w:r>
        <w:t>□ 可查看北京市16个区，并查看区级详情与街道/镇乡清单。</w:t>
      </w:r>
    </w:p>
    <w:p>
      <w:pPr>
        <w:pStyle w:val="ListBullet"/>
        <w:spacing w:after="40"/>
      </w:pPr>
      <w:r>
        <w:t>□ 真实公开数据显示来源、统计期和单位。</w:t>
      </w:r>
    </w:p>
    <w:p>
      <w:pPr>
        <w:pStyle w:val="ListBullet"/>
        <w:spacing w:after="40"/>
      </w:pPr>
      <w:r>
        <w:t>□ 真实统计与游戏模拟数据有明显区别。</w:t>
      </w:r>
    </w:p>
    <w:p>
      <w:pPr>
        <w:pStyle w:val="ListBullet"/>
        <w:spacing w:after="40"/>
      </w:pPr>
      <w:r>
        <w:t>□ 玩家能接收任务、选择政策、分配项目预算。</w:t>
      </w:r>
    </w:p>
    <w:p>
      <w:pPr>
        <w:pStyle w:val="ListBullet"/>
        <w:spacing w:after="40"/>
      </w:pPr>
      <w:r>
        <w:t>□ 推进季度后，项目、财政、事件与考核发生合理变化。</w:t>
      </w:r>
    </w:p>
    <w:p>
      <w:pPr>
        <w:pStyle w:val="ListBullet"/>
        <w:spacing w:after="40"/>
      </w:pPr>
      <w:r>
        <w:t>□ 年度结束生成考核报告，并提供后续岗位发展机会。</w:t>
      </w:r>
    </w:p>
    <w:p>
      <w:pPr>
        <w:pStyle w:val="ListBullet"/>
        <w:spacing w:after="40"/>
      </w:pPr>
      <w:r>
        <w:t>□ 关闭浏览器后可以恢复之前的存档。</w:t>
      </w:r>
    </w:p>
    <w:p>
      <w:pPr>
        <w:pStyle w:val="ListBullet"/>
        <w:spacing w:after="40"/>
      </w:pPr>
      <w:r>
        <w:t>□ 地图缩放、区域搜索、手机端布局和数据缺失状态可正常使用。</w:t>
      </w:r>
    </w:p>
    <w:p>
      <w:pPr>
        <w:pStyle w:val="ListBullet"/>
        <w:spacing w:after="40"/>
      </w:pPr>
      <w:r>
        <w:t>□ 重复提交季度推进不会重复结算。</w:t>
      </w:r>
    </w:p>
    <w:p>
      <w:pPr>
        <w:pStyle w:val="Heading1"/>
      </w:pPr>
      <w:r>
        <w:t>十三、推荐开发顺序与风险控制</w:t>
      </w:r>
    </w:p>
    <w:p>
      <w:pPr>
        <w:pStyle w:val="ListBullet"/>
        <w:spacing w:after="40"/>
      </w:pPr>
      <w:r>
        <w:t>先完成工作台、北京区划地图、季度推进与存档四项骨架，再扩展复杂人物关系。</w:t>
      </w:r>
    </w:p>
    <w:p>
      <w:pPr>
        <w:pStyle w:val="ListBullet"/>
        <w:spacing w:after="40"/>
      </w:pPr>
      <w:r>
        <w:t>先接入少量稳定、来源清晰的真实指标，再逐步增加指标数量。</w:t>
      </w:r>
    </w:p>
    <w:p>
      <w:pPr>
        <w:pStyle w:val="ListBullet"/>
        <w:spacing w:after="40"/>
      </w:pPr>
      <w:r>
        <w:t>把真实数据采集、游戏模拟和前端展示分层实现，避免模拟结果污染真实统计数据。</w:t>
      </w:r>
    </w:p>
    <w:p>
      <w:pPr>
        <w:pStyle w:val="ListBullet"/>
        <w:spacing w:after="40"/>
      </w:pPr>
      <w:r>
        <w:t>对每个地图数据集记录来源、许可、坐标系和更新时间；对每项统计指标记录口径与统计期。</w:t>
      </w:r>
    </w:p>
    <w:p>
      <w:pPr>
        <w:pStyle w:val="ListBullet"/>
        <w:spacing w:after="40"/>
      </w:pPr>
      <w:r>
        <w:t>先做本地单人存档，只有确实需要跨设备同步时再增加用户账户和云端存档。</w:t>
      </w:r>
    </w:p>
    <w:p>
      <w:pPr>
        <w:pStyle w:val="ListBullet"/>
        <w:spacing w:after="40"/>
      </w:pPr>
      <w:r>
        <w:t>使用虚构人物、虚构单位与明确标注的游戏职位，避免造成真实政务系统或真实人物信息的误认。</w:t>
      </w:r>
    </w:p>
    <w:p>
      <w:pPr>
        <w:pStyle w:val="Heading1"/>
      </w:pPr>
      <w:r>
        <w:t>附录：开发参考链接</w:t>
      </w:r>
    </w:p>
    <w:p>
      <w:pPr>
        <w:pStyle w:val="ListBullet"/>
      </w:pPr>
      <w:r>
        <w:t>北京市公共数据开放平台：https://data.beijing.gov.cn/</w:t>
      </w:r>
    </w:p>
    <w:p>
      <w:pPr>
        <w:pStyle w:val="ListBullet"/>
      </w:pPr>
      <w:r>
        <w:t>北京市统计局：https://tjj.beijing.gov.cn/tjsj_31433/</w:t>
      </w:r>
    </w:p>
    <w:p>
      <w:pPr>
        <w:pStyle w:val="ListBullet"/>
      </w:pPr>
      <w:r>
        <w:t>北京市政务服务地图：https://map.beijing.gov.cn/zwfwmap</w:t>
      </w:r>
    </w:p>
    <w:p>
      <w:pPr>
        <w:pStyle w:val="ListBullet"/>
      </w:pPr>
      <w:r>
        <w:t>Leaflet 官方文档：https://leafletjs.com/reference.html</w:t>
      </w:r>
    </w:p>
    <w:p>
      <w:pPr>
        <w:pStyle w:val="ListBullet"/>
      </w:pPr>
      <w:r>
        <w:t>PostgreSQL 官方文档：https://www.postgresql.org/docs/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《京华·仕途》网页版官场模拟游戏开发方案  |  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337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8D29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