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10A703" w14:textId="77777777" w:rsidR="00684685" w:rsidRPr="006A7D36" w:rsidRDefault="00684685" w:rsidP="006A7D36">
      <w:pPr>
        <w:shd w:val="clear" w:color="auto" w:fill="DDEEFF"/>
        <w:spacing w:before="160" w:after="80"/>
        <w:jc w:val="both"/>
        <w:rPr>
          <w:color w:val="000000" w:themeColor="text1"/>
        </w:rPr>
      </w:pPr>
      <w:r w:rsidRPr="006A7D36">
        <w:rPr>
          <w:b/>
          <w:bCs/>
          <w:color w:val="000000" w:themeColor="text1"/>
          <w:sz w:val="24"/>
          <w:szCs w:val="24"/>
        </w:rPr>
        <w:t xml:space="preserve">  TFI </w:t>
      </w:r>
      <w:proofErr w:type="spellStart"/>
      <w:r w:rsidRPr="006A7D36">
        <w:rPr>
          <w:b/>
          <w:bCs/>
          <w:color w:val="000000" w:themeColor="text1"/>
          <w:sz w:val="24"/>
          <w:szCs w:val="24"/>
        </w:rPr>
        <w:t>N.°</w:t>
      </w:r>
      <w:proofErr w:type="spellEnd"/>
      <w:r w:rsidRPr="006A7D36">
        <w:rPr>
          <w:b/>
          <w:bCs/>
          <w:color w:val="000000" w:themeColor="text1"/>
          <w:sz w:val="24"/>
          <w:szCs w:val="24"/>
        </w:rPr>
        <w:t xml:space="preserve"> 11 </w:t>
      </w:r>
      <w:r w:rsidRPr="006A7D36">
        <w:rPr>
          <w:b/>
          <w:bCs/>
          <w:color w:val="000000" w:themeColor="text1"/>
          <w:sz w:val="22"/>
          <w:szCs w:val="22"/>
        </w:rPr>
        <w:t>| Auditoría de Cumplimiento PCI-DSS en una Procesadora de Tarjetas</w:t>
      </w:r>
    </w:p>
    <w:p w14:paraId="28B3B27A" w14:textId="77777777" w:rsidR="00684685" w:rsidRPr="006A7D36" w:rsidRDefault="00684685" w:rsidP="006A7D36">
      <w:pPr>
        <w:spacing w:after="60"/>
        <w:jc w:val="both"/>
        <w:rPr>
          <w:b/>
          <w:bCs/>
          <w:color w:val="000000" w:themeColor="text1"/>
          <w:sz w:val="19"/>
          <w:szCs w:val="19"/>
        </w:rPr>
      </w:pPr>
    </w:p>
    <w:p w14:paraId="10D2AA38" w14:textId="77777777" w:rsidR="00684685" w:rsidRPr="006A7D36" w:rsidRDefault="00684685" w:rsidP="006A7D36">
      <w:pPr>
        <w:spacing w:after="60"/>
        <w:jc w:val="both"/>
        <w:rPr>
          <w:color w:val="000000" w:themeColor="text1"/>
        </w:rPr>
      </w:pPr>
      <w:r w:rsidRPr="006A7D36">
        <w:rPr>
          <w:b/>
          <w:bCs/>
          <w:color w:val="000000" w:themeColor="text1"/>
          <w:sz w:val="19"/>
          <w:szCs w:val="19"/>
        </w:rPr>
        <w:t xml:space="preserve">Organización de referencia: </w:t>
      </w:r>
      <w:r w:rsidRPr="006A7D36">
        <w:rPr>
          <w:i/>
          <w:iCs/>
          <w:color w:val="000000" w:themeColor="text1"/>
          <w:sz w:val="19"/>
          <w:szCs w:val="19"/>
        </w:rPr>
        <w:t>Procesadora "</w:t>
      </w:r>
      <w:proofErr w:type="spellStart"/>
      <w:r w:rsidRPr="006A7D36">
        <w:rPr>
          <w:i/>
          <w:iCs/>
          <w:color w:val="000000" w:themeColor="text1"/>
          <w:sz w:val="19"/>
          <w:szCs w:val="19"/>
        </w:rPr>
        <w:t>CardProcess</w:t>
      </w:r>
      <w:proofErr w:type="spellEnd"/>
      <w:r w:rsidRPr="006A7D36">
        <w:rPr>
          <w:i/>
          <w:iCs/>
          <w:color w:val="000000" w:themeColor="text1"/>
          <w:sz w:val="19"/>
          <w:szCs w:val="19"/>
        </w:rPr>
        <w:t xml:space="preserve"> S.A." (organización ficticia)</w:t>
      </w:r>
    </w:p>
    <w:p w14:paraId="7CD8ED26" w14:textId="77777777" w:rsidR="00684685" w:rsidRPr="006A7D36" w:rsidRDefault="00684685" w:rsidP="006A7D36">
      <w:pPr>
        <w:spacing w:after="60"/>
        <w:jc w:val="both"/>
        <w:rPr>
          <w:color w:val="000000" w:themeColor="text1"/>
        </w:rPr>
      </w:pPr>
      <w:r w:rsidRPr="006A7D36">
        <w:rPr>
          <w:b/>
          <w:bCs/>
          <w:color w:val="000000" w:themeColor="text1"/>
          <w:sz w:val="19"/>
          <w:szCs w:val="19"/>
        </w:rPr>
        <w:t xml:space="preserve">Estándar / Marco principal: </w:t>
      </w:r>
      <w:r w:rsidRPr="006A7D36">
        <w:rPr>
          <w:i/>
          <w:iCs/>
          <w:color w:val="000000" w:themeColor="text1"/>
          <w:sz w:val="19"/>
          <w:szCs w:val="19"/>
        </w:rPr>
        <w:t>PCI-DSS v4.0.1 — Requisitos 1, 2, 7 y 10</w:t>
      </w:r>
    </w:p>
    <w:p w14:paraId="290EBD99" w14:textId="77777777" w:rsidR="00684685" w:rsidRPr="006A7D36" w:rsidRDefault="00684685" w:rsidP="006A7D36">
      <w:pPr>
        <w:spacing w:after="80"/>
        <w:jc w:val="both"/>
        <w:rPr>
          <w:color w:val="000000" w:themeColor="text1"/>
        </w:rPr>
      </w:pPr>
      <w:r w:rsidRPr="006A7D36">
        <w:rPr>
          <w:i/>
          <w:iCs/>
          <w:color w:val="000000" w:themeColor="text1"/>
        </w:rPr>
        <w:t xml:space="preserve">El grupo auditará el cumplimiento del estándar PCI-DSS v4.0.1 en una procesadora ficticia de transacciones con tarjetas, evaluando el </w:t>
      </w:r>
      <w:proofErr w:type="spellStart"/>
      <w:r w:rsidRPr="006A7D36">
        <w:rPr>
          <w:i/>
          <w:iCs/>
          <w:color w:val="000000" w:themeColor="text1"/>
        </w:rPr>
        <w:t>Cardholder</w:t>
      </w:r>
      <w:proofErr w:type="spellEnd"/>
      <w:r w:rsidRPr="006A7D36">
        <w:rPr>
          <w:i/>
          <w:iCs/>
          <w:color w:val="000000" w:themeColor="text1"/>
        </w:rPr>
        <w:t xml:space="preserve"> Data </w:t>
      </w:r>
      <w:proofErr w:type="spellStart"/>
      <w:r w:rsidRPr="006A7D36">
        <w:rPr>
          <w:i/>
          <w:iCs/>
          <w:color w:val="000000" w:themeColor="text1"/>
        </w:rPr>
        <w:t>Environment</w:t>
      </w:r>
      <w:proofErr w:type="spellEnd"/>
      <w:r w:rsidRPr="006A7D36">
        <w:rPr>
          <w:i/>
          <w:iCs/>
          <w:color w:val="000000" w:themeColor="text1"/>
        </w:rPr>
        <w:t xml:space="preserve"> (CDE) con foco en red, configuración segura, control de acceso y monitoreo.</w:t>
      </w:r>
    </w:p>
    <w:p w14:paraId="358C548C" w14:textId="77777777" w:rsidR="00684685" w:rsidRPr="006A7D36" w:rsidRDefault="00684685" w:rsidP="006A7D36">
      <w:pPr>
        <w:spacing w:before="160" w:after="60"/>
        <w:jc w:val="both"/>
        <w:rPr>
          <w:color w:val="000000" w:themeColor="text1"/>
        </w:rPr>
      </w:pPr>
      <w:r w:rsidRPr="006A7D36">
        <w:rPr>
          <w:b/>
          <w:bCs/>
          <w:color w:val="000000" w:themeColor="text1"/>
          <w:sz w:val="22"/>
          <w:szCs w:val="22"/>
        </w:rPr>
        <w:t>CONTEXTO Y ELEMENTOS A CONSTRUIR (organización ficticia)</w:t>
      </w:r>
    </w:p>
    <w:p w14:paraId="63946103" w14:textId="77777777" w:rsidR="00684685" w:rsidRPr="006A7D36" w:rsidRDefault="00684685" w:rsidP="006A7D36">
      <w:pPr>
        <w:pStyle w:val="Prrafodelista"/>
        <w:numPr>
          <w:ilvl w:val="0"/>
          <w:numId w:val="2"/>
        </w:numPr>
        <w:spacing w:after="56"/>
        <w:contextualSpacing w:val="0"/>
        <w:jc w:val="both"/>
        <w:rPr>
          <w:color w:val="000000" w:themeColor="text1"/>
        </w:rPr>
      </w:pPr>
      <w:r w:rsidRPr="006A7D36">
        <w:rPr>
          <w:color w:val="000000" w:themeColor="text1"/>
          <w:sz w:val="19"/>
          <w:szCs w:val="19"/>
        </w:rPr>
        <w:t>1. Definir el CDE: servidores de procesamiento, base de datos de tarjetas y terminales de operación.</w:t>
      </w:r>
    </w:p>
    <w:p w14:paraId="4E5AAE58" w14:textId="77777777" w:rsidR="00684685" w:rsidRPr="006A7D36" w:rsidRDefault="00684685" w:rsidP="006A7D36">
      <w:pPr>
        <w:pStyle w:val="Prrafodelista"/>
        <w:numPr>
          <w:ilvl w:val="0"/>
          <w:numId w:val="2"/>
        </w:numPr>
        <w:spacing w:after="56"/>
        <w:contextualSpacing w:val="0"/>
        <w:jc w:val="both"/>
        <w:rPr>
          <w:color w:val="000000" w:themeColor="text1"/>
        </w:rPr>
      </w:pPr>
      <w:r w:rsidRPr="006A7D36">
        <w:rPr>
          <w:color w:val="000000" w:themeColor="text1"/>
          <w:sz w:val="19"/>
          <w:szCs w:val="19"/>
        </w:rPr>
        <w:t>2. Diseñar la red interna del CDE con diagrama de flujo de datos de tarjetahabientes.</w:t>
      </w:r>
    </w:p>
    <w:p w14:paraId="07DF4249" w14:textId="77777777" w:rsidR="00684685" w:rsidRPr="006A7D36" w:rsidRDefault="00684685" w:rsidP="006A7D36">
      <w:pPr>
        <w:pStyle w:val="Prrafodelista"/>
        <w:numPr>
          <w:ilvl w:val="0"/>
          <w:numId w:val="2"/>
        </w:numPr>
        <w:spacing w:after="56"/>
        <w:contextualSpacing w:val="0"/>
        <w:jc w:val="both"/>
        <w:rPr>
          <w:color w:val="000000" w:themeColor="text1"/>
        </w:rPr>
      </w:pPr>
      <w:r w:rsidRPr="006A7D36">
        <w:rPr>
          <w:color w:val="000000" w:themeColor="text1"/>
          <w:sz w:val="19"/>
          <w:szCs w:val="19"/>
        </w:rPr>
        <w:t>3. Crear configuraciones ficticias de dispositivos con deficiencias: puertos innecesarios abiertos, credenciales por defecto.</w:t>
      </w:r>
    </w:p>
    <w:p w14:paraId="1AFE959B" w14:textId="77777777" w:rsidR="00684685" w:rsidRPr="006A7D36" w:rsidRDefault="00684685" w:rsidP="006A7D36">
      <w:pPr>
        <w:pStyle w:val="Prrafodelista"/>
        <w:numPr>
          <w:ilvl w:val="0"/>
          <w:numId w:val="2"/>
        </w:numPr>
        <w:spacing w:after="56"/>
        <w:contextualSpacing w:val="0"/>
        <w:jc w:val="both"/>
        <w:rPr>
          <w:color w:val="000000" w:themeColor="text1"/>
        </w:rPr>
      </w:pPr>
      <w:r w:rsidRPr="006A7D36">
        <w:rPr>
          <w:color w:val="000000" w:themeColor="text1"/>
          <w:sz w:val="19"/>
          <w:szCs w:val="19"/>
        </w:rPr>
        <w:t>4. Inventar un registro de logs de acceso al CDE de los últimos 30 días con anomalías ficticias detectables.</w:t>
      </w:r>
    </w:p>
    <w:p w14:paraId="33BE1FCB" w14:textId="77777777" w:rsidR="00684685" w:rsidRPr="006A7D36" w:rsidRDefault="00684685" w:rsidP="006A7D36">
      <w:pPr>
        <w:spacing w:before="160" w:after="60"/>
        <w:jc w:val="both"/>
        <w:rPr>
          <w:color w:val="000000" w:themeColor="text1"/>
        </w:rPr>
      </w:pPr>
      <w:r w:rsidRPr="006A7D36">
        <w:rPr>
          <w:b/>
          <w:bCs/>
          <w:color w:val="000000" w:themeColor="text1"/>
          <w:sz w:val="22"/>
          <w:szCs w:val="22"/>
        </w:rPr>
        <w:t>OBJETIVOS DE CONTROL A EVALUAR (3 OC obligatorios)</w:t>
      </w:r>
    </w:p>
    <w:p w14:paraId="1FD68956" w14:textId="77777777" w:rsidR="00684685" w:rsidRPr="006A7D36" w:rsidRDefault="00684685" w:rsidP="006A7D36">
      <w:pPr>
        <w:spacing w:after="80"/>
        <w:jc w:val="both"/>
        <w:rPr>
          <w:color w:val="000000" w:themeColor="text1"/>
        </w:rPr>
      </w:pPr>
      <w:r w:rsidRPr="006A7D36">
        <w:rPr>
          <w:color w:val="000000" w:themeColor="text1"/>
        </w:rPr>
        <w:t>El grupo debe desarrollar pruebas de auditoría, papeles de trabajo y observaciones para cada uno de los siguientes 3 Objetivos de Control:</w:t>
      </w:r>
    </w:p>
    <w:p w14:paraId="045F72E0" w14:textId="77777777" w:rsidR="00684685" w:rsidRPr="006A7D36" w:rsidRDefault="00684685" w:rsidP="006A7D36">
      <w:pPr>
        <w:shd w:val="clear" w:color="auto" w:fill="DDEEFF"/>
        <w:spacing w:before="120" w:after="60"/>
        <w:jc w:val="both"/>
        <w:rPr>
          <w:color w:val="000000" w:themeColor="text1"/>
        </w:rPr>
      </w:pPr>
      <w:r w:rsidRPr="006A7D36">
        <w:rPr>
          <w:b/>
          <w:bCs/>
          <w:color w:val="000000" w:themeColor="text1"/>
          <w:sz w:val="21"/>
          <w:szCs w:val="21"/>
        </w:rPr>
        <w:t xml:space="preserve">  OC-1 — Seguridad Lógica — Control de Acceso al CDE (PCI-DSS </w:t>
      </w:r>
      <w:proofErr w:type="spellStart"/>
      <w:r w:rsidRPr="006A7D36">
        <w:rPr>
          <w:b/>
          <w:bCs/>
          <w:color w:val="000000" w:themeColor="text1"/>
          <w:sz w:val="21"/>
          <w:szCs w:val="21"/>
        </w:rPr>
        <w:t>Req</w:t>
      </w:r>
      <w:proofErr w:type="spellEnd"/>
      <w:r w:rsidRPr="006A7D36">
        <w:rPr>
          <w:b/>
          <w:bCs/>
          <w:color w:val="000000" w:themeColor="text1"/>
          <w:sz w:val="21"/>
          <w:szCs w:val="21"/>
        </w:rPr>
        <w:t xml:space="preserve">. 7 y 8)  </w:t>
      </w:r>
    </w:p>
    <w:p w14:paraId="5CC6AB8D" w14:textId="77777777" w:rsidR="00684685" w:rsidRPr="006A7D36" w:rsidRDefault="00684685" w:rsidP="006A7D36">
      <w:pPr>
        <w:spacing w:after="80"/>
        <w:jc w:val="both"/>
        <w:rPr>
          <w:color w:val="000000" w:themeColor="text1"/>
        </w:rPr>
      </w:pPr>
      <w:r w:rsidRPr="006A7D36">
        <w:rPr>
          <w:i/>
          <w:iCs/>
          <w:color w:val="000000" w:themeColor="text1"/>
        </w:rPr>
        <w:t xml:space="preserve">Verificar que el acceso al </w:t>
      </w:r>
      <w:proofErr w:type="spellStart"/>
      <w:r w:rsidRPr="006A7D36">
        <w:rPr>
          <w:i/>
          <w:iCs/>
          <w:color w:val="000000" w:themeColor="text1"/>
        </w:rPr>
        <w:t>Cardholder</w:t>
      </w:r>
      <w:proofErr w:type="spellEnd"/>
      <w:r w:rsidRPr="006A7D36">
        <w:rPr>
          <w:i/>
          <w:iCs/>
          <w:color w:val="000000" w:themeColor="text1"/>
        </w:rPr>
        <w:t xml:space="preserve"> Data </w:t>
      </w:r>
      <w:proofErr w:type="spellStart"/>
      <w:r w:rsidRPr="006A7D36">
        <w:rPr>
          <w:i/>
          <w:iCs/>
          <w:color w:val="000000" w:themeColor="text1"/>
        </w:rPr>
        <w:t>Environment</w:t>
      </w:r>
      <w:proofErr w:type="spellEnd"/>
      <w:r w:rsidRPr="006A7D36">
        <w:rPr>
          <w:i/>
          <w:iCs/>
          <w:color w:val="000000" w:themeColor="text1"/>
        </w:rPr>
        <w:t xml:space="preserve"> está restringido a personas y sistemas con necesidad demostrada de negocio, que cada usuario tiene credenciales individuales y que la autenticación </w:t>
      </w:r>
      <w:proofErr w:type="spellStart"/>
      <w:r w:rsidRPr="006A7D36">
        <w:rPr>
          <w:i/>
          <w:iCs/>
          <w:color w:val="000000" w:themeColor="text1"/>
        </w:rPr>
        <w:t>multifactor</w:t>
      </w:r>
      <w:proofErr w:type="spellEnd"/>
      <w:r w:rsidRPr="006A7D36">
        <w:rPr>
          <w:i/>
          <w:iCs/>
          <w:color w:val="000000" w:themeColor="text1"/>
        </w:rPr>
        <w:t xml:space="preserve"> está habilitada para accesos remotos al CDE.</w:t>
      </w:r>
    </w:p>
    <w:p w14:paraId="4CB0388F" w14:textId="77777777" w:rsidR="00684685" w:rsidRPr="006A7D36" w:rsidRDefault="00684685" w:rsidP="006A7D36">
      <w:pPr>
        <w:spacing w:before="160" w:after="60"/>
        <w:jc w:val="both"/>
        <w:rPr>
          <w:color w:val="000000" w:themeColor="text1"/>
        </w:rPr>
      </w:pPr>
      <w:r w:rsidRPr="006A7D36">
        <w:rPr>
          <w:b/>
          <w:bCs/>
          <w:color w:val="000000" w:themeColor="text1"/>
          <w:sz w:val="22"/>
          <w:szCs w:val="22"/>
        </w:rPr>
        <w:t xml:space="preserve">   Pruebas de auditoría requeridas:</w:t>
      </w:r>
    </w:p>
    <w:p w14:paraId="1F7694DA" w14:textId="77777777" w:rsidR="00684685" w:rsidRPr="006A7D36" w:rsidRDefault="00684685" w:rsidP="006A7D36">
      <w:pPr>
        <w:pStyle w:val="Prrafodelista"/>
        <w:numPr>
          <w:ilvl w:val="0"/>
          <w:numId w:val="1"/>
        </w:numPr>
        <w:spacing w:after="56"/>
        <w:contextualSpacing w:val="0"/>
        <w:jc w:val="both"/>
        <w:rPr>
          <w:color w:val="000000" w:themeColor="text1"/>
        </w:rPr>
      </w:pPr>
      <w:r w:rsidRPr="006A7D36">
        <w:rPr>
          <w:color w:val="000000" w:themeColor="text1"/>
          <w:sz w:val="19"/>
          <w:szCs w:val="19"/>
        </w:rPr>
        <w:t>Verificar que cada usuario del CDE tiene credenciales individuales (no cuentas compartidas).</w:t>
      </w:r>
    </w:p>
    <w:p w14:paraId="23392CF0" w14:textId="77777777" w:rsidR="00684685" w:rsidRPr="006A7D36" w:rsidRDefault="00684685" w:rsidP="006A7D36">
      <w:pPr>
        <w:pStyle w:val="Prrafodelista"/>
        <w:numPr>
          <w:ilvl w:val="0"/>
          <w:numId w:val="1"/>
        </w:numPr>
        <w:spacing w:after="56"/>
        <w:contextualSpacing w:val="0"/>
        <w:jc w:val="both"/>
        <w:rPr>
          <w:color w:val="000000" w:themeColor="text1"/>
        </w:rPr>
      </w:pPr>
      <w:r w:rsidRPr="006A7D36">
        <w:rPr>
          <w:color w:val="000000" w:themeColor="text1"/>
          <w:sz w:val="19"/>
          <w:szCs w:val="19"/>
        </w:rPr>
        <w:t xml:space="preserve">Comprobar que la autenticación </w:t>
      </w:r>
      <w:proofErr w:type="spellStart"/>
      <w:r w:rsidRPr="006A7D36">
        <w:rPr>
          <w:color w:val="000000" w:themeColor="text1"/>
          <w:sz w:val="19"/>
          <w:szCs w:val="19"/>
        </w:rPr>
        <w:t>multifactor</w:t>
      </w:r>
      <w:proofErr w:type="spellEnd"/>
      <w:r w:rsidRPr="006A7D36">
        <w:rPr>
          <w:color w:val="000000" w:themeColor="text1"/>
          <w:sz w:val="19"/>
          <w:szCs w:val="19"/>
        </w:rPr>
        <w:t xml:space="preserve"> está implementada para todos los accesos remotos al CDE (</w:t>
      </w:r>
      <w:proofErr w:type="spellStart"/>
      <w:r w:rsidRPr="006A7D36">
        <w:rPr>
          <w:color w:val="000000" w:themeColor="text1"/>
          <w:sz w:val="19"/>
          <w:szCs w:val="19"/>
        </w:rPr>
        <w:t>Req</w:t>
      </w:r>
      <w:proofErr w:type="spellEnd"/>
      <w:r w:rsidRPr="006A7D36">
        <w:rPr>
          <w:color w:val="000000" w:themeColor="text1"/>
          <w:sz w:val="19"/>
          <w:szCs w:val="19"/>
        </w:rPr>
        <w:t>. 8.4.2).</w:t>
      </w:r>
    </w:p>
    <w:p w14:paraId="637DC070" w14:textId="77777777" w:rsidR="00684685" w:rsidRPr="006A7D36" w:rsidRDefault="00684685" w:rsidP="006A7D36">
      <w:pPr>
        <w:pStyle w:val="Prrafodelista"/>
        <w:numPr>
          <w:ilvl w:val="0"/>
          <w:numId w:val="1"/>
        </w:numPr>
        <w:spacing w:after="56"/>
        <w:contextualSpacing w:val="0"/>
        <w:jc w:val="both"/>
        <w:rPr>
          <w:color w:val="000000" w:themeColor="text1"/>
        </w:rPr>
      </w:pPr>
      <w:r w:rsidRPr="006A7D36">
        <w:rPr>
          <w:color w:val="000000" w:themeColor="text1"/>
          <w:sz w:val="19"/>
          <w:szCs w:val="19"/>
        </w:rPr>
        <w:t xml:space="preserve">Verificar que las contraseñas del CDE cumplen los requisitos del </w:t>
      </w:r>
      <w:proofErr w:type="spellStart"/>
      <w:r w:rsidRPr="006A7D36">
        <w:rPr>
          <w:color w:val="000000" w:themeColor="text1"/>
          <w:sz w:val="19"/>
          <w:szCs w:val="19"/>
        </w:rPr>
        <w:t>Req</w:t>
      </w:r>
      <w:proofErr w:type="spellEnd"/>
      <w:r w:rsidRPr="006A7D36">
        <w:rPr>
          <w:color w:val="000000" w:themeColor="text1"/>
          <w:sz w:val="19"/>
          <w:szCs w:val="19"/>
        </w:rPr>
        <w:t>. 8.3 (longitud, complejidad, expiración).</w:t>
      </w:r>
    </w:p>
    <w:p w14:paraId="6A4C6CF0" w14:textId="77777777" w:rsidR="00684685" w:rsidRPr="006A7D36" w:rsidRDefault="00684685" w:rsidP="006A7D36">
      <w:pPr>
        <w:spacing w:after="80"/>
        <w:jc w:val="both"/>
        <w:rPr>
          <w:color w:val="000000" w:themeColor="text1"/>
        </w:rPr>
      </w:pPr>
      <w:r w:rsidRPr="006A7D36">
        <w:rPr>
          <w:b/>
          <w:bCs/>
          <w:color w:val="000000" w:themeColor="text1"/>
        </w:rPr>
        <w:t>Normativa de referencia para este OC: PCI-DSS v4.0.1 – Requisitos 7 y 8</w:t>
      </w:r>
    </w:p>
    <w:p w14:paraId="10FC34BE" w14:textId="77777777" w:rsidR="00684685" w:rsidRPr="006A7D36" w:rsidRDefault="00684685" w:rsidP="006A7D36">
      <w:pPr>
        <w:spacing w:after="80"/>
        <w:jc w:val="both"/>
        <w:rPr>
          <w:color w:val="000000" w:themeColor="text1"/>
        </w:rPr>
      </w:pPr>
    </w:p>
    <w:p w14:paraId="368012AC" w14:textId="77777777" w:rsidR="00684685" w:rsidRPr="006A7D36" w:rsidRDefault="00684685" w:rsidP="006A7D36">
      <w:pPr>
        <w:shd w:val="clear" w:color="auto" w:fill="DDEEFF"/>
        <w:spacing w:before="120" w:after="60"/>
        <w:jc w:val="both"/>
        <w:rPr>
          <w:color w:val="000000" w:themeColor="text1"/>
        </w:rPr>
      </w:pPr>
      <w:r w:rsidRPr="006A7D36">
        <w:rPr>
          <w:b/>
          <w:bCs/>
          <w:color w:val="000000" w:themeColor="text1"/>
          <w:sz w:val="21"/>
          <w:szCs w:val="21"/>
        </w:rPr>
        <w:t xml:space="preserve">  OC-2 — Seguridad en Redes — Configuración y Segmentación del CDE (PCI-DSS </w:t>
      </w:r>
      <w:proofErr w:type="spellStart"/>
      <w:r w:rsidRPr="006A7D36">
        <w:rPr>
          <w:b/>
          <w:bCs/>
          <w:color w:val="000000" w:themeColor="text1"/>
          <w:sz w:val="21"/>
          <w:szCs w:val="21"/>
        </w:rPr>
        <w:t>Req</w:t>
      </w:r>
      <w:proofErr w:type="spellEnd"/>
      <w:r w:rsidRPr="006A7D36">
        <w:rPr>
          <w:b/>
          <w:bCs/>
          <w:color w:val="000000" w:themeColor="text1"/>
          <w:sz w:val="21"/>
          <w:szCs w:val="21"/>
        </w:rPr>
        <w:t xml:space="preserve">. 1 y 2)  </w:t>
      </w:r>
    </w:p>
    <w:p w14:paraId="6A592C6B" w14:textId="77777777" w:rsidR="00684685" w:rsidRPr="006A7D36" w:rsidRDefault="00684685" w:rsidP="006A7D36">
      <w:pPr>
        <w:spacing w:after="80"/>
        <w:jc w:val="both"/>
        <w:rPr>
          <w:color w:val="000000" w:themeColor="text1"/>
        </w:rPr>
      </w:pPr>
      <w:r w:rsidRPr="006A7D36">
        <w:rPr>
          <w:i/>
          <w:iCs/>
          <w:color w:val="000000" w:themeColor="text1"/>
        </w:rPr>
        <w:t>Evaluar que la red del CDE está correctamente segmentada del resto de la infraestructura, que los firewalls tienen configuración restrictiva y que no existen credenciales de proveedor por defecto en ningún componente del CDE.</w:t>
      </w:r>
    </w:p>
    <w:p w14:paraId="7A0A0033" w14:textId="77777777" w:rsidR="00684685" w:rsidRPr="006A7D36" w:rsidRDefault="00684685" w:rsidP="006A7D36">
      <w:pPr>
        <w:spacing w:before="160" w:after="60"/>
        <w:jc w:val="both"/>
        <w:rPr>
          <w:color w:val="000000" w:themeColor="text1"/>
        </w:rPr>
      </w:pPr>
      <w:r w:rsidRPr="006A7D36">
        <w:rPr>
          <w:b/>
          <w:bCs/>
          <w:color w:val="000000" w:themeColor="text1"/>
          <w:sz w:val="22"/>
          <w:szCs w:val="22"/>
        </w:rPr>
        <w:t xml:space="preserve">   Pruebas de auditoría requeridas:</w:t>
      </w:r>
    </w:p>
    <w:p w14:paraId="6CB6A3FA" w14:textId="77777777" w:rsidR="00684685" w:rsidRPr="006A7D36" w:rsidRDefault="00684685" w:rsidP="006A7D36">
      <w:pPr>
        <w:pStyle w:val="Prrafodelista"/>
        <w:numPr>
          <w:ilvl w:val="0"/>
          <w:numId w:val="1"/>
        </w:numPr>
        <w:spacing w:after="56"/>
        <w:contextualSpacing w:val="0"/>
        <w:jc w:val="both"/>
        <w:rPr>
          <w:color w:val="000000" w:themeColor="text1"/>
        </w:rPr>
      </w:pPr>
      <w:r w:rsidRPr="006A7D36">
        <w:rPr>
          <w:color w:val="000000" w:themeColor="text1"/>
          <w:sz w:val="19"/>
          <w:szCs w:val="19"/>
        </w:rPr>
        <w:t>Verificar que el diagrama de red muestra todos los flujos de datos del PAN y que el CDE está claramente delimitado.</w:t>
      </w:r>
    </w:p>
    <w:p w14:paraId="35BDACF9" w14:textId="77777777" w:rsidR="00684685" w:rsidRPr="006A7D36" w:rsidRDefault="00684685" w:rsidP="006A7D36">
      <w:pPr>
        <w:pStyle w:val="Prrafodelista"/>
        <w:numPr>
          <w:ilvl w:val="0"/>
          <w:numId w:val="1"/>
        </w:numPr>
        <w:spacing w:after="56"/>
        <w:contextualSpacing w:val="0"/>
        <w:jc w:val="both"/>
        <w:rPr>
          <w:color w:val="000000" w:themeColor="text1"/>
        </w:rPr>
      </w:pPr>
      <w:r w:rsidRPr="006A7D36">
        <w:rPr>
          <w:color w:val="000000" w:themeColor="text1"/>
          <w:sz w:val="19"/>
          <w:szCs w:val="19"/>
        </w:rPr>
        <w:t>Comprobar que los firewalls aplican regla de 'denegar todo' el tráfico no explícitamente autorizado.</w:t>
      </w:r>
    </w:p>
    <w:p w14:paraId="48A1AFBD" w14:textId="77777777" w:rsidR="00684685" w:rsidRPr="006A7D36" w:rsidRDefault="00684685" w:rsidP="006A7D36">
      <w:pPr>
        <w:pStyle w:val="Prrafodelista"/>
        <w:numPr>
          <w:ilvl w:val="0"/>
          <w:numId w:val="1"/>
        </w:numPr>
        <w:spacing w:after="56"/>
        <w:contextualSpacing w:val="0"/>
        <w:jc w:val="both"/>
        <w:rPr>
          <w:color w:val="000000" w:themeColor="text1"/>
        </w:rPr>
      </w:pPr>
      <w:r w:rsidRPr="006A7D36">
        <w:rPr>
          <w:color w:val="000000" w:themeColor="text1"/>
          <w:sz w:val="19"/>
          <w:szCs w:val="19"/>
        </w:rPr>
        <w:t>Verificar que no existen contraseñas por defecto del fabricante en ningún dispositivo del CDE.</w:t>
      </w:r>
    </w:p>
    <w:p w14:paraId="7DDFB2FC" w14:textId="77777777" w:rsidR="00684685" w:rsidRPr="006A7D36" w:rsidRDefault="00684685" w:rsidP="006A7D36">
      <w:pPr>
        <w:spacing w:after="80"/>
        <w:jc w:val="both"/>
        <w:rPr>
          <w:color w:val="000000" w:themeColor="text1"/>
        </w:rPr>
      </w:pPr>
      <w:r w:rsidRPr="006A7D36">
        <w:rPr>
          <w:b/>
          <w:bCs/>
          <w:color w:val="000000" w:themeColor="text1"/>
        </w:rPr>
        <w:t>Normativa de referencia para este OC: PCI-DSS v4.0.1 – Requisitos 1 y 2</w:t>
      </w:r>
    </w:p>
    <w:p w14:paraId="09E258C6" w14:textId="77777777" w:rsidR="00684685" w:rsidRPr="006A7D36" w:rsidRDefault="00684685" w:rsidP="006A7D36">
      <w:pPr>
        <w:spacing w:after="80"/>
        <w:jc w:val="both"/>
        <w:rPr>
          <w:color w:val="000000" w:themeColor="text1"/>
        </w:rPr>
      </w:pPr>
    </w:p>
    <w:p w14:paraId="4B7454B5" w14:textId="77777777" w:rsidR="00684685" w:rsidRPr="006A7D36" w:rsidRDefault="00684685" w:rsidP="006A7D36">
      <w:pPr>
        <w:shd w:val="clear" w:color="auto" w:fill="DDEEFF"/>
        <w:spacing w:before="120" w:after="60"/>
        <w:jc w:val="both"/>
        <w:rPr>
          <w:color w:val="000000" w:themeColor="text1"/>
        </w:rPr>
      </w:pPr>
      <w:r w:rsidRPr="006A7D36">
        <w:rPr>
          <w:b/>
          <w:bCs/>
          <w:color w:val="000000" w:themeColor="text1"/>
          <w:sz w:val="21"/>
          <w:szCs w:val="21"/>
        </w:rPr>
        <w:t xml:space="preserve">  OC-3 — Acuerdos de Confidencialidad y Uso Aceptable en el Entorno del CDE  </w:t>
      </w:r>
    </w:p>
    <w:p w14:paraId="48E2871C" w14:textId="77777777" w:rsidR="00684685" w:rsidRPr="006A7D36" w:rsidRDefault="00684685" w:rsidP="006A7D36">
      <w:pPr>
        <w:spacing w:after="80"/>
        <w:jc w:val="both"/>
        <w:rPr>
          <w:color w:val="000000" w:themeColor="text1"/>
        </w:rPr>
      </w:pPr>
      <w:r w:rsidRPr="006A7D36">
        <w:rPr>
          <w:i/>
          <w:iCs/>
          <w:color w:val="000000" w:themeColor="text1"/>
        </w:rPr>
        <w:t>Verificar que todo el personal con acceso al CDE tiene firmados acuerdos de confidencialidad que cubren los datos de tarjetahabientes, y que existe una política de uso aceptable de los recursos tecnológicos del CDE.</w:t>
      </w:r>
    </w:p>
    <w:p w14:paraId="35661178" w14:textId="77777777" w:rsidR="00684685" w:rsidRPr="006A7D36" w:rsidRDefault="00684685" w:rsidP="006A7D36">
      <w:pPr>
        <w:spacing w:before="160" w:after="60"/>
        <w:jc w:val="both"/>
        <w:rPr>
          <w:color w:val="000000" w:themeColor="text1"/>
        </w:rPr>
      </w:pPr>
      <w:r w:rsidRPr="006A7D36">
        <w:rPr>
          <w:b/>
          <w:bCs/>
          <w:color w:val="000000" w:themeColor="text1"/>
          <w:sz w:val="22"/>
          <w:szCs w:val="22"/>
        </w:rPr>
        <w:t xml:space="preserve">   Pruebas de auditoría requeridas:</w:t>
      </w:r>
    </w:p>
    <w:p w14:paraId="27B8E955" w14:textId="77777777" w:rsidR="00684685" w:rsidRPr="006A7D36" w:rsidRDefault="00684685" w:rsidP="006A7D36">
      <w:pPr>
        <w:pStyle w:val="Prrafodelista"/>
        <w:numPr>
          <w:ilvl w:val="0"/>
          <w:numId w:val="1"/>
        </w:numPr>
        <w:spacing w:after="56"/>
        <w:contextualSpacing w:val="0"/>
        <w:jc w:val="both"/>
        <w:rPr>
          <w:color w:val="000000" w:themeColor="text1"/>
        </w:rPr>
      </w:pPr>
      <w:r w:rsidRPr="006A7D36">
        <w:rPr>
          <w:color w:val="000000" w:themeColor="text1"/>
          <w:sz w:val="19"/>
          <w:szCs w:val="19"/>
        </w:rPr>
        <w:lastRenderedPageBreak/>
        <w:t>Revisar legajo de todo el personal con acceso al CDE: verificar firma de acuerdo de confidencialidad.</w:t>
      </w:r>
    </w:p>
    <w:p w14:paraId="7BDC3951" w14:textId="77777777" w:rsidR="00684685" w:rsidRPr="006A7D36" w:rsidRDefault="00684685" w:rsidP="006A7D36">
      <w:pPr>
        <w:pStyle w:val="Prrafodelista"/>
        <w:numPr>
          <w:ilvl w:val="0"/>
          <w:numId w:val="1"/>
        </w:numPr>
        <w:spacing w:after="56"/>
        <w:contextualSpacing w:val="0"/>
        <w:jc w:val="both"/>
        <w:rPr>
          <w:color w:val="000000" w:themeColor="text1"/>
        </w:rPr>
      </w:pPr>
      <w:r w:rsidRPr="006A7D36">
        <w:rPr>
          <w:color w:val="000000" w:themeColor="text1"/>
          <w:sz w:val="19"/>
          <w:szCs w:val="19"/>
        </w:rPr>
        <w:t>Comprobar que el acuerdo cubre explícitamente la prohibición de copia o extracción de datos de tarjeta.</w:t>
      </w:r>
    </w:p>
    <w:p w14:paraId="4A8FD7A7" w14:textId="77777777" w:rsidR="00684685" w:rsidRPr="006A7D36" w:rsidRDefault="00684685" w:rsidP="006A7D36">
      <w:pPr>
        <w:pStyle w:val="Prrafodelista"/>
        <w:numPr>
          <w:ilvl w:val="0"/>
          <w:numId w:val="1"/>
        </w:numPr>
        <w:spacing w:after="56"/>
        <w:contextualSpacing w:val="0"/>
        <w:jc w:val="both"/>
        <w:rPr>
          <w:color w:val="000000" w:themeColor="text1"/>
        </w:rPr>
      </w:pPr>
      <w:r w:rsidRPr="006A7D36">
        <w:rPr>
          <w:color w:val="000000" w:themeColor="text1"/>
          <w:sz w:val="19"/>
          <w:szCs w:val="19"/>
        </w:rPr>
        <w:t>Verificar si el personal técnico de proveedores con acceso al CDE tiene NDA firmado con la empresa.</w:t>
      </w:r>
    </w:p>
    <w:p w14:paraId="0B510BFF" w14:textId="77777777" w:rsidR="00684685" w:rsidRPr="006A7D36" w:rsidRDefault="00684685" w:rsidP="006A7D36">
      <w:pPr>
        <w:spacing w:after="80"/>
        <w:jc w:val="both"/>
        <w:rPr>
          <w:color w:val="000000" w:themeColor="text1"/>
        </w:rPr>
      </w:pPr>
      <w:r w:rsidRPr="006A7D36">
        <w:rPr>
          <w:b/>
          <w:bCs/>
          <w:color w:val="000000" w:themeColor="text1"/>
        </w:rPr>
        <w:t xml:space="preserve">Normativa de referencia para este OC: PCI-DSS v4.0.1 – </w:t>
      </w:r>
      <w:proofErr w:type="spellStart"/>
      <w:r w:rsidRPr="006A7D36">
        <w:rPr>
          <w:b/>
          <w:bCs/>
          <w:color w:val="000000" w:themeColor="text1"/>
        </w:rPr>
        <w:t>Req</w:t>
      </w:r>
      <w:proofErr w:type="spellEnd"/>
      <w:r w:rsidRPr="006A7D36">
        <w:rPr>
          <w:b/>
          <w:bCs/>
          <w:color w:val="000000" w:themeColor="text1"/>
        </w:rPr>
        <w:t>. 12.8 / ISO/IEC 27002:2022 – Controles 6.2, 6.6, 5.19</w:t>
      </w:r>
    </w:p>
    <w:p w14:paraId="3F45DF72" w14:textId="77777777" w:rsidR="00684685" w:rsidRPr="006A7D36" w:rsidRDefault="00684685" w:rsidP="006A7D36">
      <w:pPr>
        <w:spacing w:after="80"/>
        <w:jc w:val="both"/>
        <w:rPr>
          <w:color w:val="000000" w:themeColor="text1"/>
        </w:rPr>
      </w:pPr>
    </w:p>
    <w:p w14:paraId="7699FFE3" w14:textId="77777777" w:rsidR="00684685" w:rsidRPr="006A7D36" w:rsidRDefault="00684685" w:rsidP="006A7D36">
      <w:pPr>
        <w:spacing w:before="160" w:after="60"/>
        <w:jc w:val="both"/>
        <w:rPr>
          <w:color w:val="000000" w:themeColor="text1"/>
        </w:rPr>
      </w:pPr>
      <w:r w:rsidRPr="006A7D36">
        <w:rPr>
          <w:b/>
          <w:bCs/>
          <w:color w:val="000000" w:themeColor="text1"/>
          <w:sz w:val="22"/>
          <w:szCs w:val="22"/>
        </w:rPr>
        <w:t>GUÍA DE HALLAZGOS ORIENTATIVOS (no limitativos — el grupo puede encontrar otros)</w:t>
      </w:r>
    </w:p>
    <w:p w14:paraId="0CFAA1C0" w14:textId="77777777" w:rsidR="00684685" w:rsidRPr="006A7D36" w:rsidRDefault="00684685" w:rsidP="006A7D36">
      <w:pPr>
        <w:spacing w:after="60"/>
        <w:jc w:val="both"/>
        <w:rPr>
          <w:color w:val="000000" w:themeColor="text1"/>
        </w:rPr>
      </w:pPr>
      <w:r w:rsidRPr="006A7D36">
        <w:rPr>
          <w:b/>
          <w:bCs/>
          <w:color w:val="000000" w:themeColor="text1"/>
        </w:rPr>
        <w:t xml:space="preserve">✗  </w:t>
      </w:r>
      <w:r w:rsidRPr="006A7D36">
        <w:rPr>
          <w:color w:val="000000" w:themeColor="text1"/>
          <w:sz w:val="19"/>
          <w:szCs w:val="19"/>
        </w:rPr>
        <w:t>Hallazgo OC-2: Dos servidores del CDE utilizan credenciales por defecto del proveedor (</w:t>
      </w:r>
      <w:proofErr w:type="spellStart"/>
      <w:r w:rsidRPr="006A7D36">
        <w:rPr>
          <w:color w:val="000000" w:themeColor="text1"/>
          <w:sz w:val="19"/>
          <w:szCs w:val="19"/>
        </w:rPr>
        <w:t>Req</w:t>
      </w:r>
      <w:proofErr w:type="spellEnd"/>
      <w:r w:rsidRPr="006A7D36">
        <w:rPr>
          <w:color w:val="000000" w:themeColor="text1"/>
          <w:sz w:val="19"/>
          <w:szCs w:val="19"/>
        </w:rPr>
        <w:t>. 2.1 – incumplimiento crítico PCI-DSS).</w:t>
      </w:r>
    </w:p>
    <w:p w14:paraId="061C0703" w14:textId="77777777" w:rsidR="00684685" w:rsidRPr="006A7D36" w:rsidRDefault="00684685" w:rsidP="006A7D36">
      <w:pPr>
        <w:spacing w:after="60"/>
        <w:jc w:val="both"/>
        <w:rPr>
          <w:color w:val="000000" w:themeColor="text1"/>
        </w:rPr>
      </w:pPr>
      <w:r w:rsidRPr="006A7D36">
        <w:rPr>
          <w:b/>
          <w:bCs/>
          <w:color w:val="000000" w:themeColor="text1"/>
        </w:rPr>
        <w:t xml:space="preserve">✗  </w:t>
      </w:r>
      <w:r w:rsidRPr="006A7D36">
        <w:rPr>
          <w:color w:val="000000" w:themeColor="text1"/>
          <w:sz w:val="19"/>
          <w:szCs w:val="19"/>
        </w:rPr>
        <w:t>Hallazgo OC-1: Los logs de acceso al CDE se conservan solo 3 meses (</w:t>
      </w:r>
      <w:proofErr w:type="spellStart"/>
      <w:r w:rsidRPr="006A7D36">
        <w:rPr>
          <w:color w:val="000000" w:themeColor="text1"/>
          <w:sz w:val="19"/>
          <w:szCs w:val="19"/>
        </w:rPr>
        <w:t>Req</w:t>
      </w:r>
      <w:proofErr w:type="spellEnd"/>
      <w:r w:rsidRPr="006A7D36">
        <w:rPr>
          <w:color w:val="000000" w:themeColor="text1"/>
          <w:sz w:val="19"/>
          <w:szCs w:val="19"/>
        </w:rPr>
        <w:t>. 10.7 exige mínimo 12 meses).</w:t>
      </w:r>
    </w:p>
    <w:p w14:paraId="7C45C3C5" w14:textId="77777777" w:rsidR="00684685" w:rsidRPr="006A7D36" w:rsidRDefault="00684685" w:rsidP="006A7D36">
      <w:pPr>
        <w:spacing w:after="60"/>
        <w:jc w:val="both"/>
        <w:rPr>
          <w:color w:val="000000" w:themeColor="text1"/>
        </w:rPr>
      </w:pPr>
      <w:r w:rsidRPr="006A7D36">
        <w:rPr>
          <w:b/>
          <w:bCs/>
          <w:color w:val="000000" w:themeColor="text1"/>
        </w:rPr>
        <w:t xml:space="preserve">✓  </w:t>
      </w:r>
      <w:r w:rsidRPr="006A7D36">
        <w:rPr>
          <w:color w:val="000000" w:themeColor="text1"/>
          <w:sz w:val="19"/>
          <w:szCs w:val="19"/>
        </w:rPr>
        <w:t>Control adecuado OC-2: El firewall del CDE aplica política de denegar todo el tráfico no explícitamente autorizado.</w:t>
      </w:r>
    </w:p>
    <w:p w14:paraId="1B7459ED" w14:textId="77777777" w:rsidR="00684685" w:rsidRPr="006A7D36" w:rsidRDefault="00684685" w:rsidP="006A7D36">
      <w:pPr>
        <w:spacing w:before="160" w:after="60"/>
        <w:jc w:val="both"/>
        <w:rPr>
          <w:color w:val="000000" w:themeColor="text1"/>
        </w:rPr>
      </w:pPr>
      <w:r w:rsidRPr="006A7D36">
        <w:rPr>
          <w:b/>
          <w:bCs/>
          <w:color w:val="000000" w:themeColor="text1"/>
          <w:sz w:val="22"/>
          <w:szCs w:val="22"/>
        </w:rPr>
        <w:t>NORMATIVA Y MARCOS APLICABLES</w:t>
      </w:r>
    </w:p>
    <w:p w14:paraId="59AA883A" w14:textId="77777777" w:rsidR="00684685" w:rsidRPr="006A7D36" w:rsidRDefault="00684685" w:rsidP="006A7D36">
      <w:pPr>
        <w:pStyle w:val="Prrafodelista"/>
        <w:numPr>
          <w:ilvl w:val="0"/>
          <w:numId w:val="1"/>
        </w:numPr>
        <w:spacing w:after="56"/>
        <w:contextualSpacing w:val="0"/>
        <w:jc w:val="both"/>
        <w:rPr>
          <w:color w:val="000000" w:themeColor="text1"/>
        </w:rPr>
      </w:pPr>
      <w:r w:rsidRPr="006A7D36">
        <w:rPr>
          <w:color w:val="000000" w:themeColor="text1"/>
          <w:sz w:val="19"/>
          <w:szCs w:val="19"/>
        </w:rPr>
        <w:t>PCI-DSS v4.0.1 – Requisitos 1, 2, 7, 8 y 10</w:t>
      </w:r>
    </w:p>
    <w:p w14:paraId="7E38FC92" w14:textId="77777777" w:rsidR="00684685" w:rsidRPr="006A7D36" w:rsidRDefault="00684685" w:rsidP="006A7D36">
      <w:pPr>
        <w:pStyle w:val="Prrafodelista"/>
        <w:numPr>
          <w:ilvl w:val="0"/>
          <w:numId w:val="1"/>
        </w:numPr>
        <w:spacing w:after="56"/>
        <w:contextualSpacing w:val="0"/>
        <w:jc w:val="both"/>
        <w:rPr>
          <w:color w:val="000000" w:themeColor="text1"/>
        </w:rPr>
      </w:pPr>
      <w:r w:rsidRPr="006A7D36">
        <w:rPr>
          <w:color w:val="000000" w:themeColor="text1"/>
          <w:sz w:val="19"/>
          <w:szCs w:val="19"/>
        </w:rPr>
        <w:t>Ley 25.326</w:t>
      </w:r>
    </w:p>
    <w:p w14:paraId="6B3E75A2" w14:textId="77777777" w:rsidR="00684685" w:rsidRPr="006A7D36" w:rsidRDefault="00684685" w:rsidP="006A7D36">
      <w:pPr>
        <w:pStyle w:val="Prrafodelista"/>
        <w:numPr>
          <w:ilvl w:val="0"/>
          <w:numId w:val="1"/>
        </w:numPr>
        <w:spacing w:after="56"/>
        <w:contextualSpacing w:val="0"/>
        <w:jc w:val="both"/>
        <w:rPr>
          <w:color w:val="000000" w:themeColor="text1"/>
        </w:rPr>
      </w:pPr>
      <w:r w:rsidRPr="006A7D36">
        <w:rPr>
          <w:color w:val="000000" w:themeColor="text1"/>
          <w:sz w:val="19"/>
          <w:szCs w:val="19"/>
        </w:rPr>
        <w:t>BCRA Com. A 7724 (referencia)</w:t>
      </w:r>
    </w:p>
    <w:p w14:paraId="5633A6C9" w14:textId="77777777" w:rsidR="00684685" w:rsidRPr="006A7D36" w:rsidRDefault="00684685" w:rsidP="006A7D36">
      <w:pPr>
        <w:spacing w:before="160" w:after="60"/>
        <w:jc w:val="both"/>
        <w:rPr>
          <w:color w:val="000000" w:themeColor="text1"/>
        </w:rPr>
      </w:pPr>
      <w:r w:rsidRPr="006A7D36">
        <w:rPr>
          <w:b/>
          <w:bCs/>
          <w:color w:val="000000" w:themeColor="text1"/>
          <w:sz w:val="22"/>
          <w:szCs w:val="22"/>
        </w:rPr>
        <w:t>ENTREGABLES REQUERIDOS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684685" w:rsidRPr="006A7D36" w14:paraId="3AF063BD" w14:textId="77777777" w:rsidTr="0092783D">
        <w:tc>
          <w:tcPr>
            <w:tcW w:w="7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0308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924C42" w14:textId="77777777" w:rsidR="00684685" w:rsidRPr="006A7D36" w:rsidRDefault="00684685" w:rsidP="006A7D36">
            <w:pPr>
              <w:jc w:val="both"/>
              <w:rPr>
                <w:color w:val="000000" w:themeColor="text1"/>
              </w:rPr>
            </w:pPr>
            <w:r w:rsidRPr="006A7D36">
              <w:rPr>
                <w:b/>
                <w:bCs/>
                <w:color w:val="000000" w:themeColor="text1"/>
                <w:sz w:val="19"/>
                <w:szCs w:val="19"/>
              </w:rPr>
              <w:t>#</w:t>
            </w:r>
          </w:p>
        </w:tc>
        <w:tc>
          <w:tcPr>
            <w:tcW w:w="8326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00308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842E49" w14:textId="77777777" w:rsidR="00684685" w:rsidRPr="006A7D36" w:rsidRDefault="00684685" w:rsidP="006A7D36">
            <w:pPr>
              <w:jc w:val="both"/>
              <w:rPr>
                <w:color w:val="000000" w:themeColor="text1"/>
              </w:rPr>
            </w:pPr>
            <w:r w:rsidRPr="006A7D36">
              <w:rPr>
                <w:b/>
                <w:bCs/>
                <w:color w:val="000000" w:themeColor="text1"/>
                <w:sz w:val="19"/>
                <w:szCs w:val="19"/>
              </w:rPr>
              <w:t>ENTREGABLE</w:t>
            </w:r>
          </w:p>
        </w:tc>
      </w:tr>
      <w:tr w:rsidR="00684685" w:rsidRPr="006A7D36" w14:paraId="111BEFF2" w14:textId="77777777" w:rsidTr="0092783D"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DEE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2F0C7F" w14:textId="77777777" w:rsidR="00684685" w:rsidRPr="006A7D36" w:rsidRDefault="00684685" w:rsidP="006A7D36">
            <w:pPr>
              <w:jc w:val="both"/>
              <w:rPr>
                <w:color w:val="000000" w:themeColor="text1"/>
              </w:rPr>
            </w:pPr>
            <w:r w:rsidRPr="006A7D36">
              <w:rPr>
                <w:b/>
                <w:bCs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83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DEE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FF3EE0" w14:textId="77777777" w:rsidR="00684685" w:rsidRPr="006A7D36" w:rsidRDefault="00684685" w:rsidP="006A7D36">
            <w:pPr>
              <w:jc w:val="both"/>
              <w:rPr>
                <w:color w:val="000000" w:themeColor="text1"/>
              </w:rPr>
            </w:pPr>
            <w:r w:rsidRPr="006A7D36">
              <w:rPr>
                <w:color w:val="000000" w:themeColor="text1"/>
                <w:sz w:val="19"/>
                <w:szCs w:val="19"/>
              </w:rPr>
              <w:t>Propuesta de Auditoría</w:t>
            </w:r>
          </w:p>
        </w:tc>
      </w:tr>
      <w:tr w:rsidR="00684685" w:rsidRPr="006A7D36" w14:paraId="2C6F963B" w14:textId="77777777" w:rsidTr="0092783D"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D0BED9" w14:textId="77777777" w:rsidR="00684685" w:rsidRPr="006A7D36" w:rsidRDefault="00684685" w:rsidP="006A7D36">
            <w:pPr>
              <w:jc w:val="both"/>
              <w:rPr>
                <w:color w:val="000000" w:themeColor="text1"/>
              </w:rPr>
            </w:pPr>
            <w:r w:rsidRPr="006A7D36">
              <w:rPr>
                <w:b/>
                <w:bCs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83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3683EB" w14:textId="77777777" w:rsidR="00684685" w:rsidRPr="006A7D36" w:rsidRDefault="00684685" w:rsidP="006A7D36">
            <w:pPr>
              <w:jc w:val="both"/>
              <w:rPr>
                <w:color w:val="000000" w:themeColor="text1"/>
              </w:rPr>
            </w:pPr>
            <w:r w:rsidRPr="006A7D36">
              <w:rPr>
                <w:color w:val="000000" w:themeColor="text1"/>
                <w:sz w:val="19"/>
                <w:szCs w:val="19"/>
              </w:rPr>
              <w:t>CEAC + Nivel de Confianza</w:t>
            </w:r>
          </w:p>
        </w:tc>
      </w:tr>
      <w:tr w:rsidR="00684685" w:rsidRPr="006A7D36" w14:paraId="04BC83FF" w14:textId="77777777" w:rsidTr="0092783D"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DEE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E31054" w14:textId="77777777" w:rsidR="00684685" w:rsidRPr="006A7D36" w:rsidRDefault="00684685" w:rsidP="006A7D36">
            <w:pPr>
              <w:jc w:val="both"/>
              <w:rPr>
                <w:color w:val="000000" w:themeColor="text1"/>
              </w:rPr>
            </w:pPr>
            <w:r w:rsidRPr="006A7D36">
              <w:rPr>
                <w:b/>
                <w:bCs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83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DEE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F63783" w14:textId="77777777" w:rsidR="00684685" w:rsidRPr="006A7D36" w:rsidRDefault="00684685" w:rsidP="006A7D36">
            <w:pPr>
              <w:jc w:val="both"/>
              <w:rPr>
                <w:color w:val="000000" w:themeColor="text1"/>
              </w:rPr>
            </w:pPr>
            <w:r w:rsidRPr="006A7D36">
              <w:rPr>
                <w:color w:val="000000" w:themeColor="text1"/>
                <w:sz w:val="19"/>
                <w:szCs w:val="19"/>
              </w:rPr>
              <w:t>Diagrama del CDE con flujo de datos de tarjetahabientes</w:t>
            </w:r>
          </w:p>
        </w:tc>
      </w:tr>
      <w:tr w:rsidR="00684685" w:rsidRPr="006A7D36" w14:paraId="44003073" w14:textId="77777777" w:rsidTr="0092783D"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207439" w14:textId="77777777" w:rsidR="00684685" w:rsidRPr="006A7D36" w:rsidRDefault="00684685" w:rsidP="006A7D36">
            <w:pPr>
              <w:jc w:val="both"/>
              <w:rPr>
                <w:color w:val="000000" w:themeColor="text1"/>
              </w:rPr>
            </w:pPr>
            <w:r w:rsidRPr="006A7D36">
              <w:rPr>
                <w:b/>
                <w:bCs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83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179D74" w14:textId="77777777" w:rsidR="00684685" w:rsidRPr="006A7D36" w:rsidRDefault="00684685" w:rsidP="006A7D36">
            <w:pPr>
              <w:jc w:val="both"/>
              <w:rPr>
                <w:color w:val="000000" w:themeColor="text1"/>
              </w:rPr>
            </w:pPr>
            <w:r w:rsidRPr="006A7D36">
              <w:rPr>
                <w:color w:val="000000" w:themeColor="text1"/>
                <w:sz w:val="19"/>
                <w:szCs w:val="19"/>
              </w:rPr>
              <w:t>Registro ficticio de logs con anomalías analizadas</w:t>
            </w:r>
          </w:p>
        </w:tc>
      </w:tr>
      <w:tr w:rsidR="00684685" w:rsidRPr="006A7D36" w14:paraId="7745D4F1" w14:textId="77777777" w:rsidTr="0092783D"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DEE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4F864A" w14:textId="77777777" w:rsidR="00684685" w:rsidRPr="006A7D36" w:rsidRDefault="00684685" w:rsidP="006A7D36">
            <w:pPr>
              <w:jc w:val="both"/>
              <w:rPr>
                <w:color w:val="000000" w:themeColor="text1"/>
              </w:rPr>
            </w:pPr>
            <w:r w:rsidRPr="006A7D36">
              <w:rPr>
                <w:b/>
                <w:bCs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83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DEE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DFAEE8" w14:textId="77777777" w:rsidR="00684685" w:rsidRPr="006A7D36" w:rsidRDefault="00684685" w:rsidP="006A7D36">
            <w:pPr>
              <w:jc w:val="both"/>
              <w:rPr>
                <w:color w:val="000000" w:themeColor="text1"/>
              </w:rPr>
            </w:pPr>
            <w:r w:rsidRPr="006A7D36">
              <w:rPr>
                <w:color w:val="000000" w:themeColor="text1"/>
                <w:sz w:val="19"/>
                <w:szCs w:val="19"/>
              </w:rPr>
              <w:t>Plan y Programa de Auditoría por OC</w:t>
            </w:r>
          </w:p>
        </w:tc>
      </w:tr>
      <w:tr w:rsidR="00684685" w:rsidRPr="006A7D36" w14:paraId="2619EA4F" w14:textId="77777777" w:rsidTr="0092783D"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071983" w14:textId="77777777" w:rsidR="00684685" w:rsidRPr="006A7D36" w:rsidRDefault="00684685" w:rsidP="006A7D36">
            <w:pPr>
              <w:jc w:val="both"/>
              <w:rPr>
                <w:color w:val="000000" w:themeColor="text1"/>
              </w:rPr>
            </w:pPr>
            <w:r w:rsidRPr="006A7D36">
              <w:rPr>
                <w:b/>
                <w:bCs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83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6A8917" w14:textId="77777777" w:rsidR="00684685" w:rsidRPr="006A7D36" w:rsidRDefault="00684685" w:rsidP="006A7D36">
            <w:pPr>
              <w:jc w:val="both"/>
              <w:rPr>
                <w:color w:val="000000" w:themeColor="text1"/>
              </w:rPr>
            </w:pPr>
            <w:r w:rsidRPr="006A7D36">
              <w:rPr>
                <w:color w:val="000000" w:themeColor="text1"/>
                <w:sz w:val="19"/>
                <w:szCs w:val="19"/>
              </w:rPr>
              <w:t>Mínimo 10 PT + PT-OBS adicionales</w:t>
            </w:r>
          </w:p>
        </w:tc>
      </w:tr>
      <w:tr w:rsidR="00684685" w:rsidRPr="006A7D36" w14:paraId="469E0857" w14:textId="77777777" w:rsidTr="0092783D"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DEE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3E9FF5" w14:textId="77777777" w:rsidR="00684685" w:rsidRPr="006A7D36" w:rsidRDefault="00684685" w:rsidP="006A7D36">
            <w:pPr>
              <w:jc w:val="both"/>
              <w:rPr>
                <w:color w:val="000000" w:themeColor="text1"/>
              </w:rPr>
            </w:pPr>
            <w:r w:rsidRPr="006A7D36">
              <w:rPr>
                <w:b/>
                <w:bCs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83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DEE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8B49E1" w14:textId="77777777" w:rsidR="00684685" w:rsidRPr="006A7D36" w:rsidRDefault="00684685" w:rsidP="006A7D36">
            <w:pPr>
              <w:jc w:val="both"/>
              <w:rPr>
                <w:color w:val="000000" w:themeColor="text1"/>
              </w:rPr>
            </w:pPr>
            <w:r w:rsidRPr="006A7D36">
              <w:rPr>
                <w:color w:val="000000" w:themeColor="text1"/>
                <w:sz w:val="19"/>
                <w:szCs w:val="19"/>
              </w:rPr>
              <w:t>5 a 8 observaciones NCCCE con referencia al Requisito PCI-DSS específico</w:t>
            </w:r>
          </w:p>
        </w:tc>
      </w:tr>
      <w:tr w:rsidR="00684685" w:rsidRPr="006A7D36" w14:paraId="523FC5F7" w14:textId="77777777" w:rsidTr="0092783D"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B2D603" w14:textId="77777777" w:rsidR="00684685" w:rsidRPr="006A7D36" w:rsidRDefault="00684685" w:rsidP="006A7D36">
            <w:pPr>
              <w:jc w:val="both"/>
              <w:rPr>
                <w:color w:val="000000" w:themeColor="text1"/>
              </w:rPr>
            </w:pPr>
            <w:r w:rsidRPr="006A7D36">
              <w:rPr>
                <w:b/>
                <w:bCs/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83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C8F3D9" w14:textId="77777777" w:rsidR="00684685" w:rsidRPr="006A7D36" w:rsidRDefault="00684685" w:rsidP="006A7D36">
            <w:pPr>
              <w:jc w:val="both"/>
              <w:rPr>
                <w:color w:val="000000" w:themeColor="text1"/>
              </w:rPr>
            </w:pPr>
            <w:r w:rsidRPr="006A7D36">
              <w:rPr>
                <w:color w:val="000000" w:themeColor="text1"/>
                <w:sz w:val="19"/>
                <w:szCs w:val="19"/>
              </w:rPr>
              <w:t>3 a 5 controles adecuados</w:t>
            </w:r>
          </w:p>
        </w:tc>
      </w:tr>
      <w:tr w:rsidR="00684685" w:rsidRPr="006A7D36" w14:paraId="5518DF5A" w14:textId="77777777" w:rsidTr="0092783D"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DEE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9A716A" w14:textId="77777777" w:rsidR="00684685" w:rsidRPr="006A7D36" w:rsidRDefault="00684685" w:rsidP="006A7D36">
            <w:pPr>
              <w:jc w:val="both"/>
              <w:rPr>
                <w:color w:val="000000" w:themeColor="text1"/>
              </w:rPr>
            </w:pPr>
            <w:r w:rsidRPr="006A7D36">
              <w:rPr>
                <w:b/>
                <w:bCs/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83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DDEE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FDE3CD" w14:textId="77777777" w:rsidR="00684685" w:rsidRPr="006A7D36" w:rsidRDefault="00684685" w:rsidP="006A7D36">
            <w:pPr>
              <w:jc w:val="both"/>
              <w:rPr>
                <w:color w:val="000000" w:themeColor="text1"/>
              </w:rPr>
            </w:pPr>
            <w:r w:rsidRPr="006A7D36">
              <w:rPr>
                <w:color w:val="000000" w:themeColor="text1"/>
                <w:sz w:val="19"/>
                <w:szCs w:val="19"/>
              </w:rPr>
              <w:t>Parte A — Resumen Ejecutivo para Alta Dirección</w:t>
            </w:r>
          </w:p>
        </w:tc>
      </w:tr>
      <w:tr w:rsidR="00684685" w:rsidRPr="006A7D36" w14:paraId="44F1789D" w14:textId="77777777" w:rsidTr="0092783D"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3D5C28" w14:textId="77777777" w:rsidR="00684685" w:rsidRPr="006A7D36" w:rsidRDefault="00684685" w:rsidP="006A7D36">
            <w:pPr>
              <w:jc w:val="both"/>
              <w:rPr>
                <w:color w:val="000000" w:themeColor="text1"/>
              </w:rPr>
            </w:pPr>
            <w:r w:rsidRPr="006A7D36">
              <w:rPr>
                <w:b/>
                <w:bCs/>
                <w:color w:val="000000" w:themeColor="text1"/>
                <w:sz w:val="19"/>
                <w:szCs w:val="19"/>
              </w:rPr>
              <w:t>10</w:t>
            </w:r>
          </w:p>
        </w:tc>
        <w:tc>
          <w:tcPr>
            <w:tcW w:w="83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0549EA" w14:textId="77777777" w:rsidR="00684685" w:rsidRPr="006A7D36" w:rsidRDefault="00684685" w:rsidP="006A7D36">
            <w:pPr>
              <w:jc w:val="both"/>
              <w:rPr>
                <w:color w:val="000000" w:themeColor="text1"/>
              </w:rPr>
            </w:pPr>
            <w:r w:rsidRPr="006A7D36">
              <w:rPr>
                <w:color w:val="000000" w:themeColor="text1"/>
                <w:sz w:val="19"/>
                <w:szCs w:val="19"/>
              </w:rPr>
              <w:t>Parte B — Informe Detallado para Gerente de TI con Hoja de Ruta PCI-DSS</w:t>
            </w:r>
          </w:p>
        </w:tc>
      </w:tr>
    </w:tbl>
    <w:p w14:paraId="7EACFA5F" w14:textId="77777777" w:rsidR="00684685" w:rsidRPr="006A7D36" w:rsidRDefault="00684685" w:rsidP="006A7D36">
      <w:pPr>
        <w:spacing w:after="80"/>
        <w:jc w:val="both"/>
        <w:rPr>
          <w:color w:val="000000" w:themeColor="text1"/>
        </w:rPr>
      </w:pPr>
    </w:p>
    <w:p w14:paraId="4D0DF876" w14:textId="77777777" w:rsidR="00684685" w:rsidRPr="006A7D36" w:rsidRDefault="00684685" w:rsidP="006A7D36">
      <w:pPr>
        <w:spacing w:after="80"/>
        <w:jc w:val="both"/>
        <w:rPr>
          <w:color w:val="000000" w:themeColor="text1"/>
        </w:rPr>
      </w:pPr>
      <w:r w:rsidRPr="006A7D36">
        <w:rPr>
          <w:b/>
          <w:bCs/>
          <w:color w:val="000000" w:themeColor="text1"/>
          <w:sz w:val="19"/>
          <w:szCs w:val="19"/>
        </w:rPr>
        <w:t xml:space="preserve">Defensa oral: </w:t>
      </w:r>
      <w:r w:rsidRPr="006A7D36">
        <w:rPr>
          <w:color w:val="000000" w:themeColor="text1"/>
          <w:sz w:val="19"/>
          <w:szCs w:val="19"/>
        </w:rPr>
        <w:t>25 minutos + 15 minutos. Cada observación debe citar el Requisito PCI-DSS exacto y defenderlo ante el docente.</w:t>
      </w:r>
    </w:p>
    <w:p w14:paraId="2883EC14" w14:textId="6B0EE648" w:rsidR="002D26EB" w:rsidRPr="006A7D36" w:rsidRDefault="002D26EB" w:rsidP="006A7D36">
      <w:pPr>
        <w:spacing w:after="60"/>
        <w:jc w:val="both"/>
        <w:rPr>
          <w:color w:val="000000" w:themeColor="text1"/>
          <w:lang w:val="es-ES_tradnl"/>
        </w:rPr>
      </w:pPr>
    </w:p>
    <w:sectPr w:rsidR="002D26EB" w:rsidRPr="006A7D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11C4AFA"/>
    <w:multiLevelType w:val="hybridMultilevel"/>
    <w:tmpl w:val="233E63BC"/>
    <w:lvl w:ilvl="0" w:tplc="8E5861E2">
      <w:start w:val="1"/>
      <w:numFmt w:val="bullet"/>
      <w:lvlText w:val="•"/>
      <w:lvlJc w:val="left"/>
      <w:pPr>
        <w:ind w:left="720" w:hanging="360"/>
      </w:pPr>
    </w:lvl>
    <w:lvl w:ilvl="1" w:tplc="B144F94A">
      <w:numFmt w:val="decimal"/>
      <w:lvlText w:val=""/>
      <w:lvlJc w:val="left"/>
    </w:lvl>
    <w:lvl w:ilvl="2" w:tplc="5872719A">
      <w:numFmt w:val="decimal"/>
      <w:lvlText w:val=""/>
      <w:lvlJc w:val="left"/>
    </w:lvl>
    <w:lvl w:ilvl="3" w:tplc="ADEE0732">
      <w:numFmt w:val="decimal"/>
      <w:lvlText w:val=""/>
      <w:lvlJc w:val="left"/>
    </w:lvl>
    <w:lvl w:ilvl="4" w:tplc="74C64E6C">
      <w:numFmt w:val="decimal"/>
      <w:lvlText w:val=""/>
      <w:lvlJc w:val="left"/>
    </w:lvl>
    <w:lvl w:ilvl="5" w:tplc="09648D3E">
      <w:numFmt w:val="decimal"/>
      <w:lvlText w:val=""/>
      <w:lvlJc w:val="left"/>
    </w:lvl>
    <w:lvl w:ilvl="6" w:tplc="F9223318">
      <w:numFmt w:val="decimal"/>
      <w:lvlText w:val=""/>
      <w:lvlJc w:val="left"/>
    </w:lvl>
    <w:lvl w:ilvl="7" w:tplc="717AB326">
      <w:numFmt w:val="decimal"/>
      <w:lvlText w:val=""/>
      <w:lvlJc w:val="left"/>
    </w:lvl>
    <w:lvl w:ilvl="8" w:tplc="4AA2AAC2">
      <w:numFmt w:val="decimal"/>
      <w:lvlText w:val=""/>
      <w:lvlJc w:val="left"/>
    </w:lvl>
  </w:abstractNum>
  <w:abstractNum w:abstractNumId="1" w15:restartNumberingAfterBreak="0">
    <w:nsid w:val="70E26B28"/>
    <w:multiLevelType w:val="hybridMultilevel"/>
    <w:tmpl w:val="4F781C34"/>
    <w:lvl w:ilvl="0" w:tplc="49C20892">
      <w:start w:val="1"/>
      <w:numFmt w:val="decimal"/>
      <w:lvlText w:val="%1."/>
      <w:lvlJc w:val="left"/>
      <w:pPr>
        <w:ind w:left="720" w:hanging="360"/>
      </w:pPr>
    </w:lvl>
    <w:lvl w:ilvl="1" w:tplc="3C341998">
      <w:numFmt w:val="decimal"/>
      <w:lvlText w:val=""/>
      <w:lvlJc w:val="left"/>
    </w:lvl>
    <w:lvl w:ilvl="2" w:tplc="563A8150">
      <w:numFmt w:val="decimal"/>
      <w:lvlText w:val=""/>
      <w:lvlJc w:val="left"/>
    </w:lvl>
    <w:lvl w:ilvl="3" w:tplc="74F2FA9A">
      <w:numFmt w:val="decimal"/>
      <w:lvlText w:val=""/>
      <w:lvlJc w:val="left"/>
    </w:lvl>
    <w:lvl w:ilvl="4" w:tplc="6DC814C2">
      <w:numFmt w:val="decimal"/>
      <w:lvlText w:val=""/>
      <w:lvlJc w:val="left"/>
    </w:lvl>
    <w:lvl w:ilvl="5" w:tplc="9790151A">
      <w:numFmt w:val="decimal"/>
      <w:lvlText w:val=""/>
      <w:lvlJc w:val="left"/>
    </w:lvl>
    <w:lvl w:ilvl="6" w:tplc="E10E6934">
      <w:numFmt w:val="decimal"/>
      <w:lvlText w:val=""/>
      <w:lvlJc w:val="left"/>
    </w:lvl>
    <w:lvl w:ilvl="7" w:tplc="64D80EDA">
      <w:numFmt w:val="decimal"/>
      <w:lvlText w:val=""/>
      <w:lvlJc w:val="left"/>
    </w:lvl>
    <w:lvl w:ilvl="8" w:tplc="26D0460E">
      <w:numFmt w:val="decimal"/>
      <w:lvlText w:val=""/>
      <w:lvlJc w:val="left"/>
    </w:lvl>
  </w:abstractNum>
  <w:num w:numId="1" w16cid:durableId="339967062">
    <w:abstractNumId w:val="0"/>
    <w:lvlOverride w:ilvl="0">
      <w:startOverride w:val="1"/>
    </w:lvlOverride>
  </w:num>
  <w:num w:numId="2" w16cid:durableId="9219149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4E1"/>
    <w:rsid w:val="00142A20"/>
    <w:rsid w:val="001C7014"/>
    <w:rsid w:val="002D26EB"/>
    <w:rsid w:val="00351687"/>
    <w:rsid w:val="005C22BE"/>
    <w:rsid w:val="0062304A"/>
    <w:rsid w:val="00684685"/>
    <w:rsid w:val="006A7D36"/>
    <w:rsid w:val="006F7F58"/>
    <w:rsid w:val="00702F0B"/>
    <w:rsid w:val="007634E1"/>
    <w:rsid w:val="008E32DF"/>
    <w:rsid w:val="00B32499"/>
    <w:rsid w:val="00B87D48"/>
    <w:rsid w:val="00C5335C"/>
    <w:rsid w:val="00D50C3C"/>
    <w:rsid w:val="00D62464"/>
    <w:rsid w:val="00F869E3"/>
    <w:rsid w:val="00FD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E219D0"/>
  <w15:chartTrackingRefBased/>
  <w15:docId w15:val="{B344F88F-39BD-754F-9CAD-9FB5E73A7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4E1"/>
    <w:rPr>
      <w:rFonts w:ascii="Arial" w:eastAsia="Arial" w:hAnsi="Arial" w:cs="Arial"/>
      <w:kern w:val="0"/>
      <w:sz w:val="20"/>
      <w:szCs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63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3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3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3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3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34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34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34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34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3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3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3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34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34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34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34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34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34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34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3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34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3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34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34E1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7634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34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3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34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34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705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Elena Solorzano</dc:creator>
  <cp:keywords/>
  <dc:description/>
  <cp:lastModifiedBy>Diana Elena Solorzano</cp:lastModifiedBy>
  <cp:revision>3</cp:revision>
  <dcterms:created xsi:type="dcterms:W3CDTF">2026-06-20T23:13:00Z</dcterms:created>
  <dcterms:modified xsi:type="dcterms:W3CDTF">2026-06-20T23:14:00Z</dcterms:modified>
</cp:coreProperties>
</file>