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8" w:name="X598e9cbee65fbd348ea07f0d811fa4a41b16fd2"/>
    <w:p>
      <w:pPr>
        <w:pStyle w:val="Heading1"/>
      </w:pPr>
      <w:r>
        <w:t xml:space="preserve">Global Vaccination Coverage &amp; Vaccine-Preventable Disease Analysis</w:t>
      </w:r>
    </w:p>
    <w:p>
      <w:pPr>
        <w:pStyle w:val="FirstParagraph"/>
      </w:pPr>
      <w:r>
        <w:rPr>
          <w:bCs/>
          <w:b/>
        </w:rPr>
        <w:t xml:space="preserve">A Data Analysis Project Report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This project analyzes WHO/UNICEF immunization data (1980–2023) across five</w:t>
      </w:r>
      <w:r>
        <w:t xml:space="preserve"> </w:t>
      </w:r>
      <w:r>
        <w:t xml:space="preserve">linked tables — vaccine coverage, disease incidence, reported cases,</w:t>
      </w:r>
      <w:r>
        <w:t xml:space="preserve"> </w:t>
      </w:r>
      <w:r>
        <w:t xml:space="preserve">vaccine introduction, and vaccine schedules — to examine the relationship</w:t>
      </w:r>
      <w:r>
        <w:t xml:space="preserve"> </w:t>
      </w:r>
      <w:r>
        <w:t xml:space="preserve">between vaccination programs and vaccine-preventable disease outcomes. The</w:t>
      </w:r>
      <w:r>
        <w:t xml:space="preserve"> </w:t>
      </w:r>
      <w:r>
        <w:t xml:space="preserve">data (381K+ coverage records, 82K+ incidence and case records, 138K+</w:t>
      </w:r>
      <w:r>
        <w:t xml:space="preserve"> </w:t>
      </w:r>
      <w:r>
        <w:t xml:space="preserve">introduction records) was cleaned, loaded into a normalized SQL database,</w:t>
      </w:r>
      <w:r>
        <w:t xml:space="preserve"> </w:t>
      </w:r>
      <w:r>
        <w:t xml:space="preserve">explored through univariate, bivariate, and multivariate EDA, and queried</w:t>
      </w:r>
      <w:r>
        <w:t xml:space="preserve"> </w:t>
      </w:r>
      <w:r>
        <w:t xml:space="preserve">to answer a defined set of easy, medium, and scenario-based analytical</w:t>
      </w:r>
      <w:r>
        <w:t xml:space="preserve"> </w:t>
      </w:r>
      <w:r>
        <w:t xml:space="preserve">questions. The analysis finds a clear historical link between rising</w:t>
      </w:r>
      <w:r>
        <w:t xml:space="preserve"> </w:t>
      </w:r>
      <w:r>
        <w:t xml:space="preserve">coverage and falling disease incidence (e.g., measles incidence fell from</w:t>
      </w:r>
      <w:r>
        <w:t xml:space="preserve"> </w:t>
      </w:r>
      <w:r>
        <w:t xml:space="preserve">~714 to ~43 per unit population between 1990 and 2022), while surfacing</w:t>
      </w:r>
      <w:r>
        <w:t xml:space="preserve"> </w:t>
      </w:r>
      <w:r>
        <w:t xml:space="preserve">specific, addressable gaps: a larger-than-average DTP dose drop-off in the</w:t>
      </w:r>
      <w:r>
        <w:t xml:space="preserve"> </w:t>
      </w:r>
      <w:r>
        <w:t xml:space="preserve">AFRO region, a lag in Rotavirus vaccine introduction in SEARO, and a</w:t>
      </w:r>
      <w:r>
        <w:t xml:space="preserve"> </w:t>
      </w:r>
      <w:r>
        <w:t xml:space="preserve">COVID-era coverage dip that booster doses have not recovered from as of</w:t>
      </w:r>
      <w:r>
        <w:t xml:space="preserve"> </w:t>
      </w:r>
      <w:r>
        <w:t xml:space="preserve">2023. Questions requiring demographic fields not present in the source</w:t>
      </w:r>
      <w:r>
        <w:t xml:space="preserve"> </w:t>
      </w:r>
      <w:r>
        <w:t xml:space="preserve">data (gender, education, urban/rural, seasonality) are reported as</w:t>
      </w:r>
      <w:r>
        <w:t xml:space="preserve"> </w:t>
      </w:r>
      <w:r>
        <w:t xml:space="preserve">unanswerable with this dataset rather than estimated.</w:t>
      </w:r>
    </w:p>
    <w:bookmarkEnd w:id="20"/>
    <w:bookmarkStart w:id="21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Vaccination remains one of the most cost-effective public health</w:t>
      </w:r>
      <w:r>
        <w:t xml:space="preserve"> </w:t>
      </w:r>
      <w:r>
        <w:t xml:space="preserve">interventions for reducing morbidity and mortality from preventable</w:t>
      </w:r>
      <w:r>
        <w:t xml:space="preserve"> </w:t>
      </w:r>
      <w:r>
        <w:t xml:space="preserve">disease. This project uses publicly available WHO/UNICEF immunization data</w:t>
      </w:r>
      <w:r>
        <w:t xml:space="preserve"> </w:t>
      </w:r>
      <w:r>
        <w:t xml:space="preserve">to quantify how coverage relates to disease incidence, and to identify</w:t>
      </w:r>
      <w:r>
        <w:t xml:space="preserve"> </w:t>
      </w:r>
      <w:r>
        <w:t xml:space="preserve">where coverage, dose-completion, and vaccine-introduction gaps persist</w:t>
      </w:r>
      <w:r>
        <w:t xml:space="preserve"> </w:t>
      </w:r>
      <w:r>
        <w:t xml:space="preserve">across countries and WHO regions.</w:t>
      </w:r>
    </w:p>
    <w:bookmarkEnd w:id="21"/>
    <w:bookmarkStart w:id="22" w:name="problem-statement"/>
    <w:p>
      <w:pPr>
        <w:pStyle w:val="Heading2"/>
      </w:pPr>
      <w:r>
        <w:t xml:space="preserve">3. Problem Statement</w:t>
      </w:r>
    </w:p>
    <w:p>
      <w:pPr>
        <w:pStyle w:val="FirstParagraph"/>
      </w:pPr>
      <w:r>
        <w:t xml:space="preserve">How effective has global vaccination coverage been at reducing</w:t>
      </w:r>
      <w:r>
        <w:t xml:space="preserve"> </w:t>
      </w:r>
      <w:r>
        <w:t xml:space="preserve">vaccine-preventable disease incidence between 1980 and 2023, and where do</w:t>
      </w:r>
      <w:r>
        <w:t xml:space="preserve"> </w:t>
      </w:r>
      <w:r>
        <w:t xml:space="preserve">the largest regional gaps in coverage, dose completion, and vaccine</w:t>
      </w:r>
      <w:r>
        <w:t xml:space="preserve"> </w:t>
      </w:r>
      <w:r>
        <w:t xml:space="preserve">introduction remain?</w:t>
      </w:r>
    </w:p>
    <w:bookmarkEnd w:id="22"/>
    <w:bookmarkStart w:id="23" w:name="objectives"/>
    <w:p>
      <w:pPr>
        <w:pStyle w:val="Heading2"/>
      </w:pPr>
      <w:r>
        <w:t xml:space="preserve">4. Objectives</w:t>
      </w:r>
    </w:p>
    <w:p>
      <w:pPr>
        <w:numPr>
          <w:ilvl w:val="0"/>
          <w:numId w:val="1001"/>
        </w:numPr>
        <w:pStyle w:val="Compact"/>
      </w:pPr>
      <w:r>
        <w:t xml:space="preserve">Clean and structure five linked WHO source tables into an</w:t>
      </w:r>
      <w:r>
        <w:t xml:space="preserve"> </w:t>
      </w:r>
      <w:r>
        <w:t xml:space="preserve">analysis-ready, normalized form.</w:t>
      </w:r>
    </w:p>
    <w:p>
      <w:pPr>
        <w:numPr>
          <w:ilvl w:val="0"/>
          <w:numId w:val="1001"/>
        </w:numPr>
        <w:pStyle w:val="Compact"/>
      </w:pPr>
      <w:r>
        <w:t xml:space="preserve">Build a normalized SQL database supporting reproducible analytical</w:t>
      </w:r>
      <w:r>
        <w:t xml:space="preserve"> </w:t>
      </w:r>
      <w:r>
        <w:t xml:space="preserve">queries.</w:t>
      </w:r>
    </w:p>
    <w:p>
      <w:pPr>
        <w:numPr>
          <w:ilvl w:val="0"/>
          <w:numId w:val="1001"/>
        </w:numPr>
        <w:pStyle w:val="Compact"/>
      </w:pPr>
      <w:r>
        <w:t xml:space="preserve">Quantify the relationship between vaccination coverage and disease</w:t>
      </w:r>
      <w:r>
        <w:t xml:space="preserve"> </w:t>
      </w:r>
      <w:r>
        <w:t xml:space="preserve">incidence at the country and regional level.</w:t>
      </w:r>
    </w:p>
    <w:p>
      <w:pPr>
        <w:numPr>
          <w:ilvl w:val="0"/>
          <w:numId w:val="1001"/>
        </w:numPr>
        <w:pStyle w:val="Compact"/>
      </w:pPr>
      <w:r>
        <w:t xml:space="preserve">Identify specific regions/vaccines with the largest coverage,</w:t>
      </w:r>
      <w:r>
        <w:t xml:space="preserve"> </w:t>
      </w:r>
      <w:r>
        <w:t xml:space="preserve">dose-completion, or introduction gaps.</w:t>
      </w:r>
    </w:p>
    <w:p>
      <w:pPr>
        <w:numPr>
          <w:ilvl w:val="0"/>
          <w:numId w:val="1001"/>
        </w:numPr>
        <w:pStyle w:val="Compact"/>
      </w:pPr>
      <w:r>
        <w:t xml:space="preserve">Deliver a Power BI dashboard design for ongoing monitoring.</w:t>
      </w:r>
    </w:p>
    <w:p>
      <w:pPr>
        <w:numPr>
          <w:ilvl w:val="0"/>
          <w:numId w:val="1001"/>
        </w:numPr>
        <w:pStyle w:val="Compact"/>
      </w:pPr>
      <w:r>
        <w:t xml:space="preserve">Clearly flag any project question that the available data cannot</w:t>
      </w:r>
      <w:r>
        <w:t xml:space="preserve"> </w:t>
      </w:r>
      <w:r>
        <w:t xml:space="preserve">answer, rather than filling gaps with assumptions.</w:t>
      </w:r>
    </w:p>
    <w:bookmarkEnd w:id="23"/>
    <w:bookmarkStart w:id="24" w:name="dataset-description"/>
    <w:p>
      <w:pPr>
        <w:pStyle w:val="Heading2"/>
      </w:pPr>
      <w:r>
        <w:t xml:space="preserve">5. Dataset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(country-level, cleaned)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coverage-data.xlsx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381,041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× year × antigen × coverage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Disease_Incidence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incidence-rate-data.xlsx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× year ×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reported-cases-data.xlsx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× year ×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vaccine-introduction-data.xlsx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1940–2023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× year × vaccine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vaccine-schedule-data.xlsx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× year × vaccine × dose round</w:t>
            </w:r>
          </w:p>
        </w:tc>
      </w:tr>
    </w:tbl>
    <w:p>
      <w:pPr>
        <w:pStyle w:val="BodyText"/>
      </w:pPr>
      <w:r>
        <w:t xml:space="preserve">Each source file also contained WHO reference/metadata sheets (dropped for</w:t>
      </w:r>
      <w:r>
        <w:t xml:space="preserve"> </w:t>
      </w:r>
      <w:r>
        <w:t xml:space="preserve">analysis) and a footer metadata row (dropped during cleaning). Coverage</w:t>
      </w:r>
      <w:r>
        <w:t xml:space="preserve"> </w:t>
      </w:r>
      <w:r>
        <w:t xml:space="preserve">additionally contains WHO’s own regional/global rollup rows (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), separated out during cleaning rather than mixed with</w:t>
      </w:r>
      <w:r>
        <w:t xml:space="preserve"> </w:t>
      </w:r>
      <w:r>
        <w:t xml:space="preserve">country-level records.</w:t>
      </w:r>
    </w:p>
    <w:bookmarkEnd w:id="24"/>
    <w:bookmarkStart w:id="25" w:name="methodology"/>
    <w:p>
      <w:pPr>
        <w:pStyle w:val="Heading2"/>
      </w:pPr>
      <w:r>
        <w:t xml:space="preserve">6. Methodology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Inspection</w:t>
      </w:r>
      <w:r>
        <w:t xml:space="preserve"> </w:t>
      </w:r>
      <w:r>
        <w:t xml:space="preserve">— every source file’s sheets, columns, dtypes, and</w:t>
      </w:r>
      <w:r>
        <w:t xml:space="preserve"> </w:t>
      </w:r>
      <w:r>
        <w:t xml:space="preserve">missingness were profiled before any cleaning decision was made (no</w:t>
      </w:r>
      <w:r>
        <w:t xml:space="preserve"> </w:t>
      </w:r>
      <w:r>
        <w:t xml:space="preserve">assumed schema).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Cleaning</w:t>
      </w:r>
      <w:r>
        <w:t xml:space="preserve"> </w:t>
      </w:r>
      <w:r>
        <w:t xml:space="preserve">— see Section 8.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Normalization</w:t>
      </w:r>
      <w:r>
        <w:t xml:space="preserve"> </w:t>
      </w:r>
      <w:r>
        <w:t xml:space="preserve">— a 3-dimension / 5-fact-table SQL schema was</w:t>
      </w:r>
      <w:r>
        <w:t xml:space="preserve"> </w:t>
      </w:r>
      <w:r>
        <w:t xml:space="preserve">designed and loaded (Section 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EDA</w:t>
      </w:r>
      <w:r>
        <w:t xml:space="preserve"> </w:t>
      </w:r>
      <w:r>
        <w:t xml:space="preserve">— 15 charts across univariate, bivariate, and multivariate</w:t>
      </w:r>
      <w:r>
        <w:t xml:space="preserve"> </w:t>
      </w:r>
      <w:r>
        <w:t xml:space="preserve">views (Section 10), built and executed against the real database.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Querying</w:t>
      </w:r>
      <w:r>
        <w:t xml:space="preserve"> </w:t>
      </w:r>
      <w:r>
        <w:t xml:space="preserve">— 8 analytical SQL queries answering the project’s</w:t>
      </w:r>
      <w:r>
        <w:t xml:space="preserve"> </w:t>
      </w:r>
      <w:r>
        <w:t xml:space="preserve">easy/medium question tiers, each run and verified (Section 11).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Dashboarding</w:t>
      </w:r>
      <w:r>
        <w:t xml:space="preserve"> </w:t>
      </w:r>
      <w:r>
        <w:t xml:space="preserve">— a Power BI design translating the same schema and</w:t>
      </w:r>
      <w:r>
        <w:t xml:space="preserve"> </w:t>
      </w:r>
      <w:r>
        <w:t xml:space="preserve">findings into an interactive, slicer-driven dashboard (Section 12).</w:t>
      </w:r>
    </w:p>
    <w:bookmarkEnd w:id="25"/>
    <w:bookmarkStart w:id="26" w:name="data-cleaning"/>
    <w:p>
      <w:pPr>
        <w:pStyle w:val="Heading2"/>
      </w:pPr>
      <w:r>
        <w:t xml:space="preserve">7. Data Cleaning</w:t>
      </w:r>
    </w:p>
    <w:p>
      <w:pPr>
        <w:pStyle w:val="FirstParagraph"/>
      </w:pPr>
      <w:r>
        <w:t xml:space="preserve">Applied uniformly by</w:t>
      </w:r>
      <w:r>
        <w:t xml:space="preserve"> </w:t>
      </w:r>
      <w:r>
        <w:rPr>
          <w:rStyle w:val="VerbatimChar"/>
        </w:rPr>
        <w:t xml:space="preserve">python/data_cleaning.py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Footer rows dropped</w:t>
      </w:r>
      <w:r>
        <w:t xml:space="preserve">: every source file ends in a metadata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"Created: &lt;timestamp&gt;"</w:t>
      </w:r>
      <w:r>
        <w:t xml:space="preserve">) with all data columns null — identified via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being null and removed.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Country vs. aggregate rows split</w:t>
      </w:r>
      <w:r>
        <w:t xml:space="preserve">: Coverage/Incidence/Cases mix</w:t>
      </w:r>
      <w:r>
        <w:t xml:space="preserve"> </w:t>
      </w:r>
      <w:r>
        <w:rPr>
          <w:rStyle w:val="VerbatimChar"/>
        </w:rPr>
        <w:t xml:space="preserve">GROUP == 'COUNTRIES'</w:t>
      </w:r>
      <w:r>
        <w:t xml:space="preserve"> </w:t>
      </w:r>
      <w:r>
        <w:t xml:space="preserve">rows with WHO’s own regional/global/income-group</w:t>
      </w:r>
      <w:r>
        <w:t xml:space="preserve"> </w:t>
      </w:r>
      <w:r>
        <w:t xml:space="preserve">rollups (</w:t>
      </w:r>
      <w:r>
        <w:rPr>
          <w:rStyle w:val="VerbatimChar"/>
        </w:rPr>
        <w:t xml:space="preserve">WHO_REGIONS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WB_LONG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WB_SHORT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GAVI_PHASE5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UNICEF_REGIONS</w:t>
      </w:r>
      <w:r>
        <w:t xml:space="preserve">). These were</w:t>
      </w:r>
      <w:r>
        <w:t xml:space="preserve"> </w:t>
      </w:r>
      <w:r>
        <w:t xml:space="preserve">written to separate</w:t>
      </w:r>
      <w:r>
        <w:t xml:space="preserve"> </w:t>
      </w:r>
      <w:r>
        <w:rPr>
          <w:rStyle w:val="VerbatimChar"/>
        </w:rPr>
        <w:t xml:space="preserve">*_country.csv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*_aggregate.csv</w:t>
      </w:r>
      <w:r>
        <w:t xml:space="preserve"> </w:t>
      </w:r>
      <w:r>
        <w:t xml:space="preserve">outputs so</w:t>
      </w:r>
      <w:r>
        <w:t xml:space="preserve"> </w:t>
      </w:r>
      <w:r>
        <w:t xml:space="preserve">country-level analysis is never silently double-counted with regional</w:t>
      </w:r>
      <w:r>
        <w:t xml:space="preserve"> </w:t>
      </w:r>
      <w:r>
        <w:t xml:space="preserve">rollups, while preserving the official WHO rollups for anyone who needs</w:t>
      </w:r>
      <w:r>
        <w:t xml:space="preserve"> </w:t>
      </w:r>
      <w:r>
        <w:t xml:space="preserve">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cast float → int; string columns stripped of</w:t>
      </w:r>
      <w:r>
        <w:t xml:space="preserve"> </w:t>
      </w:r>
      <w:r>
        <w:t xml:space="preserve">whitespace.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Duplicates</w:t>
      </w:r>
      <w:r>
        <w:t xml:space="preserve">: exact-duplicate rows dropped (0 found in every table</w:t>
      </w:r>
      <w:r>
        <w:t xml:space="preserve"> </w:t>
      </w:r>
      <w:r>
        <w:t xml:space="preserve">after footer removal — verified, not assumed).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Missing values — deliberately not imputed.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is null for</w:t>
      </w:r>
      <w:r>
        <w:t xml:space="preserve"> </w:t>
      </w:r>
      <w:r>
        <w:t xml:space="preserve">44.4% of country-level Coverage rows. This is not random: it reflects</w:t>
      </w:r>
      <w:r>
        <w:t xml:space="preserve"> </w:t>
      </w:r>
      <w:r>
        <w:t xml:space="preserve">antigen/country/year/category combinations WHO has no reported estimate</w:t>
      </w:r>
      <w:r>
        <w:t xml:space="preserve"> </w:t>
      </w:r>
      <w:r>
        <w:t xml:space="preserve">for. Filling these with a mean, zero, or interpolated value would</w:t>
      </w:r>
      <w:r>
        <w:t xml:space="preserve"> </w:t>
      </w:r>
      <w:r>
        <w:t xml:space="preserve">fabricate an epidemiological measurement the source does not support, so</w:t>
      </w:r>
      <w:r>
        <w:t xml:space="preserve"> </w:t>
      </w:r>
      <w:r>
        <w:t xml:space="preserve">nulls were preserved and every downstream query/chart either filters</w:t>
      </w:r>
      <w:r>
        <w:t xml:space="preserve"> </w:t>
      </w:r>
      <w:r>
        <w:t xml:space="preserve">them explicitly or reports on the subset with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Vaccine/disease name standardization</w:t>
      </w:r>
      <w:r>
        <w:t xml:space="preserve">: WHO’s own antigen/disease</w:t>
      </w:r>
      <w:r>
        <w:t xml:space="preserve"> </w:t>
      </w:r>
      <w:r>
        <w:t xml:space="preserve">codes (</w:t>
      </w:r>
      <w:r>
        <w:rPr>
          <w:rStyle w:val="VerbatimChar"/>
        </w:rPr>
        <w:t xml:space="preserve">ANTIGEN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DISEASE</w:t>
      </w:r>
      <w:r>
        <w:t xml:space="preserve">) were kept as-is (they are a controlled WHO</w:t>
      </w:r>
      <w:r>
        <w:t xml:space="preserve"> </w:t>
      </w:r>
      <w:r>
        <w:t xml:space="preserve">vocabulary); only whitespace was stripped. No codes were remapped or</w:t>
      </w:r>
      <w:r>
        <w:t xml:space="preserve"> </w:t>
      </w:r>
      <w:r>
        <w:t xml:space="preserve">merged across the three different vaccine-coding schemes present</w:t>
      </w:r>
      <w:r>
        <w:t xml:space="preserve"> </w:t>
      </w:r>
      <w:r>
        <w:t xml:space="preserve">(coverage’s</w:t>
      </w:r>
      <w:r>
        <w:t xml:space="preserve"> </w:t>
      </w:r>
      <w:r>
        <w:rPr>
          <w:rStyle w:val="VerbatimChar"/>
        </w:rPr>
        <w:t xml:space="preserve">ANTIGEN</w:t>
      </w:r>
      <w:r>
        <w:t xml:space="preserve">, introduction’s free-text vaccine name, schedule’s</w:t>
      </w:r>
      <w:r>
        <w:t xml:space="preserve"> </w:t>
      </w:r>
      <w:r>
        <w:rPr>
          <w:rStyle w:val="VerbatimChar"/>
        </w:rPr>
        <w:t xml:space="preserve">VACCINECODE</w:t>
      </w:r>
      <w:r>
        <w:t xml:space="preserve">) since no crosswalk table was supplied to validate such a</w:t>
      </w:r>
      <w:r>
        <w:t xml:space="preserve"> </w:t>
      </w:r>
      <w:r>
        <w:t xml:space="preserve">mapping against — inventing one would risk false equivalences.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Values &gt; 100% in COVERAGE</w:t>
      </w:r>
      <w:r>
        <w:t xml:space="preserve">: kept, not clipped. These are genuine</w:t>
      </w:r>
      <w:r>
        <w:t xml:space="preserve"> </w:t>
      </w:r>
      <w:r>
        <w:t xml:space="preserve">WHO-reported administrative-coverage values that occur when the</w:t>
      </w:r>
      <w:r>
        <w:t xml:space="preserve"> </w:t>
      </w:r>
      <w:r>
        <w:t xml:space="preserve">administrative target-population denominator undercounts the true</w:t>
      </w:r>
      <w:r>
        <w:t xml:space="preserve"> </w:t>
      </w:r>
      <w:r>
        <w:t xml:space="preserve">population; flagged in the EDA notebook (Chart / wrangling step) rather</w:t>
      </w:r>
      <w:r>
        <w:t xml:space="preserve"> </w:t>
      </w:r>
      <w:r>
        <w:t xml:space="preserve">than silently altered.</w:t>
      </w:r>
    </w:p>
    <w:bookmarkEnd w:id="26"/>
    <w:bookmarkStart w:id="27" w:name="exploratory-data-analysis"/>
    <w:p>
      <w:pPr>
        <w:pStyle w:val="Heading2"/>
      </w:pPr>
      <w:r>
        <w:t xml:space="preserve">8. Exploratory Data Analysis</w:t>
      </w:r>
    </w:p>
    <w:p>
      <w:pPr>
        <w:pStyle w:val="FirstParagraph"/>
      </w:pPr>
      <w:r>
        <w:t xml:space="preserve">Full detail with charts, rationale, insights, and business-impact</w:t>
      </w:r>
      <w:r>
        <w:t xml:space="preserve"> </w:t>
      </w:r>
      <w:r>
        <w:t xml:space="preserve">assessments is in</w:t>
      </w:r>
      <w:r>
        <w:t xml:space="preserve"> </w:t>
      </w:r>
      <w:r>
        <w:rPr>
          <w:rStyle w:val="VerbatimChar"/>
        </w:rPr>
        <w:t xml:space="preserve">notebooks/vaccination_eda.ipynb</w:t>
      </w:r>
      <w:r>
        <w:t xml:space="preserve"> </w:t>
      </w:r>
      <w:r>
        <w:t xml:space="preserve">(15 charts). Summary of</w:t>
      </w:r>
      <w:r>
        <w:t xml:space="preserve"> </w:t>
      </w:r>
      <w:r>
        <w:t xml:space="preserve">each analysis tier:</w:t>
      </w:r>
    </w:p>
    <w:p>
      <w:pPr>
        <w:pStyle w:val="BodyText"/>
      </w:pPr>
      <w:r>
        <w:rPr>
          <w:bCs/>
          <w:b/>
        </w:rPr>
        <w:t xml:space="preserve">Univariate:</w:t>
      </w:r>
      <w:r>
        <w:t xml:space="preserve"> </w:t>
      </w:r>
      <w:r>
        <w:t xml:space="preserve">WHO-region country counts, most-reported vaccine antigens,</w:t>
      </w:r>
      <w:r>
        <w:t xml:space="preserve"> </w:t>
      </w:r>
      <w:r>
        <w:t xml:space="preserve">MCV1 coverage distribution relative to the 95% herd-immunity threshold.</w:t>
      </w:r>
    </w:p>
    <w:p>
      <w:pPr>
        <w:pStyle w:val="BodyText"/>
      </w:pPr>
      <w:r>
        <w:rPr>
          <w:bCs/>
          <w:b/>
        </w:rPr>
        <w:t xml:space="preserve">Bivariate:</w:t>
      </w:r>
      <w:r>
        <w:t xml:space="preserve"> </w:t>
      </w:r>
      <w:r>
        <w:t xml:space="preserve">DTP1 vs. DTP3 coverage by region (dose drop-off), MCV1</w:t>
      </w:r>
      <w:r>
        <w:t xml:space="preserve"> </w:t>
      </w:r>
      <w:r>
        <w:t xml:space="preserve">coverage vs. measles incidence scatter (country level, 2022), Rotavirus</w:t>
      </w:r>
      <w:r>
        <w:t xml:space="preserve"> </w:t>
      </w:r>
      <w:r>
        <w:t xml:space="preserve">introduction counts by region.</w:t>
      </w:r>
    </w:p>
    <w:p>
      <w:pPr>
        <w:pStyle w:val="BodyText"/>
      </w:pPr>
      <w:r>
        <w:rPr>
          <w:bCs/>
          <w:b/>
        </w:rPr>
        <w:t xml:space="preserve">Multivariate:</w:t>
      </w:r>
      <w:r>
        <w:t xml:space="preserve"> </w:t>
      </w:r>
      <w:r>
        <w:t xml:space="preserve">DTP3 coverage heatmap (region × year), correlation</w:t>
      </w:r>
      <w:r>
        <w:t xml:space="preserve"> </w:t>
      </w:r>
      <w:r>
        <w:t xml:space="preserve">matrix and pair plot across MCV1 coverage, DTP3 coverage, measles</w:t>
      </w:r>
      <w:r>
        <w:t xml:space="preserve"> </w:t>
      </w:r>
      <w:r>
        <w:t xml:space="preserve">incidence, and pertussis incidence, segmented by WHO region.</w:t>
      </w:r>
    </w:p>
    <w:bookmarkEnd w:id="27"/>
    <w:bookmarkStart w:id="28" w:name="sql-database-design"/>
    <w:p>
      <w:pPr>
        <w:pStyle w:val="Heading2"/>
      </w:pPr>
      <w:r>
        <w:t xml:space="preserve">9. SQL Database Design</w:t>
      </w:r>
    </w:p>
    <w:p>
      <w:pPr>
        <w:pStyle w:val="FirstParagraph"/>
      </w:pPr>
      <w:r>
        <w:t xml:space="preserve">Normalized schema — 3 dimensions, 5 facts (full DDL in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country_code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country_name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who_region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Vaccines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vaccine_code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composite PK,</w:t>
      </w:r>
      <w:r>
        <w:t xml:space="preserve"> </w:t>
      </w:r>
      <w:r>
        <w:rPr>
          <w:rStyle w:val="VerbatimChar"/>
        </w:rPr>
        <w:t xml:space="preserve">vaccine_description</w:t>
      </w:r>
      <w:r>
        <w:t xml:space="preserve">)</w:t>
      </w:r>
      <w:r>
        <w:t xml:space="preserve"> </w:t>
      </w:r>
      <w:r>
        <w:t xml:space="preserve">— source-tagged because the three vaccine-coding schemes across tables</w:t>
      </w:r>
      <w:r>
        <w:t xml:space="preserve"> </w:t>
      </w:r>
      <w:r>
        <w:t xml:space="preserve">are not a verified 1:1 crosswalk (documented explicitly rather than</w:t>
      </w:r>
      <w:r>
        <w:t xml:space="preserve"> </w:t>
      </w:r>
      <w:r>
        <w:t xml:space="preserve">merged)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disease_code</w:t>
      </w:r>
      <w:r>
        <w:t xml:space="preserve"> </w:t>
      </w:r>
      <w:r>
        <w:t xml:space="preserve">PK,</w:t>
      </w:r>
      <w:r>
        <w:t xml:space="preserve"> </w:t>
      </w:r>
      <w:r>
        <w:rPr>
          <w:rStyle w:val="VerbatimChar"/>
        </w:rPr>
        <w:t xml:space="preserve">disease_description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Coverage</w:t>
      </w:r>
      <w:r>
        <w:t xml:space="preserve">,</w:t>
      </w:r>
      <w:r>
        <w:t xml:space="preserve"> </w:t>
      </w:r>
      <w:r>
        <w:rPr>
          <w:bCs/>
          <w:b/>
        </w:rPr>
        <w:t xml:space="preserve">Disease_Incidence</w:t>
      </w:r>
      <w:r>
        <w:t xml:space="preserve">,</w:t>
      </w:r>
      <w:r>
        <w:t xml:space="preserve"> </w:t>
      </w:r>
      <w:r>
        <w:rPr>
          <w:bCs/>
          <w:b/>
        </w:rPr>
        <w:t xml:space="preserve">Reported_Cases</w:t>
      </w:r>
      <w:r>
        <w:t xml:space="preserve">,</w:t>
      </w:r>
      <w:r>
        <w:t xml:space="preserve"> </w:t>
      </w:r>
      <w:r>
        <w:rPr>
          <w:bCs/>
          <w:b/>
        </w:rPr>
        <w:t xml:space="preserve">Vaccine_Introduction</w:t>
      </w:r>
      <w:r>
        <w:t xml:space="preserve">,</w:t>
      </w:r>
      <w:r>
        <w:t xml:space="preserve"> </w:t>
      </w:r>
      <w:r>
        <w:rPr>
          <w:bCs/>
          <w:b/>
        </w:rPr>
        <w:t xml:space="preserve">Vaccine_Schedule</w:t>
      </w:r>
      <w:r>
        <w:t xml:space="preserve"> </w:t>
      </w:r>
      <w:r>
        <w:t xml:space="preserve">— fact tables, each with a</w:t>
      </w:r>
      <w:r>
        <w:t xml:space="preserve"> </w:t>
      </w:r>
      <w:r>
        <w:t xml:space="preserve">foreign key to</w:t>
      </w:r>
      <w:r>
        <w:t xml:space="preserve"> </w:t>
      </w:r>
      <w:r>
        <w:rPr>
          <w:rStyle w:val="VerbatimChar"/>
        </w:rPr>
        <w:t xml:space="preserve">Countries.country_code</w:t>
      </w:r>
      <w:r>
        <w:t xml:space="preserve">; the disease facts additionally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Diseases.disease_code</w:t>
      </w:r>
      <w:r>
        <w:t xml:space="preserve">.</w:t>
      </w:r>
    </w:p>
    <w:p>
      <w:pPr>
        <w:pStyle w:val="FirstParagraph"/>
      </w:pPr>
      <w:r>
        <w:t xml:space="preserve">Loaded into a working SQLite database (</w:t>
      </w:r>
      <w:r>
        <w:rPr>
          <w:rStyle w:val="VerbatimChar"/>
        </w:rPr>
        <w:t xml:space="preserve">sql/vaccination.db</w:t>
      </w:r>
      <w:r>
        <w:t xml:space="preserve">) with row</w:t>
      </w:r>
      <w:r>
        <w:t xml:space="preserve"> </w:t>
      </w:r>
      <w:r>
        <w:t xml:space="preserve">counts verified against the cleaned CSVs (Section 5 table). Indexes were</w:t>
      </w:r>
      <w:r>
        <w:t xml:space="preserve"> </w:t>
      </w:r>
      <w:r>
        <w:t xml:space="preserve">added on every</w:t>
      </w:r>
      <w:r>
        <w:t xml:space="preserve"> </w:t>
      </w:r>
      <w:r>
        <w:rPr>
          <w:rStyle w:val="VerbatimChar"/>
        </w:rPr>
        <w:t xml:space="preserve">(country_code, year)</w:t>
      </w:r>
      <w:r>
        <w:t xml:space="preserve"> </w:t>
      </w:r>
      <w:r>
        <w:t xml:space="preserve">and code column used in a join or</w:t>
      </w:r>
      <w:r>
        <w:t xml:space="preserve"> </w:t>
      </w:r>
      <w:r>
        <w:t xml:space="preserve">filter.</w:t>
      </w:r>
    </w:p>
    <w:bookmarkEnd w:id="28"/>
    <w:bookmarkStart w:id="29" w:name="sql-queries-findings"/>
    <w:p>
      <w:pPr>
        <w:pStyle w:val="Heading2"/>
      </w:pPr>
      <w:r>
        <w:t xml:space="preserve">10. SQL Queries &amp; Findings</w:t>
      </w:r>
    </w:p>
    <w:p>
      <w:pPr>
        <w:pStyle w:val="FirstParagraph"/>
      </w:pPr>
      <w:r>
        <w:t xml:space="preserve">Eight queries were written and run against</w:t>
      </w:r>
      <w:r>
        <w:t xml:space="preserve"> </w:t>
      </w:r>
      <w:r>
        <w:rPr>
          <w:rStyle w:val="VerbatimChar"/>
        </w:rPr>
        <w:t xml:space="preserve">sql/vaccination.db</w:t>
      </w:r>
      <w:r>
        <w:t xml:space="preserve"> </w:t>
      </w:r>
      <w:r>
        <w:t xml:space="preserve">(full text</w:t>
      </w:r>
      <w:r>
        <w:t xml:space="preserve"> </w:t>
      </w:r>
      <w:r>
        <w:t xml:space="preserve">and sample output in</w:t>
      </w:r>
      <w:r>
        <w:t xml:space="preserve"> </w:t>
      </w:r>
      <w:r>
        <w:rPr>
          <w:rStyle w:val="VerbatimChar"/>
        </w:rPr>
        <w:t xml:space="preserve">sql/analysis_queries.sql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MCV1 coverage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 to ~89% (2019), dipped to ~85%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High-coverage countries with nonzero measles incidence,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ZWE, SLE, ZMB, TJK etc. — all at/near 90%, below the 95% herd-immunity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DTP1→DTP3 drop-off by region,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AFRO largest gap (89.32%→83.23%, 6.1 pts); EURO smallest (95.56%→92.30%, 3.3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Booster-dose (DIPHCV4) trend, 2017–2023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Flat/declining: 83.33% → 81.29% → 83.20%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Rotavirus introduction by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AFRO 38 countries, SEARO only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Highest-coverage vaccines,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DTPCV1 92.25%, PCV1 90.69%, BCG 89.83%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incidence decline, 1990 vs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Measles 714.2→43.1; Pertussis 240.2→5.4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Hepatitis B (3rd dose) coverage gap by region,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AFRO lowest (83.24%), EURO highest (90.20%)</w:t>
            </w:r>
          </w:p>
        </w:tc>
      </w:tr>
    </w:tbl>
    <w:bookmarkEnd w:id="29"/>
    <w:bookmarkStart w:id="30" w:name="power-bi-dashboard"/>
    <w:p>
      <w:pPr>
        <w:pStyle w:val="Heading2"/>
      </w:pPr>
      <w:r>
        <w:t xml:space="preserve">11. Power BI Dashboard</w:t>
      </w:r>
    </w:p>
    <w:p>
      <w:pPr>
        <w:pStyle w:val="FirstParagraph"/>
      </w:pPr>
      <w:r>
        <w:t xml:space="preserve">The delivered dashboard file is</w:t>
      </w:r>
      <w:r>
        <w:t xml:space="preserve"> </w:t>
      </w:r>
      <w:r>
        <w:rPr>
          <w:rStyle w:val="VerbatimChar"/>
        </w:rPr>
        <w:t xml:space="preserve">powerbi/Vaccination_Dashboard.pbix</w:t>
      </w:r>
      <w:r>
        <w:t xml:space="preserve">.</w:t>
      </w:r>
      <w:r>
        <w:t xml:space="preserve"> </w:t>
      </w:r>
      <w:r>
        <w:t xml:space="preserve">Page 1 is built: 4 KPI cards (Total Countries, Total Doses, Average</w:t>
      </w:r>
      <w:r>
        <w:t xml:space="preserve"> </w:t>
      </w:r>
      <w:r>
        <w:t xml:space="preserve">Coverage, Total Cases), a coverage trend line chart, a country-level</w:t>
      </w:r>
      <w:r>
        <w:t xml:space="preserve"> </w:t>
      </w:r>
      <w:r>
        <w:t xml:space="preserve">coverage treemap, a reported-cases-by-disease bar chart, a doses-by-year</w:t>
      </w:r>
      <w:r>
        <w:t xml:space="preserve"> </w:t>
      </w:r>
      <w:r>
        <w:t xml:space="preserve">column chart, a cases trend line chart, and coverage comparisons by</w:t>
      </w:r>
      <w:r>
        <w:t xml:space="preserve"> </w:t>
      </w:r>
      <w:r>
        <w:t xml:space="preserve">vaccine and by country — all verified to use the correct aggregation</w:t>
      </w:r>
      <w:r>
        <w:t xml:space="preserve"> </w:t>
      </w:r>
      <w:r>
        <w:t xml:space="preserve">(Average for percentage fields, Sum for count fields).</w:t>
      </w:r>
    </w:p>
    <w:p>
      <w:pPr>
        <w:pStyle w:val="BodyText"/>
      </w:pPr>
      <w:r>
        <w:t xml:space="preserve">The full target design — including the region-comparison, dose-drop-off,</w:t>
      </w:r>
      <w:r>
        <w:t xml:space="preserve"> </w:t>
      </w:r>
      <w:r>
        <w:t xml:space="preserve">coverage-vs-incidence scatter, region×year heatmap, vaccine-introduction</w:t>
      </w:r>
      <w:r>
        <w:t xml:space="preserve"> </w:t>
      </w:r>
      <w:r>
        <w:t xml:space="preserve">timeline, slicers, and the 3-page layout — is specified in full in</w:t>
      </w:r>
      <w:r>
        <w:t xml:space="preserve"> </w:t>
      </w:r>
      <w:r>
        <w:rPr>
          <w:rStyle w:val="VerbatimChar"/>
        </w:rPr>
        <w:t xml:space="preserve">powerbi/PowerBI_Design_Guide.md</w:t>
      </w:r>
      <w:r>
        <w:t xml:space="preserve">, but is not yet built into the .pbix.</w:t>
      </w:r>
      <w:r>
        <w:t xml:space="preserve"> </w:t>
      </w:r>
      <w:r>
        <w:t xml:space="preserve">That remains the next step, documented here rather than presented as</w:t>
      </w:r>
      <w:r>
        <w:t xml:space="preserve"> </w:t>
      </w:r>
      <w:r>
        <w:t xml:space="preserve">finished: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 (built)</w:t>
      </w:r>
      <w:r>
        <w:t xml:space="preserve">: Total Countries, Total Doses, Average Coverage, Total</w:t>
      </w:r>
      <w:r>
        <w:t xml:space="preserve"> </w:t>
      </w:r>
      <w:r>
        <w:t xml:space="preserve">Cases.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Planned pages (design complete, build pending)</w:t>
      </w:r>
      <w:r>
        <w:t xml:space="preserve">: (1) Overview — trend</w:t>
      </w:r>
      <w:r>
        <w:t xml:space="preserve"> </w:t>
      </w:r>
      <w:r>
        <w:t xml:space="preserve">line + map + KPI cards; (2) Regional &amp; Dose Analysis — DTP1 vs DTP3 by</w:t>
      </w:r>
      <w:r>
        <w:t xml:space="preserve"> </w:t>
      </w:r>
      <w:r>
        <w:t xml:space="preserve">region, DTP3 heatmap; (3) Disease &amp; Introduction — incidence trend,</w:t>
      </w:r>
      <w:r>
        <w:t xml:space="preserve"> </w:t>
      </w:r>
      <w:r>
        <w:t xml:space="preserve">coverage-vs-incidence scatter, Rotavirus introduction timeline.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Planned slicers (not yet added)</w:t>
      </w:r>
      <w:r>
        <w:t xml:space="preserve">: Year, Country, WHO Region, Vaccine,</w:t>
      </w:r>
      <w:r>
        <w:t xml:space="preserve"> </w:t>
      </w:r>
      <w:r>
        <w:t xml:space="preserve">Disease.</w:t>
      </w:r>
    </w:p>
    <w:p>
      <w:pPr>
        <w:numPr>
          <w:ilvl w:val="0"/>
          <w:numId w:val="1005"/>
        </w:numPr>
        <w:pStyle w:val="Compact"/>
      </w:pPr>
      <w:r>
        <w:t xml:space="preserve">Modeling note explicitly documented: the Vaccines lookup table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joined into the relationship model, to avoid implying a false</w:t>
      </w:r>
      <w:r>
        <w:t xml:space="preserve"> </w:t>
      </w:r>
      <w:r>
        <w:t xml:space="preserve">equivalence between the three different vaccine-coding schemes.</w:t>
      </w:r>
    </w:p>
    <w:bookmarkEnd w:id="30"/>
    <w:bookmarkStart w:id="31" w:name="findings-key-insights"/>
    <w:p>
      <w:pPr>
        <w:pStyle w:val="Heading2"/>
      </w:pPr>
      <w:r>
        <w:t xml:space="preserve">12. Findings / Key Insights</w:t>
      </w:r>
    </w:p>
    <w:p>
      <w:pPr>
        <w:numPr>
          <w:ilvl w:val="0"/>
          <w:numId w:val="1006"/>
        </w:numPr>
        <w:pStyle w:val="Compact"/>
      </w:pPr>
      <w:r>
        <w:t xml:space="preserve">Global coverage and disease incidence move in opposite directions over</w:t>
      </w:r>
      <w:r>
        <w:t xml:space="preserve"> </w:t>
      </w:r>
      <w:r>
        <w:t xml:space="preserve">the 1980–2023 period, consistent with vaccination’s protective effect</w:t>
      </w:r>
      <w:r>
        <w:t xml:space="preserve"> </w:t>
      </w:r>
      <w:r>
        <w:t xml:space="preserve">(SQL Q1, Q7; EDA Charts 4, 7, 8, 14, 15).</w:t>
      </w:r>
    </w:p>
    <w:p>
      <w:pPr>
        <w:numPr>
          <w:ilvl w:val="0"/>
          <w:numId w:val="1006"/>
        </w:numPr>
        <w:pStyle w:val="Compact"/>
      </w:pPr>
      <w:r>
        <w:t xml:space="preserve">A country can have coverage at or above 90% and still report nonzero</w:t>
      </w:r>
      <w:r>
        <w:t xml:space="preserve"> </w:t>
      </w:r>
      <w:r>
        <w:t xml:space="preserve">measles incidence — 90% is below the ~95% herd-immunity threshold</w:t>
      </w:r>
      <w:r>
        <w:t xml:space="preserve"> </w:t>
      </w:r>
      <w:r>
        <w:t xml:space="preserve">commonly cited for measles (SQL Q2; EDA Chart 3).</w:t>
      </w:r>
    </w:p>
    <w:p>
      <w:pPr>
        <w:numPr>
          <w:ilvl w:val="0"/>
          <w:numId w:val="1006"/>
        </w:numPr>
        <w:pStyle w:val="Compact"/>
      </w:pPr>
      <w:r>
        <w:t xml:space="preserve">AFRO has the largest 1st-to-3rd-dose drop-off of any WHO region — a</w:t>
      </w:r>
      <w:r>
        <w:t xml:space="preserve"> </w:t>
      </w:r>
      <w:r>
        <w:t xml:space="preserve">retention/follow-up problem distinct from initial-access coverage (SQL</w:t>
      </w:r>
      <w:r>
        <w:t xml:space="preserve"> </w:t>
      </w:r>
      <w:r>
        <w:t xml:space="preserve">Q3; EDA Chart 5).</w:t>
      </w:r>
    </w:p>
    <w:p>
      <w:pPr>
        <w:numPr>
          <w:ilvl w:val="0"/>
          <w:numId w:val="1006"/>
        </w:numPr>
        <w:pStyle w:val="Compact"/>
      </w:pPr>
      <w:r>
        <w:t xml:space="preserve">SEARO lags substantially behind every other WHO region in Rotavirus</w:t>
      </w:r>
      <w:r>
        <w:t xml:space="preserve"> </w:t>
      </w:r>
      <w:r>
        <w:t xml:space="preserve">vaccine introduction (SQL Q5; EDA Chart 9).</w:t>
      </w:r>
    </w:p>
    <w:p>
      <w:pPr>
        <w:numPr>
          <w:ilvl w:val="0"/>
          <w:numId w:val="1006"/>
        </w:numPr>
        <w:pStyle w:val="Compact"/>
      </w:pPr>
      <w:r>
        <w:t xml:space="preserve">Booster-dose coverage has not shown the same historical rise seen in</w:t>
      </w:r>
      <w:r>
        <w:t xml:space="preserve"> </w:t>
      </w:r>
      <w:r>
        <w:t xml:space="preserve">primary-series doses, and has been flat-to-declining across the only</w:t>
      </w:r>
      <w:r>
        <w:t xml:space="preserve"> </w:t>
      </w:r>
      <w:r>
        <w:t xml:space="preserve">years it’s reported (2017–2023) (SQL Q4; EDA Chart 13).</w:t>
      </w:r>
    </w:p>
    <w:p>
      <w:pPr>
        <w:numPr>
          <w:ilvl w:val="0"/>
          <w:numId w:val="1006"/>
        </w:numPr>
        <w:pStyle w:val="Compact"/>
      </w:pPr>
      <w:r>
        <w:t xml:space="preserve">A visible, multi-antigen, multi-region coverage dip occurred in</w:t>
      </w:r>
      <w:r>
        <w:t xml:space="preserve"> </w:t>
      </w:r>
      <w:r>
        <w:t xml:space="preserve">2020–2021, consistent with COVID-19-era disruption to routine</w:t>
      </w:r>
      <w:r>
        <w:t xml:space="preserve"> </w:t>
      </w:r>
      <w:r>
        <w:t xml:space="preserve">immunization services (EDA Charts 4, 12).</w:t>
      </w:r>
    </w:p>
    <w:bookmarkEnd w:id="31"/>
    <w:bookmarkStart w:id="32" w:name="scenario-analysis"/>
    <w:p>
      <w:pPr>
        <w:pStyle w:val="Heading2"/>
      </w:pPr>
      <w:r>
        <w:t xml:space="preserve">13. Scenario Analysis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health ministry has budget for one intervention — where</w:t>
      </w:r>
      <w:r>
        <w:rPr>
          <w:bCs/>
          <w:b/>
        </w:rPr>
        <w:t xml:space="preserve"> </w:t>
      </w:r>
      <w:r>
        <w:rPr>
          <w:bCs/>
          <w:b/>
        </w:rPr>
        <w:t xml:space="preserve">should it go?</w:t>
      </w:r>
      <w:r>
        <w:rPr>
          <w:bCs/>
          <w:b/>
        </w:rPr>
        <w:t xml:space="preserve">”</w:t>
      </w:r>
      <w:r>
        <w:t xml:space="preserve"> </w:t>
      </w:r>
      <w:r>
        <w:t xml:space="preserve">— Based on Finding 3 above, a retention/follow-up</w:t>
      </w:r>
      <w:r>
        <w:t xml:space="preserve"> </w:t>
      </w:r>
      <w:r>
        <w:t xml:space="preserve">program (SMS reminders, community health worker follow-up visits) in</w:t>
      </w:r>
      <w:r>
        <w:t xml:space="preserve"> </w:t>
      </w:r>
      <w:r>
        <w:t xml:space="preserve">AFRO would likely yield more completed vaccinations per dollar than a</w:t>
      </w:r>
      <w:r>
        <w:t xml:space="preserve"> </w:t>
      </w:r>
      <w:r>
        <w:t xml:space="preserve">first-dose outreach campaign, since first-dose access (DTP1 ~89%) is</w:t>
      </w:r>
      <w:r>
        <w:t xml:space="preserve"> </w:t>
      </w:r>
      <w:r>
        <w:t xml:space="preserve">already comparatively strong there relative to completion (DTP3 ~83%).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a 90%-coverage country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safe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from a measles outbreak?</w:t>
      </w:r>
      <w:r>
        <w:rPr>
          <w:bCs/>
          <w:b/>
        </w:rPr>
        <w:t xml:space="preserve">”</w:t>
      </w:r>
      <w:r>
        <w:t xml:space="preserve"> </w:t>
      </w:r>
      <w:r>
        <w:t xml:space="preserve">— No, per Finding 2: the source data shows multiple countries at or</w:t>
      </w:r>
      <w:r>
        <w:t xml:space="preserve"> </w:t>
      </w:r>
      <w:r>
        <w:t xml:space="preserve">above 90% MCV1 coverage with active measles incidence in 2022, because</w:t>
      </w:r>
      <w:r>
        <w:t xml:space="preserve"> </w:t>
      </w:r>
      <w:r>
        <w:t xml:space="preserve">90% is below the epidemiological threshold typically needed for herd</w:t>
      </w:r>
      <w:r>
        <w:t xml:space="preserve"> </w:t>
      </w:r>
      <w:r>
        <w:t xml:space="preserve">immunity against measles specifically (a highly transmissible disease).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Did COVID-19 affect all vaccines equally?</w:t>
      </w:r>
      <w:r>
        <w:rPr>
          <w:bCs/>
          <w:b/>
        </w:rPr>
        <w:t xml:space="preserve">”</w:t>
      </w:r>
      <w:r>
        <w:t xml:space="preserve"> </w:t>
      </w:r>
      <w:r>
        <w:t xml:space="preserve">— Cannot be</w:t>
      </w:r>
      <w:r>
        <w:t xml:space="preserve"> </w:t>
      </w:r>
      <w:r>
        <w:t xml:space="preserve">fully answered with precision using the available dataset: the dip is</w:t>
      </w:r>
      <w:r>
        <w:t xml:space="preserve"> </w:t>
      </w:r>
      <w:r>
        <w:t xml:space="preserve">visible across the antigens and regions checked in this project (MCV1,</w:t>
      </w:r>
      <w:r>
        <w:t xml:space="preserve"> </w:t>
      </w:r>
      <w:r>
        <w:t xml:space="preserve">DTP3), but a rigorous</w:t>
      </w:r>
      <w:r>
        <w:t xml:space="preserve"> </w:t>
      </w:r>
      <w:r>
        <w:t xml:space="preserve">“</w:t>
      </w:r>
      <w:r>
        <w:t xml:space="preserve">equally affected</w:t>
      </w:r>
      <w:r>
        <w:t xml:space="preserve">”</w:t>
      </w:r>
      <w:r>
        <w:t xml:space="preserve"> </w:t>
      </w:r>
      <w:r>
        <w:t xml:space="preserve">claim would require checking</w:t>
      </w:r>
      <w:r>
        <w:t xml:space="preserve"> </w:t>
      </w:r>
      <w:r>
        <w:t xml:space="preserve">every antigen individually, which was outside this project’s scope.</w:t>
      </w:r>
      <w:r>
        <w:t xml:space="preserve"> </w:t>
      </w:r>
      <w:r>
        <w:t xml:space="preserve">Stated as a partial finding, not a comprehensive one.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 questions requiring gender, education level, urban/rural</w:t>
      </w:r>
      <w:r>
        <w:rPr>
          <w:bCs/>
          <w:b/>
        </w:rPr>
        <w:t xml:space="preserve"> </w:t>
      </w:r>
      <w:r>
        <w:rPr>
          <w:bCs/>
          <w:b/>
        </w:rPr>
        <w:t xml:space="preserve">status, or seasonal patterns</w:t>
      </w:r>
      <w:r>
        <w:t xml:space="preserve">: cannot be reliably analyzed using the</w:t>
      </w:r>
      <w:r>
        <w:t xml:space="preserve"> </w:t>
      </w:r>
      <w:r>
        <w:t xml:space="preserve">available dataset — none of the five source tables contain these fields.</w:t>
      </w:r>
    </w:p>
    <w:bookmarkEnd w:id="32"/>
    <w:bookmarkStart w:id="33" w:name="challenges"/>
    <w:p>
      <w:pPr>
        <w:pStyle w:val="Heading2"/>
      </w:pPr>
      <w:r>
        <w:t xml:space="preserve">14. Challenges</w:t>
      </w:r>
    </w:p>
    <w:p>
      <w:pPr>
        <w:numPr>
          <w:ilvl w:val="0"/>
          <w:numId w:val="1008"/>
        </w:numPr>
        <w:pStyle w:val="Compact"/>
      </w:pPr>
      <w:r>
        <w:t xml:space="preserve">Three incompatible vaccine-coding schemes across the source tables, with</w:t>
      </w:r>
      <w:r>
        <w:t xml:space="preserve"> </w:t>
      </w:r>
      <w:r>
        <w:t xml:space="preserve">no supplied crosswalk, prevented building a single unified Vaccines</w:t>
      </w:r>
      <w:r>
        <w:t xml:space="preserve"> </w:t>
      </w:r>
      <w:r>
        <w:t xml:space="preserve">dimension without risking a fabricated mapping.</w:t>
      </w:r>
    </w:p>
    <w:p>
      <w:pPr>
        <w:numPr>
          <w:ilvl w:val="0"/>
          <w:numId w:val="1008"/>
        </w:numPr>
        <w:pStyle w:val="Compact"/>
      </w:pPr>
      <w:r>
        <w:t xml:space="preserve">44% missingness in the Coverage table’s core metric required a</w:t>
      </w:r>
      <w:r>
        <w:t xml:space="preserve"> </w:t>
      </w:r>
      <w:r>
        <w:t xml:space="preserve">no-imputation policy that reduces the sample size in some slices (e.g.</w:t>
      </w:r>
      <w:r>
        <w:t xml:space="preserve"> </w:t>
      </w:r>
      <w:r>
        <w:t xml:space="preserve">the booster-dose trend has only 7 years of ADMIN-category data).</w:t>
      </w:r>
    </w:p>
    <w:p>
      <w:pPr>
        <w:numPr>
          <w:ilvl w:val="0"/>
          <w:numId w:val="1008"/>
        </w:numPr>
        <w:pStyle w:val="Compact"/>
      </w:pPr>
      <w:r>
        <w:t xml:space="preserve">Regional comparisons are simple (unweighted) country averages, not</w:t>
      </w:r>
      <w:r>
        <w:t xml:space="preserve"> </w:t>
      </w:r>
      <w:r>
        <w:t xml:space="preserve">population-weighted, which can overstate the influence of small</w:t>
      </w:r>
      <w:r>
        <w:t xml:space="preserve"> </w:t>
      </w:r>
      <w:r>
        <w:t xml:space="preserve">countries relative to large ones within a region.</w:t>
      </w:r>
    </w:p>
    <w:bookmarkEnd w:id="33"/>
    <w:bookmarkStart w:id="34" w:name="limitations"/>
    <w:p>
      <w:pPr>
        <w:pStyle w:val="Heading2"/>
      </w:pPr>
      <w:r>
        <w:t xml:space="preserve">15. Limitations</w:t>
      </w:r>
    </w:p>
    <w:p>
      <w:pPr>
        <w:numPr>
          <w:ilvl w:val="0"/>
          <w:numId w:val="1009"/>
        </w:numPr>
        <w:pStyle w:val="Compact"/>
      </w:pPr>
      <w:r>
        <w:t xml:space="preserve">No demographic breakdown fields (gender, education, urban/rural) exist</w:t>
      </w:r>
      <w:r>
        <w:t xml:space="preserve"> </w:t>
      </w:r>
      <w:r>
        <w:t xml:space="preserve">in the source data — any finding about demographic disparities is</w:t>
      </w:r>
      <w:r>
        <w:t xml:space="preserve"> </w:t>
      </w:r>
      <w:r>
        <w:t xml:space="preserve">outside the scope of what this dataset can support.</w:t>
      </w:r>
    </w:p>
    <w:p>
      <w:pPr>
        <w:numPr>
          <w:ilvl w:val="0"/>
          <w:numId w:val="1009"/>
        </w:numPr>
        <w:pStyle w:val="Compact"/>
      </w:pPr>
      <w:r>
        <w:t xml:space="preserve">No seasonality field exists — any seasonal-pattern question is likewise</w:t>
      </w:r>
      <w:r>
        <w:t xml:space="preserve"> </w:t>
      </w:r>
      <w:r>
        <w:t xml:space="preserve">unanswerable from this dataset.</w:t>
      </w:r>
    </w:p>
    <w:p>
      <w:pPr>
        <w:numPr>
          <w:ilvl w:val="0"/>
          <w:numId w:val="1009"/>
        </w:numPr>
        <w:pStyle w:val="Compact"/>
      </w:pPr>
      <w:r>
        <w:t xml:space="preserve">Coverage-vs-incidence correlation is associational, not causal; other</w:t>
      </w:r>
      <w:r>
        <w:t xml:space="preserve"> </w:t>
      </w:r>
      <w:r>
        <w:t xml:space="preserve">factors (healthcare access, sanitation, reporting quality) plausibly</w:t>
      </w:r>
      <w:r>
        <w:t xml:space="preserve"> </w:t>
      </w:r>
      <w:r>
        <w:t xml:space="preserve">confound the relationship and were not controlled for.</w:t>
      </w:r>
    </w:p>
    <w:p>
      <w:pPr>
        <w:numPr>
          <w:ilvl w:val="0"/>
          <w:numId w:val="1009"/>
        </w:numPr>
        <w:pStyle w:val="Compact"/>
      </w:pPr>
      <w:r>
        <w:t xml:space="preserve">Vaccine introduction/schedule/coverage figures rely on country</w:t>
      </w:r>
      <w:r>
        <w:t xml:space="preserve"> </w:t>
      </w:r>
      <w:r>
        <w:t xml:space="preserve">self-reporting to WHO, with likely variable reporting quality across</w:t>
      </w:r>
      <w:r>
        <w:t xml:space="preserve"> </w:t>
      </w:r>
      <w:r>
        <w:t xml:space="preserve">countries — not independently audited as part of this project.</w:t>
      </w:r>
    </w:p>
    <w:bookmarkEnd w:id="34"/>
    <w:bookmarkStart w:id="35" w:name="conclusion"/>
    <w:p>
      <w:pPr>
        <w:pStyle w:val="Heading2"/>
      </w:pPr>
      <w:r>
        <w:t xml:space="preserve">16. Conclusion</w:t>
      </w:r>
    </w:p>
    <w:p>
      <w:pPr>
        <w:pStyle w:val="FirstParagraph"/>
      </w:pPr>
      <w:r>
        <w:t xml:space="preserve">The data supports a clear historical link between rising vaccination</w:t>
      </w:r>
      <w:r>
        <w:t xml:space="preserve"> </w:t>
      </w:r>
      <w:r>
        <w:t xml:space="preserve">coverage and declining vaccine-preventable disease incidence, while also</w:t>
      </w:r>
      <w:r>
        <w:t xml:space="preserve"> </w:t>
      </w:r>
      <w:r>
        <w:t xml:space="preserve">identifying specific, addressable operational gaps — dose-completion in</w:t>
      </w:r>
      <w:r>
        <w:t xml:space="preserve"> </w:t>
      </w:r>
      <w:r>
        <w:t xml:space="preserve">AFRO, vaccine introduction in SEARO, and booster-dose stagnation globally</w:t>
      </w:r>
      <w:r>
        <w:t xml:space="preserve"> </w:t>
      </w:r>
      <w:r>
        <w:t xml:space="preserve">— that a targeted program could act on. Equally important, several</w:t>
      </w:r>
      <w:r>
        <w:t xml:space="preserve"> </w:t>
      </w:r>
      <w:r>
        <w:t xml:space="preserve">questions in the original project brief could not be answered from this</w:t>
      </w:r>
      <w:r>
        <w:t xml:space="preserve"> </w:t>
      </w:r>
      <w:r>
        <w:t xml:space="preserve">dataset and are reported as such, rather than filled in with assumed or</w:t>
      </w:r>
      <w:r>
        <w:t xml:space="preserve"> </w:t>
      </w:r>
      <w:r>
        <w:t xml:space="preserve">fabricated figures.</w:t>
      </w:r>
    </w:p>
    <w:bookmarkEnd w:id="35"/>
    <w:bookmarkStart w:id="36" w:name="future-scope"/>
    <w:p>
      <w:pPr>
        <w:pStyle w:val="Heading2"/>
      </w:pPr>
      <w:r>
        <w:t xml:space="preserve">17. Future Scope</w:t>
      </w:r>
    </w:p>
    <w:p>
      <w:pPr>
        <w:numPr>
          <w:ilvl w:val="0"/>
          <w:numId w:val="1010"/>
        </w:numPr>
        <w:pStyle w:val="Compact"/>
      </w:pPr>
      <w:r>
        <w:t xml:space="preserve">Acquire a vaccine-code crosswalk to safely unify the Vaccines dimension</w:t>
      </w:r>
      <w:r>
        <w:t xml:space="preserve"> </w:t>
      </w:r>
      <w:r>
        <w:t xml:space="preserve">across all three source tables.</w:t>
      </w:r>
    </w:p>
    <w:p>
      <w:pPr>
        <w:numPr>
          <w:ilvl w:val="0"/>
          <w:numId w:val="1010"/>
        </w:numPr>
        <w:pStyle w:val="Compact"/>
      </w:pPr>
      <w:r>
        <w:t xml:space="preserve">Add population data to compute population-weighted regional coverage</w:t>
      </w:r>
      <w:r>
        <w:t xml:space="preserve"> </w:t>
      </w:r>
      <w:r>
        <w:t xml:space="preserve">figures.</w:t>
      </w:r>
    </w:p>
    <w:p>
      <w:pPr>
        <w:numPr>
          <w:ilvl w:val="0"/>
          <w:numId w:val="1010"/>
        </w:numPr>
        <w:pStyle w:val="Compact"/>
      </w:pPr>
      <w:r>
        <w:t xml:space="preserve">Extend to a lagged coverage→incidence model (coverage in year N vs.</w:t>
      </w:r>
      <w:r>
        <w:t xml:space="preserve"> </w:t>
      </w:r>
      <w:r>
        <w:t xml:space="preserve">incidence in year N+1/N+2) to better capture delayed immunity effects.</w:t>
      </w:r>
    </w:p>
    <w:p>
      <w:pPr>
        <w:numPr>
          <w:ilvl w:val="0"/>
          <w:numId w:val="1010"/>
        </w:numPr>
        <w:pStyle w:val="Compact"/>
      </w:pPr>
      <w:r>
        <w:t xml:space="preserve">If demographic or seasonal data becomes available from another WHO</w:t>
      </w:r>
      <w:r>
        <w:t xml:space="preserve"> </w:t>
      </w:r>
      <w:r>
        <w:t xml:space="preserve">source, extend the schema to support those questions directly rather</w:t>
      </w:r>
      <w:r>
        <w:t xml:space="preserve"> </w:t>
      </w:r>
      <w:r>
        <w:t xml:space="preserve">than leaving them unanswered.</w:t>
      </w:r>
    </w:p>
    <w:bookmarkEnd w:id="36"/>
    <w:bookmarkStart w:id="37" w:name="references"/>
    <w:p>
      <w:pPr>
        <w:pStyle w:val="Heading2"/>
      </w:pPr>
      <w:r>
        <w:t xml:space="preserve">18. References</w:t>
      </w:r>
    </w:p>
    <w:p>
      <w:pPr>
        <w:numPr>
          <w:ilvl w:val="0"/>
          <w:numId w:val="1011"/>
        </w:numPr>
        <w:pStyle w:val="Compact"/>
      </w:pPr>
      <w:r>
        <w:t xml:space="preserve">WHO/UNICEF Immunization Data Portal — Coverage, Incidence Rate, Reported</w:t>
      </w:r>
      <w:r>
        <w:t xml:space="preserve"> </w:t>
      </w:r>
      <w:r>
        <w:t xml:space="preserve">Cases, Vaccine Introduction, and Vaccine Schedule datasets (extract</w:t>
      </w:r>
      <w:r>
        <w:t xml:space="preserve"> </w:t>
      </w:r>
      <w:r>
        <w:t xml:space="preserve">dated 2025-02-01, per each source file’s footer metadata row).</w:t>
      </w:r>
    </w:p>
    <w:p>
      <w:pPr>
        <w:numPr>
          <w:ilvl w:val="0"/>
          <w:numId w:val="1011"/>
        </w:numPr>
        <w:pStyle w:val="Compact"/>
      </w:pPr>
      <w:r>
        <w:t xml:space="preserve">World Health Organization,</w:t>
      </w:r>
      <w:r>
        <w:t xml:space="preserve"> </w:t>
      </w:r>
      <w:r>
        <w:t xml:space="preserve">“</w:t>
      </w:r>
      <w:r>
        <w:t xml:space="preserve">WHO/UNICEF Estimates of National</w:t>
      </w:r>
      <w:r>
        <w:t xml:space="preserve"> </w:t>
      </w:r>
      <w:r>
        <w:t xml:space="preserve">Immunization Coverage (WUENIC),</w:t>
      </w:r>
      <w:r>
        <w:t xml:space="preserve">”</w:t>
      </w:r>
      <w:r>
        <w:t xml:space="preserve"> </w:t>
      </w:r>
      <w:r>
        <w:t xml:space="preserve">2023 Revision.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2026-09-24T11:24:36Z</dcterms:created>
  <dcterms:modified xsi:type="dcterms:W3CDTF">2026-09-24T11:24:36Z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