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480"/>
        <w:jc w:val="center"/>
      </w:pPr>
      <w:r>
        <w:rPr>
          <w:rFonts w:ascii="黑体" w:hAnsi="黑体" w:eastAsia="黑体"/>
          <w:b/>
          <w:color w:val="000000"/>
          <w:sz w:val="44"/>
        </w:rPr>
        <w:t>拓展阅读：毕昇编译器的中间表示</w:t>
      </w:r>
    </w:p>
    <w:p>
      <w:pPr>
        <w:spacing w:after="720"/>
        <w:jc w:val="center"/>
      </w:pPr>
      <w:r>
        <w:rPr>
          <w:rFonts w:ascii="宋体" w:hAnsi="宋体" w:eastAsia="宋体"/>
          <w:sz w:val="28"/>
        </w:rPr>
        <w:t>SSA 形式 IR 的特点及其优化优势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6"/>
        <w:gridCol w:w="4646"/>
      </w:tblGrid>
      <w:tr>
        <w:trPr>
          <w:trHeight w:val="510"/>
        </w:trPr>
        <w:tc>
          <w:tcPr>
            <w:tcW w:type="dxa" w:w="4646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课程名称</w:t>
            </w:r>
          </w:p>
        </w:tc>
        <w:tc>
          <w:tcPr>
            <w:tcW w:type="dxa" w:w="464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编译原理</w:t>
            </w:r>
          </w:p>
        </w:tc>
      </w:tr>
      <w:tr>
        <w:trPr>
          <w:trHeight w:val="510"/>
        </w:trPr>
        <w:tc>
          <w:tcPr>
            <w:tcW w:type="dxa" w:w="4646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学生姓名</w:t>
            </w:r>
          </w:p>
        </w:tc>
        <w:tc>
          <w:tcPr>
            <w:tcW w:type="dxa" w:w="464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</w:tr>
      <w:tr>
        <w:trPr>
          <w:trHeight w:val="510"/>
        </w:trPr>
        <w:tc>
          <w:tcPr>
            <w:tcW w:type="dxa" w:w="4646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班级/学号</w:t>
            </w:r>
          </w:p>
        </w:tc>
        <w:tc>
          <w:tcPr>
            <w:tcW w:type="dxa" w:w="464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（请填写）</w:t>
            </w:r>
          </w:p>
        </w:tc>
      </w:tr>
      <w:tr>
        <w:trPr>
          <w:trHeight w:val="510"/>
        </w:trPr>
        <w:tc>
          <w:tcPr>
            <w:tcW w:type="dxa" w:w="4646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提交日期</w:t>
            </w:r>
          </w:p>
        </w:tc>
        <w:tc>
          <w:tcPr>
            <w:tcW w:type="dxa" w:w="464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 年 5 月</w:t>
            </w:r>
          </w:p>
        </w:tc>
      </w:tr>
    </w:tbl>
    <w:p>
      <w:pPr>
        <w:sectPr>
          <w:pgSz w:w="12240" w:h="15840"/>
          <w:pgMar w:top="1361" w:right="1474" w:bottom="1247" w:left="1474" w:header="720" w:footer="720" w:gutter="0"/>
          <w:cols w:space="720"/>
          <w:docGrid w:linePitch="360"/>
        </w:sectPr>
      </w:pPr>
    </w:p>
    <w:p>
      <w:pPr>
        <w:pStyle w:val="Heading1"/>
        <w:spacing w:before="240" w:after="120"/>
      </w:pPr>
      <w:r>
        <w:rPr>
          <w:rFonts w:ascii="黑体" w:hAnsi="黑体" w:eastAsia="黑体"/>
          <w:b/>
          <w:color w:val="000000"/>
          <w:sz w:val="30"/>
        </w:rPr>
        <w:t>一、引言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sz w:val="22"/>
        </w:rPr>
        <w:t>毕昇编译器是面向鲲鹏生态的重要编译工具链。根据鲲鹏社区文档，毕昇编译器基于 LLVM 开发，并集成了 C/C++/Fortran 等语言前端及编译驱动；这意味着它的中间表示与优化体系继承了 LLVM IR 的核心思想。LLVM 官方语言参考也明确说明，LLVM IR 采用静态单赋值形式（SSA form）。因此，理解 SSA 形式的 IR，是理解毕昇编译器数据流分析和优化机制的一个关键入口。</w:t>
      </w:r>
    </w:p>
    <w:p>
      <w:pPr>
        <w:pStyle w:val="Heading1"/>
        <w:spacing w:before="240" w:after="120"/>
      </w:pPr>
      <w:r>
        <w:rPr>
          <w:rFonts w:ascii="黑体" w:hAnsi="黑体" w:eastAsia="黑体"/>
          <w:b/>
          <w:color w:val="000000"/>
          <w:sz w:val="30"/>
        </w:rPr>
        <w:t>二、SSA 形式 IR 的基本思想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sz w:val="22"/>
        </w:rPr>
        <w:t>SSA 的全称是 Static Single Assignment，即静态单赋值。它要求程序中的每一个变量名只被赋值一次；如果源程序中同一个变量在不同位置被多次更新，编译器会在 IR 中把它们重命名为不同的版本。这样，变量名本身就带有“定义点”的信息，编译器可以直接从一次定义追踪到所有使用点。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sz w:val="22"/>
        </w:rPr>
        <w:t>控制流汇合处需要特殊处理。例如一个变量可能来自 if 分支的两个不同赋值，SSA 会使用 phi 节点表示“根据前驱基本块选择哪个值”。phi 节点不是源程序中的普通语句，而是 SSA IR 在控制流图上表达数据来源的一种机制。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92"/>
      </w:tblGrid>
      <w:tr>
        <w:tc>
          <w:tcPr>
            <w:tcW w:type="dxa" w:w="9292"/>
            <w:shd w:fill="F3F6FA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t>传统写法：</w:t>
            </w:r>
            <w:r>
              <w:br/>
            </w:r>
            <w:r>
              <w:rPr>
                <w:rFonts w:ascii="Consolas" w:hAnsi="Consolas" w:eastAsia="Consolas"/>
                <w:sz w:val="19"/>
              </w:rPr>
              <w:t>x = 1</w:t>
            </w:r>
            <w:r>
              <w:br/>
            </w:r>
            <w:r>
              <w:rPr>
                <w:rFonts w:ascii="Consolas" w:hAnsi="Consolas" w:eastAsia="Consolas"/>
                <w:sz w:val="19"/>
              </w:rPr>
              <w:t>if (cond) x = 2</w:t>
            </w:r>
            <w:r>
              <w:br/>
            </w:r>
            <w:r>
              <w:rPr>
                <w:rFonts w:ascii="Consolas" w:hAnsi="Consolas" w:eastAsia="Consolas"/>
                <w:sz w:val="19"/>
              </w:rPr>
              <w:t>y = x + 3</w:t>
            </w:r>
            <w:r>
              <w:br/>
            </w:r>
            <w:r>
              <w:rPr>
                <w:rFonts w:ascii="Consolas" w:hAnsi="Consolas" w:eastAsia="Consolas"/>
                <w:sz w:val="19"/>
              </w:rPr>
            </w:r>
            <w:r>
              <w:br/>
            </w:r>
            <w:r>
              <w:rPr>
                <w:rFonts w:ascii="Consolas" w:hAnsi="Consolas" w:eastAsia="Consolas"/>
                <w:sz w:val="19"/>
              </w:rPr>
              <w:t>SSA 思路：</w:t>
            </w:r>
            <w:r>
              <w:br/>
            </w:r>
            <w:r>
              <w:rPr>
                <w:rFonts w:ascii="Consolas" w:hAnsi="Consolas" w:eastAsia="Consolas"/>
                <w:sz w:val="19"/>
              </w:rPr>
              <w:t>x1 = 1</w:t>
            </w:r>
            <w:r>
              <w:br/>
            </w:r>
            <w:r>
              <w:rPr>
                <w:rFonts w:ascii="Consolas" w:hAnsi="Consolas" w:eastAsia="Consolas"/>
                <w:sz w:val="19"/>
              </w:rPr>
              <w:t>x2 = 2</w:t>
            </w:r>
            <w:r>
              <w:br/>
            </w:r>
            <w:r>
              <w:rPr>
                <w:rFonts w:ascii="Consolas" w:hAnsi="Consolas" w:eastAsia="Consolas"/>
                <w:sz w:val="19"/>
              </w:rPr>
              <w:t>x3 = phi(x1, x2)</w:t>
            </w:r>
            <w:r>
              <w:br/>
            </w:r>
            <w:r>
              <w:rPr>
                <w:rFonts w:ascii="Consolas" w:hAnsi="Consolas" w:eastAsia="Consolas"/>
                <w:sz w:val="19"/>
              </w:rPr>
              <w:t>y1 = x3 + 3</w:t>
            </w:r>
          </w:p>
        </w:tc>
      </w:tr>
    </w:tbl>
    <w:p/>
    <w:p>
      <w:pPr>
        <w:pStyle w:val="Heading1"/>
        <w:spacing w:before="240" w:after="120"/>
      </w:pPr>
      <w:r>
        <w:rPr>
          <w:rFonts w:ascii="黑体" w:hAnsi="黑体" w:eastAsia="黑体"/>
          <w:b/>
          <w:color w:val="000000"/>
          <w:sz w:val="30"/>
        </w:rPr>
        <w:t>三、与传统三地址码的差异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sz w:val="22"/>
        </w:rPr>
        <w:t>传统三地址码通常把程序拆成形如“a = b op c”的语句序列，适合表达基本运算和临时变量，但同一个变量可能在不同位置反复被定义。编译器若要判断某次使用到底来自哪次定义，就必须额外进行到达定义、活跃变量、使用-定义链等分析。SSA 则把这些关系显式化：一个名字只对应一个定义，使用点可以自然回溯到定义点，控制流合并则通过 phi 节点集中表达。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比较维度</w:t>
            </w:r>
          </w:p>
        </w:tc>
        <w:tc>
          <w:tcPr>
            <w:tcW w:type="dxa" w:w="3097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传统三地址码</w:t>
            </w:r>
          </w:p>
        </w:tc>
        <w:tc>
          <w:tcPr>
            <w:tcW w:type="dxa" w:w="3097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SSA 形式 IR</w:t>
            </w:r>
          </w:p>
        </w:tc>
      </w:tr>
      <w:tr>
        <w:tc>
          <w:tcPr>
            <w:tcW w:type="dxa" w:w="309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变量定义</w:t>
            </w:r>
          </w:p>
        </w:tc>
        <w:tc>
          <w:tcPr>
            <w:tcW w:type="dxa" w:w="309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同一变量可多次赋值</w:t>
            </w:r>
          </w:p>
        </w:tc>
        <w:tc>
          <w:tcPr>
            <w:tcW w:type="dxa" w:w="309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每个变量版本只定义一次</w:t>
            </w:r>
          </w:p>
        </w:tc>
      </w:tr>
      <w:tr>
        <w:tc>
          <w:tcPr>
            <w:tcW w:type="dxa" w:w="309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数据依赖</w:t>
            </w:r>
          </w:p>
        </w:tc>
        <w:tc>
          <w:tcPr>
            <w:tcW w:type="dxa" w:w="309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需要额外构建 def-use/use-def 信息</w:t>
            </w:r>
          </w:p>
        </w:tc>
        <w:tc>
          <w:tcPr>
            <w:tcW w:type="dxa" w:w="309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定义与使用关系更直接</w:t>
            </w:r>
          </w:p>
        </w:tc>
      </w:tr>
      <w:tr>
        <w:tc>
          <w:tcPr>
            <w:tcW w:type="dxa" w:w="309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控制流汇合</w:t>
            </w:r>
          </w:p>
        </w:tc>
        <w:tc>
          <w:tcPr>
            <w:tcW w:type="dxa" w:w="309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通常隐含在变量值变化中</w:t>
            </w:r>
          </w:p>
        </w:tc>
        <w:tc>
          <w:tcPr>
            <w:tcW w:type="dxa" w:w="309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用 phi 节点显式表达</w:t>
            </w:r>
          </w:p>
        </w:tc>
      </w:tr>
      <w:tr>
        <w:tc>
          <w:tcPr>
            <w:tcW w:type="dxa" w:w="309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优化便利性</w:t>
            </w:r>
          </w:p>
        </w:tc>
        <w:tc>
          <w:tcPr>
            <w:tcW w:type="dxa" w:w="309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分析前置工作较多</w:t>
            </w:r>
          </w:p>
        </w:tc>
        <w:tc>
          <w:tcPr>
            <w:tcW w:type="dxa" w:w="309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更利于稀疏数据流分析和局部化变换</w:t>
            </w:r>
          </w:p>
        </w:tc>
      </w:tr>
    </w:tbl>
    <w:p>
      <w:pPr>
        <w:pStyle w:val="Heading1"/>
        <w:spacing w:before="240" w:after="120"/>
      </w:pPr>
      <w:r>
        <w:rPr>
          <w:rFonts w:ascii="黑体" w:hAnsi="黑体" w:eastAsia="黑体"/>
          <w:b/>
          <w:color w:val="000000"/>
          <w:sz w:val="30"/>
        </w:rPr>
        <w:t>四、SSA 在数据流分析中的优势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sz w:val="22"/>
        </w:rPr>
        <w:t>第一，SSA 简化了定义-使用关系。由于每个 SSA 名字只有一个定义点，编译器不必在大量可能的赋值语句之间反复求解“这个值从哪里来”。这会让常量传播、复制传播、死代码删除等分析更直接，也降低了数据流方程求解的复杂度。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sz w:val="22"/>
        </w:rPr>
        <w:t>第二，SSA 更适合稀疏数据流分析。传统数据流分析常以基本块或程序点为单位传播集合，可能会扫描很多与目标变量无关的位置。SSA 中的 def-use 链把分析范围约束在真正相关的值和使用点上，因此分析可以沿着值流动的边进行，避免无效传播。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sz w:val="22"/>
        </w:rPr>
        <w:t>第三，SSA 让控制流和数据流的交汇关系更清楚。phi 节点把不同分支进入同一基本块时的值选择显式化，使编译器能够更准确地判断变量在循环、分支和合并路径中的来源。这一点对循环优化、条件分支优化和全局值编号尤其重要。</w:t>
      </w:r>
    </w:p>
    <w:p>
      <w:pPr>
        <w:pStyle w:val="Heading1"/>
        <w:spacing w:before="240" w:after="120"/>
      </w:pPr>
      <w:r>
        <w:rPr>
          <w:rFonts w:ascii="黑体" w:hAnsi="黑体" w:eastAsia="黑体"/>
          <w:b/>
          <w:color w:val="000000"/>
          <w:sz w:val="30"/>
        </w:rPr>
        <w:t>五、SSA 对优化的帮助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sz w:val="22"/>
        </w:rPr>
        <w:t>在常量传播中，如果某个 SSA 值被证明为常量，那么它的所有使用点都可以直接替换；在死代码删除中，如果一个 SSA 定义没有有效使用，且该定义没有副作用，就可以安全删除；在公共子表达式消除和全局值编号中，SSA 的单定义特性也让表达式等价性判断更清晰。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sz w:val="22"/>
        </w:rPr>
        <w:t>对于现代优化器来说，SSA 不只是语法形式，而是一种把程序变成“值流图”的组织方式。毕昇编译器基于 LLVM 技术路线，因此它能够利用 LLVM IR 与优化 Pass 体系，在目标平台相关优化之前进行大量平台无关优化。SSA 形式在这里起到基础支撑作用：它提高了分析精度，也让优化结果更容易保持语义正确。</w:t>
      </w:r>
    </w:p>
    <w:p>
      <w:pPr>
        <w:pStyle w:val="Heading1"/>
        <w:spacing w:before="240" w:after="120"/>
      </w:pPr>
      <w:r>
        <w:rPr>
          <w:rFonts w:ascii="黑体" w:hAnsi="黑体" w:eastAsia="黑体"/>
          <w:b/>
          <w:color w:val="000000"/>
          <w:sz w:val="30"/>
        </w:rPr>
        <w:t>六、小结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sz w:val="22"/>
        </w:rPr>
        <w:t>总的来说，毕昇编译器采用的 SSA 形式 IR 相比传统三地址码，更强调“值的来源”和“值的使用”之间的明确关系。三地址码适合作为线性化的中间代码表达，而 SSA 更适合作为优化器内部的分析与变换基础。通过变量版本化和 phi 节点，SSA 将数据依赖显式化，使数据流分析更稀疏、更精确，也使常量传播、死代码删除、公共子表达式消除、循环优化等编译优化更容易实现和组合。</w:t>
      </w:r>
    </w:p>
    <w:p>
      <w:pPr>
        <w:pStyle w:val="Heading1"/>
        <w:spacing w:before="240" w:after="120"/>
      </w:pPr>
      <w:r>
        <w:rPr>
          <w:rFonts w:ascii="黑体" w:hAnsi="黑体" w:eastAsia="黑体"/>
          <w:b/>
          <w:color w:val="000000"/>
          <w:sz w:val="30"/>
        </w:rPr>
        <w:t>参考资料</w:t>
      </w:r>
    </w:p>
    <w:p>
      <w:pPr>
        <w:spacing w:line="288" w:lineRule="auto"/>
        <w:ind w:left="360" w:hanging="360"/>
      </w:pPr>
      <w:r>
        <w:rPr>
          <w:rFonts w:ascii="宋体" w:hAnsi="宋体" w:eastAsia="宋体"/>
          <w:sz w:val="21"/>
        </w:rPr>
        <w:t>鲲鹏社区文档：《毕昇编译器介绍》，https://www.hikunpeng.com/document/detail/zh/kunpengdevkithistory/bisheng/hist-bisheng/kunpengbisheng_06_0001_1.html</w:t>
      </w:r>
    </w:p>
    <w:p>
      <w:pPr>
        <w:spacing w:line="288" w:lineRule="auto"/>
        <w:ind w:left="360" w:hanging="360"/>
      </w:pPr>
      <w:r>
        <w:rPr>
          <w:rFonts w:ascii="宋体" w:hAnsi="宋体" w:eastAsia="宋体"/>
          <w:sz w:val="21"/>
        </w:rPr>
        <w:t>LLVM Project: LLVM Language Reference Manual，https://llvm.org/docs/LangRef.html</w:t>
      </w:r>
    </w:p>
    <w:p>
      <w:pPr>
        <w:spacing w:line="288" w:lineRule="auto"/>
        <w:ind w:left="360" w:hanging="360"/>
      </w:pPr>
      <w:r>
        <w:rPr>
          <w:rFonts w:ascii="宋体" w:hAnsi="宋体" w:eastAsia="宋体"/>
          <w:sz w:val="21"/>
        </w:rPr>
        <w:t>华保健、高耀清：《毕昇编译器原理与实践》，清华大学出版社，2022 年。</w:t>
      </w:r>
    </w:p>
    <w:sectPr w:rsidR="00FC693F" w:rsidRPr="0006063C" w:rsidSect="00034616">
      <w:pgSz w:w="12240" w:h="15840"/>
      <w:pgMar w:top="1361" w:right="147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