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0BB6E" w14:textId="77777777" w:rsidR="00AA4999" w:rsidRPr="001E6C10" w:rsidRDefault="00AA4999" w:rsidP="00AA4999">
      <w:pPr>
        <w:shd w:val="clear" w:color="auto" w:fill="FFFFFF"/>
        <w:spacing w:after="120"/>
        <w:rPr>
          <w:rFonts w:ascii="Georgia" w:hAnsi="Georgia" w:cs="Arial"/>
          <w:color w:val="222222"/>
        </w:rPr>
      </w:pPr>
      <w:r w:rsidRPr="001E6C10">
        <w:rPr>
          <w:rFonts w:ascii="Georgia" w:hAnsi="Georgia" w:cs="Arial"/>
          <w:color w:val="222222"/>
        </w:rPr>
        <w:t xml:space="preserve">5) </w:t>
      </w:r>
      <w:r w:rsidRPr="001E6C10">
        <w:rPr>
          <w:rFonts w:ascii="Georgia" w:hAnsi="Georgia" w:cs="Arial"/>
          <w:b/>
          <w:color w:val="222222"/>
        </w:rPr>
        <w:t>március 5.</w:t>
      </w:r>
      <w:r w:rsidRPr="001E6C10">
        <w:rPr>
          <w:rFonts w:ascii="Georgia" w:hAnsi="Georgia" w:cs="Arial"/>
          <w:color w:val="222222"/>
        </w:rPr>
        <w:t xml:space="preserve"> Hűbériség és feudalizmus (Sashalmi E.)</w:t>
      </w:r>
    </w:p>
    <w:p w14:paraId="47332CF9" w14:textId="77777777" w:rsidR="00AA4999" w:rsidRPr="001E6C10" w:rsidRDefault="00AA4999" w:rsidP="00AA4999">
      <w:pPr>
        <w:shd w:val="clear" w:color="auto" w:fill="FFFFFF"/>
        <w:spacing w:after="120"/>
        <w:rPr>
          <w:rFonts w:ascii="Georgia" w:hAnsi="Georgia" w:cs="Arial"/>
          <w:color w:val="222222"/>
        </w:rPr>
      </w:pPr>
      <w:proofErr w:type="spellStart"/>
      <w:r w:rsidRPr="001E6C10">
        <w:rPr>
          <w:rFonts w:ascii="Georgia" w:hAnsi="Georgia" w:cs="Arial"/>
          <w:i/>
          <w:iCs/>
          <w:color w:val="222222"/>
        </w:rPr>
        <w:t>hospes</w:t>
      </w:r>
      <w:proofErr w:type="spellEnd"/>
      <w:r w:rsidRPr="001E6C10">
        <w:rPr>
          <w:rFonts w:ascii="Georgia" w:hAnsi="Georgia" w:cs="Arial"/>
          <w:color w:val="222222"/>
        </w:rPr>
        <w:t xml:space="preserve">: telepes, aki 12. századtól a túlnépesedés hatására Nyugat-Európából Kelet-Közép-Európába </w:t>
      </w:r>
      <w:proofErr w:type="spellStart"/>
      <w:r w:rsidRPr="001E6C10">
        <w:rPr>
          <w:rFonts w:ascii="Georgia" w:hAnsi="Georgia" w:cs="Arial"/>
          <w:color w:val="222222"/>
        </w:rPr>
        <w:t>vándorolt</w:t>
      </w:r>
      <w:proofErr w:type="spellEnd"/>
      <w:r w:rsidRPr="001E6C10">
        <w:rPr>
          <w:rFonts w:ascii="Georgia" w:hAnsi="Georgia" w:cs="Arial"/>
          <w:color w:val="222222"/>
        </w:rPr>
        <w:t xml:space="preserve"> át a földbőség és a kedvező feltételek (pl. adómentesség bizonyos időre) miatt.</w:t>
      </w:r>
    </w:p>
    <w:p w14:paraId="11512746" w14:textId="77777777" w:rsidR="00AA4999" w:rsidRPr="001E6C10" w:rsidRDefault="00AA4999" w:rsidP="00AA4999">
      <w:pPr>
        <w:shd w:val="clear" w:color="auto" w:fill="FFFFFF"/>
        <w:spacing w:after="120"/>
        <w:rPr>
          <w:rFonts w:ascii="Georgia" w:hAnsi="Georgia" w:cs="Arial"/>
          <w:color w:val="222222"/>
        </w:rPr>
      </w:pPr>
      <w:proofErr w:type="spellStart"/>
      <w:r w:rsidRPr="001E6C10">
        <w:rPr>
          <w:rFonts w:ascii="Georgia" w:hAnsi="Georgia" w:cs="Arial"/>
          <w:i/>
          <w:iCs/>
          <w:color w:val="222222"/>
        </w:rPr>
        <w:t>sessio</w:t>
      </w:r>
      <w:proofErr w:type="spellEnd"/>
      <w:r w:rsidRPr="001E6C10">
        <w:rPr>
          <w:rFonts w:ascii="Georgia" w:hAnsi="Georgia" w:cs="Arial"/>
          <w:color w:val="222222"/>
        </w:rPr>
        <w:t>: jobbágytelek megnevezése</w:t>
      </w:r>
    </w:p>
    <w:p w14:paraId="715C6199" w14:textId="77777777" w:rsidR="00AA4999" w:rsidRPr="001E6C10" w:rsidRDefault="00AA4999" w:rsidP="00AA4999">
      <w:pPr>
        <w:shd w:val="clear" w:color="auto" w:fill="FFFFFF"/>
        <w:spacing w:after="120"/>
        <w:rPr>
          <w:rFonts w:ascii="Georgia" w:hAnsi="Georgia"/>
          <w:i/>
          <w:iCs/>
        </w:rPr>
      </w:pPr>
      <w:proofErr w:type="spellStart"/>
      <w:r w:rsidRPr="001E6C10">
        <w:rPr>
          <w:rFonts w:ascii="Georgia" w:hAnsi="Georgia"/>
          <w:i/>
          <w:iCs/>
        </w:rPr>
        <w:t>aratrum</w:t>
      </w:r>
      <w:proofErr w:type="spellEnd"/>
      <w:r w:rsidRPr="001E6C10">
        <w:rPr>
          <w:rFonts w:ascii="Georgia" w:hAnsi="Georgia"/>
          <w:i/>
          <w:iCs/>
        </w:rPr>
        <w:t xml:space="preserve">: </w:t>
      </w:r>
      <w:r w:rsidRPr="001E6C10">
        <w:rPr>
          <w:rFonts w:ascii="Georgia" w:hAnsi="Georgia"/>
        </w:rPr>
        <w:t xml:space="preserve">a rómaiak által a </w:t>
      </w:r>
      <w:proofErr w:type="spellStart"/>
      <w:r w:rsidRPr="001E6C10">
        <w:rPr>
          <w:rFonts w:ascii="Georgia" w:hAnsi="Georgia"/>
        </w:rPr>
        <w:t>Mediterráneumban</w:t>
      </w:r>
      <w:proofErr w:type="spellEnd"/>
      <w:r w:rsidRPr="001E6C10">
        <w:rPr>
          <w:rFonts w:ascii="Georgia" w:hAnsi="Georgia"/>
        </w:rPr>
        <w:t xml:space="preserve"> használt könnyűeke (túróeke)</w:t>
      </w:r>
    </w:p>
    <w:p w14:paraId="00191B21" w14:textId="77777777" w:rsidR="00AA4999" w:rsidRPr="001E6C10" w:rsidRDefault="00AA4999" w:rsidP="00AA4999">
      <w:pPr>
        <w:shd w:val="clear" w:color="auto" w:fill="FFFFFF"/>
        <w:spacing w:after="120"/>
        <w:rPr>
          <w:rFonts w:ascii="Georgia" w:hAnsi="Georgia" w:cs="Arial"/>
          <w:color w:val="222222"/>
        </w:rPr>
      </w:pPr>
      <w:proofErr w:type="spellStart"/>
      <w:r w:rsidRPr="001E6C10">
        <w:rPr>
          <w:rFonts w:ascii="Georgia" w:hAnsi="Georgia"/>
          <w:i/>
          <w:iCs/>
        </w:rPr>
        <w:t>carruca</w:t>
      </w:r>
      <w:proofErr w:type="spellEnd"/>
      <w:r w:rsidRPr="001E6C10">
        <w:rPr>
          <w:rFonts w:ascii="Georgia" w:hAnsi="Georgia"/>
          <w:i/>
          <w:iCs/>
        </w:rPr>
        <w:t>:</w:t>
      </w:r>
      <w:r w:rsidRPr="001E6C10">
        <w:rPr>
          <w:rFonts w:ascii="Georgia" w:hAnsi="Georgia"/>
        </w:rPr>
        <w:t xml:space="preserve"> egyes germán népek által használt, </w:t>
      </w:r>
      <w:proofErr w:type="gramStart"/>
      <w:r w:rsidRPr="001E6C10">
        <w:rPr>
          <w:rFonts w:ascii="Georgia" w:hAnsi="Georgia"/>
        </w:rPr>
        <w:t>vas alkatrészekkel</w:t>
      </w:r>
      <w:proofErr w:type="gramEnd"/>
      <w:r w:rsidRPr="001E6C10">
        <w:rPr>
          <w:rFonts w:ascii="Georgia" w:hAnsi="Georgia"/>
        </w:rPr>
        <w:t xml:space="preserve"> felszerelt nehéz (ún.) fordítóeke </w:t>
      </w:r>
    </w:p>
    <w:p w14:paraId="5E326DDE" w14:textId="750070EF" w:rsidR="00AA4999" w:rsidRPr="001E6C10" w:rsidRDefault="00AA4999" w:rsidP="00AA4999">
      <w:pPr>
        <w:shd w:val="clear" w:color="auto" w:fill="FFFFFF"/>
        <w:spacing w:after="120"/>
        <w:rPr>
          <w:rFonts w:ascii="Georgia" w:hAnsi="Georgia" w:cs="Arial"/>
          <w:color w:val="222222"/>
        </w:rPr>
      </w:pPr>
      <w:proofErr w:type="spellStart"/>
      <w:r w:rsidRPr="001E6C10">
        <w:rPr>
          <w:rFonts w:ascii="Georgia" w:hAnsi="Georgia" w:cs="Arial"/>
          <w:i/>
          <w:iCs/>
          <w:color w:val="222222"/>
        </w:rPr>
        <w:t>bannum</w:t>
      </w:r>
      <w:proofErr w:type="spellEnd"/>
      <w:r w:rsidRPr="001E6C10">
        <w:rPr>
          <w:rFonts w:ascii="Georgia" w:hAnsi="Georgia" w:cs="Arial"/>
          <w:i/>
          <w:iCs/>
          <w:color w:val="222222"/>
        </w:rPr>
        <w:t>:</w:t>
      </w:r>
      <w:r w:rsidR="001E6C10" w:rsidRPr="001E6C10">
        <w:rPr>
          <w:rFonts w:ascii="Georgia" w:hAnsi="Georgia" w:cs="Arial"/>
          <w:i/>
          <w:iCs/>
          <w:color w:val="222222"/>
        </w:rPr>
        <w:t xml:space="preserve"> </w:t>
      </w:r>
      <w:r w:rsidRPr="001E6C10">
        <w:rPr>
          <w:rFonts w:ascii="Georgia" w:hAnsi="Georgia" w:cs="Arial"/>
          <w:color w:val="222222"/>
        </w:rPr>
        <w:t>a tiltás, parancsolás és büntetés joga Nagy Károly (768-814) és utódai idején</w:t>
      </w:r>
    </w:p>
    <w:p w14:paraId="4FADD649" w14:textId="77E97D1E" w:rsidR="00AA4999" w:rsidRPr="001E6C10" w:rsidRDefault="00AA4999" w:rsidP="00AA4999">
      <w:pPr>
        <w:shd w:val="clear" w:color="auto" w:fill="FFFFFF"/>
        <w:spacing w:after="120"/>
        <w:rPr>
          <w:rFonts w:ascii="Georgia" w:hAnsi="Georgia" w:cs="Arial"/>
          <w:color w:val="222222"/>
        </w:rPr>
      </w:pPr>
      <w:proofErr w:type="spellStart"/>
      <w:r w:rsidRPr="001E6C10">
        <w:rPr>
          <w:rFonts w:ascii="Georgia" w:hAnsi="Georgia" w:cs="Arial"/>
          <w:i/>
          <w:iCs/>
          <w:color w:val="222222"/>
        </w:rPr>
        <w:t>mallus</w:t>
      </w:r>
      <w:proofErr w:type="spellEnd"/>
      <w:r w:rsidRPr="001E6C10">
        <w:rPr>
          <w:rFonts w:ascii="Georgia" w:hAnsi="Georgia" w:cs="Arial"/>
          <w:i/>
          <w:iCs/>
          <w:color w:val="222222"/>
        </w:rPr>
        <w:t xml:space="preserve">: </w:t>
      </w:r>
      <w:r w:rsidRPr="001E6C10">
        <w:rPr>
          <w:rFonts w:ascii="Georgia" w:hAnsi="Georgia" w:cs="Arial"/>
          <w:color w:val="222222"/>
        </w:rPr>
        <w:t>a</w:t>
      </w:r>
      <w:r w:rsidR="001E6C10" w:rsidRPr="001E6C10">
        <w:rPr>
          <w:rFonts w:ascii="Georgia" w:hAnsi="Georgia" w:cs="Arial"/>
          <w:color w:val="222222"/>
        </w:rPr>
        <w:t xml:space="preserve"> </w:t>
      </w:r>
      <w:r w:rsidRPr="001E6C10">
        <w:rPr>
          <w:rFonts w:ascii="Georgia" w:hAnsi="Georgia" w:cs="Arial"/>
          <w:color w:val="222222"/>
        </w:rPr>
        <w:t>frankoknál a grófságokban a szabadok gyűlése</w:t>
      </w:r>
    </w:p>
    <w:p w14:paraId="5B028091" w14:textId="77777777" w:rsidR="00AA4999" w:rsidRPr="001E6C10" w:rsidRDefault="00AA4999" w:rsidP="00AA4999">
      <w:pPr>
        <w:shd w:val="clear" w:color="auto" w:fill="FFFFFF"/>
        <w:spacing w:after="120"/>
        <w:rPr>
          <w:rFonts w:ascii="Georgia" w:hAnsi="Georgia" w:cs="Arial"/>
          <w:color w:val="222222"/>
        </w:rPr>
      </w:pPr>
      <w:proofErr w:type="spellStart"/>
      <w:r w:rsidRPr="001E6C10">
        <w:rPr>
          <w:rFonts w:ascii="Georgia" w:hAnsi="Georgia" w:cs="Arial"/>
          <w:i/>
          <w:iCs/>
          <w:color w:val="222222"/>
        </w:rPr>
        <w:t>immunitas</w:t>
      </w:r>
      <w:proofErr w:type="spellEnd"/>
      <w:r w:rsidRPr="001E6C10">
        <w:rPr>
          <w:rFonts w:ascii="Georgia" w:hAnsi="Georgia" w:cs="Arial"/>
          <w:i/>
          <w:iCs/>
          <w:color w:val="222222"/>
        </w:rPr>
        <w:t xml:space="preserve">: </w:t>
      </w:r>
      <w:r w:rsidRPr="001E6C10">
        <w:rPr>
          <w:rFonts w:ascii="Georgia" w:hAnsi="Georgia" w:cs="Arial"/>
          <w:color w:val="222222"/>
        </w:rPr>
        <w:t>a frankoknál a grófi bíráskodás alóli mentesség kisebb jelentőségű ügyekben, melyet a 9. század előtt csak egyházi birtokok kaptak, majd világiak is</w:t>
      </w:r>
    </w:p>
    <w:p w14:paraId="0A0B108C" w14:textId="4BF34340" w:rsidR="00AA4999" w:rsidRPr="001E6C10" w:rsidRDefault="00AA4999" w:rsidP="00AA4999">
      <w:pPr>
        <w:shd w:val="clear" w:color="auto" w:fill="FFFFFF"/>
        <w:spacing w:after="120"/>
        <w:rPr>
          <w:rFonts w:ascii="Georgia" w:hAnsi="Georgia"/>
        </w:rPr>
      </w:pPr>
      <w:proofErr w:type="spellStart"/>
      <w:r w:rsidRPr="001E6C10">
        <w:rPr>
          <w:rFonts w:ascii="Georgia" w:hAnsi="Georgia"/>
          <w:i/>
          <w:iCs/>
        </w:rPr>
        <w:t>homagium</w:t>
      </w:r>
      <w:proofErr w:type="spellEnd"/>
      <w:r w:rsidRPr="001E6C10">
        <w:rPr>
          <w:rFonts w:ascii="Georgia" w:hAnsi="Georgia"/>
          <w:i/>
          <w:iCs/>
        </w:rPr>
        <w:t xml:space="preserve">: </w:t>
      </w:r>
      <w:r w:rsidRPr="001E6C10">
        <w:rPr>
          <w:rFonts w:ascii="Georgia" w:hAnsi="Georgia"/>
        </w:rPr>
        <w:t>a vazallus által tett</w:t>
      </w:r>
      <w:r w:rsidRPr="001E6C10">
        <w:rPr>
          <w:rFonts w:ascii="Georgia" w:hAnsi="Georgia"/>
          <w:i/>
          <w:iCs/>
        </w:rPr>
        <w:t xml:space="preserve"> </w:t>
      </w:r>
      <w:r w:rsidRPr="001E6C10">
        <w:rPr>
          <w:rFonts w:ascii="Georgia" w:hAnsi="Georgia"/>
        </w:rPr>
        <w:t>hűbéri eskü, melynek alapeleme egyrészt a vazallus fél térdre ereszkedése, miközben két össz</w:t>
      </w:r>
      <w:r w:rsidR="001E6C10" w:rsidRPr="001E6C10">
        <w:rPr>
          <w:rFonts w:ascii="Georgia" w:hAnsi="Georgia"/>
        </w:rPr>
        <w:t>e</w:t>
      </w:r>
      <w:r w:rsidRPr="001E6C10">
        <w:rPr>
          <w:rFonts w:ascii="Georgia" w:hAnsi="Georgia"/>
        </w:rPr>
        <w:t>kulcsolt kezét a hűbérúr nyitott kezébe helyezi, másrészt egy rövid deklaráció a vazallus részéről: „Uram, az ön embere (homo) akarok lenni.”</w:t>
      </w:r>
    </w:p>
    <w:p w14:paraId="6586847A" w14:textId="77777777" w:rsidR="00AA4999" w:rsidRPr="001E6C10" w:rsidRDefault="00AA4999" w:rsidP="00AA4999">
      <w:pPr>
        <w:shd w:val="clear" w:color="auto" w:fill="FFFFFF"/>
        <w:spacing w:after="120"/>
        <w:rPr>
          <w:rFonts w:ascii="Georgia" w:hAnsi="Georgia"/>
        </w:rPr>
      </w:pPr>
      <w:r w:rsidRPr="001E6C10">
        <w:rPr>
          <w:rFonts w:ascii="Georgia" w:hAnsi="Georgia"/>
          <w:i/>
          <w:iCs/>
        </w:rPr>
        <w:t xml:space="preserve">beneficium: </w:t>
      </w:r>
      <w:r w:rsidRPr="001E6C10">
        <w:rPr>
          <w:rFonts w:ascii="Georgia" w:hAnsi="Georgia"/>
        </w:rPr>
        <w:t xml:space="preserve">hűbérbirtok; Nyugat-Európában a vazallusok számára meghatározott szolgálatok fejében adományozott földbirtok, amelynek birtokjogába a hűbéri viszony létrejötte után iktatta be (invesztitúra) a vazallust hűbérura, valamely tárgy (egyszerű lovagi hűbér esetében általában egy rög föld vagy szalmacsomó, jelentősebb hűbér, pl. grófság esetében zászló, hercegség esetében kard) átadásával. A 9. század vége előtt a beneficium nem volt örökölhető, utána örökölhetővé vált a </w:t>
      </w:r>
      <w:proofErr w:type="spellStart"/>
      <w:r w:rsidRPr="001E6C10">
        <w:rPr>
          <w:rFonts w:ascii="Georgia" w:hAnsi="Georgia"/>
        </w:rPr>
        <w:t>homagium</w:t>
      </w:r>
      <w:proofErr w:type="spellEnd"/>
      <w:r w:rsidRPr="001E6C10">
        <w:rPr>
          <w:rFonts w:ascii="Georgia" w:hAnsi="Georgia"/>
        </w:rPr>
        <w:t xml:space="preserve"> és a hűségeskü letétele után.</w:t>
      </w:r>
    </w:p>
    <w:p w14:paraId="7495304E" w14:textId="77777777" w:rsidR="00AA4999" w:rsidRPr="001E6C10" w:rsidRDefault="00AA4999" w:rsidP="00AA4999">
      <w:pPr>
        <w:shd w:val="clear" w:color="auto" w:fill="FFFFFF"/>
        <w:spacing w:after="120"/>
        <w:rPr>
          <w:rFonts w:ascii="Georgia" w:hAnsi="Georgia"/>
          <w:color w:val="FF0000"/>
        </w:rPr>
      </w:pPr>
      <w:r w:rsidRPr="001E6C10">
        <w:rPr>
          <w:rFonts w:ascii="Georgia" w:hAnsi="Georgia"/>
          <w:i/>
          <w:iCs/>
        </w:rPr>
        <w:t>feudum:</w:t>
      </w:r>
      <w:r w:rsidRPr="001E6C10">
        <w:rPr>
          <w:rFonts w:ascii="Georgia" w:hAnsi="Georgia"/>
        </w:rPr>
        <w:t xml:space="preserve"> örökölhető hűbérbirtok; a 10. században még a </w:t>
      </w:r>
      <w:r w:rsidRPr="001E6C10">
        <w:rPr>
          <w:rFonts w:ascii="Georgia" w:hAnsi="Georgia"/>
          <w:i/>
        </w:rPr>
        <w:t>beneficium</w:t>
      </w:r>
      <w:r w:rsidRPr="001E6C10">
        <w:rPr>
          <w:rFonts w:ascii="Georgia" w:hAnsi="Georgia"/>
        </w:rPr>
        <w:t xml:space="preserve"> elnevezés volt általánosan elterjedt, majd a 11. században kiszorította ezt a </w:t>
      </w:r>
      <w:r w:rsidRPr="001E6C10">
        <w:rPr>
          <w:rFonts w:ascii="Georgia" w:hAnsi="Georgia"/>
          <w:i/>
        </w:rPr>
        <w:t>feudum/</w:t>
      </w:r>
      <w:proofErr w:type="spellStart"/>
      <w:r w:rsidRPr="001E6C10">
        <w:rPr>
          <w:rFonts w:ascii="Georgia" w:hAnsi="Georgia"/>
          <w:i/>
        </w:rPr>
        <w:t>feodum</w:t>
      </w:r>
      <w:proofErr w:type="spellEnd"/>
      <w:r w:rsidRPr="001E6C10">
        <w:rPr>
          <w:rFonts w:ascii="Georgia" w:hAnsi="Georgia"/>
        </w:rPr>
        <w:t>. A 10. századtól a beneficium és a feudum szinonimák.</w:t>
      </w:r>
    </w:p>
    <w:p w14:paraId="1A6B276F" w14:textId="00E68FD7" w:rsidR="00AA4999" w:rsidRPr="001E6C10" w:rsidRDefault="00AA4999" w:rsidP="00AA4999">
      <w:pPr>
        <w:shd w:val="clear" w:color="auto" w:fill="FFFFFF"/>
        <w:spacing w:after="120"/>
        <w:jc w:val="both"/>
        <w:rPr>
          <w:rFonts w:ascii="Georgia" w:hAnsi="Georgia"/>
        </w:rPr>
      </w:pPr>
      <w:proofErr w:type="spellStart"/>
      <w:r w:rsidRPr="001E6C10">
        <w:rPr>
          <w:rFonts w:ascii="Georgia" w:hAnsi="Georgia"/>
          <w:i/>
          <w:iCs/>
        </w:rPr>
        <w:t>auxiliium</w:t>
      </w:r>
      <w:proofErr w:type="spellEnd"/>
      <w:r w:rsidRPr="001E6C10">
        <w:rPr>
          <w:rFonts w:ascii="Georgia" w:hAnsi="Georgia"/>
          <w:i/>
          <w:iCs/>
        </w:rPr>
        <w:t xml:space="preserve"> </w:t>
      </w:r>
      <w:proofErr w:type="spellStart"/>
      <w:r w:rsidRPr="001E6C10">
        <w:rPr>
          <w:rFonts w:ascii="Georgia" w:hAnsi="Georgia"/>
          <w:i/>
          <w:iCs/>
        </w:rPr>
        <w:t>et</w:t>
      </w:r>
      <w:proofErr w:type="spellEnd"/>
      <w:r w:rsidRPr="001E6C10">
        <w:rPr>
          <w:rFonts w:ascii="Georgia" w:hAnsi="Georgia"/>
          <w:i/>
          <w:iCs/>
        </w:rPr>
        <w:t xml:space="preserve"> </w:t>
      </w:r>
      <w:proofErr w:type="spellStart"/>
      <w:r w:rsidRPr="001E6C10">
        <w:rPr>
          <w:rFonts w:ascii="Georgia" w:hAnsi="Georgia"/>
          <w:i/>
          <w:iCs/>
        </w:rPr>
        <w:t>consilium</w:t>
      </w:r>
      <w:proofErr w:type="spellEnd"/>
      <w:r w:rsidRPr="001E6C10">
        <w:rPr>
          <w:rFonts w:ascii="Georgia" w:hAnsi="Georgia"/>
          <w:i/>
          <w:iCs/>
        </w:rPr>
        <w:t>: „</w:t>
      </w:r>
      <w:r w:rsidRPr="001E6C10">
        <w:rPr>
          <w:rFonts w:ascii="Georgia" w:hAnsi="Georgia"/>
        </w:rPr>
        <w:t>segítségnyújtás és tanácsadás” kötelezettsége</w:t>
      </w:r>
      <w:r w:rsidRPr="001E6C10">
        <w:rPr>
          <w:rFonts w:ascii="Georgia" w:hAnsi="Georgia"/>
          <w:i/>
          <w:iCs/>
        </w:rPr>
        <w:t xml:space="preserve"> </w:t>
      </w:r>
      <w:r w:rsidRPr="001E6C10">
        <w:rPr>
          <w:rFonts w:ascii="Georgia" w:hAnsi="Georgia"/>
        </w:rPr>
        <w:t>a hűbéres részéről a hűbérúr felé; a segítségnyújtás katonai és anyagi részből ált: az előbbi évi 40 nap kötelező katonai szolgálatot jelentett a királyság határain belül, míg az utóbbi 4 esetre terjedt:</w:t>
      </w:r>
      <w:r w:rsidR="001E6C10" w:rsidRPr="001E6C10">
        <w:rPr>
          <w:rFonts w:ascii="Georgia" w:hAnsi="Georgia"/>
        </w:rPr>
        <w:t xml:space="preserve"> ajándékot</w:t>
      </w:r>
      <w:r w:rsidRPr="001E6C10">
        <w:rPr>
          <w:rFonts w:ascii="Georgia" w:hAnsi="Georgia"/>
        </w:rPr>
        <w:t xml:space="preserve">/bizonyos összeget kellett </w:t>
      </w:r>
      <w:proofErr w:type="spellStart"/>
      <w:r w:rsidRPr="001E6C10">
        <w:rPr>
          <w:rFonts w:ascii="Georgia" w:hAnsi="Georgia"/>
        </w:rPr>
        <w:t>fizteni</w:t>
      </w:r>
      <w:proofErr w:type="spellEnd"/>
      <w:r w:rsidRPr="001E6C10">
        <w:rPr>
          <w:rFonts w:ascii="Georgia" w:hAnsi="Georgia"/>
        </w:rPr>
        <w:t>, ha a hűbérúr legidősebb lánya férjhez ment, ha legidősebb fiát lovaggá ütötték, ha a hűbérúr keresztes hadjárata ment, ha pedig a hűbérúr fogságba esett, a vazallusainak közösen ki kellett őt váltaniuk.</w:t>
      </w:r>
    </w:p>
    <w:p w14:paraId="1BD493FC" w14:textId="77777777" w:rsidR="00AA4999" w:rsidRPr="001E6C10" w:rsidRDefault="00AA4999" w:rsidP="00AA4999">
      <w:pPr>
        <w:shd w:val="clear" w:color="auto" w:fill="FFFFFF"/>
        <w:spacing w:after="120"/>
        <w:rPr>
          <w:rFonts w:ascii="Georgia" w:hAnsi="Georgia"/>
          <w:i/>
          <w:iCs/>
        </w:rPr>
      </w:pPr>
      <w:proofErr w:type="spellStart"/>
      <w:r w:rsidRPr="001E6C10">
        <w:rPr>
          <w:rFonts w:ascii="Georgia" w:hAnsi="Georgia"/>
          <w:i/>
          <w:iCs/>
        </w:rPr>
        <w:t>scutagium</w:t>
      </w:r>
      <w:proofErr w:type="spellEnd"/>
      <w:r w:rsidRPr="001E6C10">
        <w:rPr>
          <w:rFonts w:ascii="Georgia" w:hAnsi="Georgia"/>
          <w:i/>
          <w:iCs/>
        </w:rPr>
        <w:t xml:space="preserve">: </w:t>
      </w:r>
      <w:r w:rsidRPr="001E6C10">
        <w:rPr>
          <w:rFonts w:ascii="Georgia" w:hAnsi="Georgia"/>
        </w:rPr>
        <w:t>„pajzspénz”, az az összeg, amellyel megváltható lett az évi 40 napos katonai szolgálat</w:t>
      </w:r>
    </w:p>
    <w:p w14:paraId="453DE909" w14:textId="77777777" w:rsidR="00AA4999" w:rsidRPr="001E6C10" w:rsidRDefault="00AA4999" w:rsidP="00AA4999">
      <w:pPr>
        <w:shd w:val="clear" w:color="auto" w:fill="FFFFFF"/>
        <w:spacing w:after="120"/>
        <w:rPr>
          <w:rFonts w:ascii="Georgia" w:hAnsi="Georgia"/>
          <w:i/>
          <w:iCs/>
        </w:rPr>
      </w:pPr>
      <w:proofErr w:type="spellStart"/>
      <w:r w:rsidRPr="001E6C10">
        <w:rPr>
          <w:rFonts w:ascii="Georgia" w:hAnsi="Georgia"/>
          <w:i/>
          <w:iCs/>
        </w:rPr>
        <w:t>senior</w:t>
      </w:r>
      <w:proofErr w:type="spellEnd"/>
      <w:r w:rsidRPr="001E6C10">
        <w:rPr>
          <w:rFonts w:ascii="Georgia" w:hAnsi="Georgia"/>
          <w:i/>
          <w:iCs/>
        </w:rPr>
        <w:t xml:space="preserve">: </w:t>
      </w:r>
      <w:r w:rsidRPr="001E6C10">
        <w:rPr>
          <w:rFonts w:ascii="Georgia" w:hAnsi="Georgia"/>
        </w:rPr>
        <w:t>a hűbérúr megnevezése</w:t>
      </w:r>
    </w:p>
    <w:p w14:paraId="7321EAD6" w14:textId="77777777" w:rsidR="00AA4999" w:rsidRPr="001E6C10" w:rsidRDefault="00AA4999" w:rsidP="00AA4999">
      <w:pPr>
        <w:shd w:val="clear" w:color="auto" w:fill="FFFFFF"/>
        <w:spacing w:after="120"/>
        <w:rPr>
          <w:rFonts w:ascii="Georgia" w:hAnsi="Georgia"/>
        </w:rPr>
      </w:pPr>
      <w:proofErr w:type="spellStart"/>
      <w:r w:rsidRPr="001E6C10">
        <w:rPr>
          <w:rFonts w:ascii="Georgia" w:hAnsi="Georgia"/>
          <w:i/>
          <w:iCs/>
        </w:rPr>
        <w:t>suzerain</w:t>
      </w:r>
      <w:proofErr w:type="spellEnd"/>
      <w:r w:rsidRPr="001E6C10">
        <w:rPr>
          <w:rFonts w:ascii="Georgia" w:hAnsi="Georgia"/>
          <w:i/>
          <w:iCs/>
        </w:rPr>
        <w:t xml:space="preserve">: </w:t>
      </w:r>
      <w:r w:rsidRPr="001E6C10">
        <w:rPr>
          <w:rFonts w:ascii="Georgia" w:hAnsi="Georgia"/>
        </w:rPr>
        <w:t xml:space="preserve">olyan hűbérúr, aki sem saját vazallusának, sem külföldi uralkodónak nem tesz hűbéri esküt, azaz </w:t>
      </w:r>
      <w:proofErr w:type="spellStart"/>
      <w:r w:rsidRPr="001E6C10">
        <w:rPr>
          <w:rFonts w:ascii="Georgia" w:hAnsi="Georgia"/>
        </w:rPr>
        <w:t>homagiumot</w:t>
      </w:r>
      <w:proofErr w:type="spellEnd"/>
    </w:p>
    <w:p w14:paraId="773B1B82" w14:textId="77777777" w:rsidR="00AA4999" w:rsidRPr="001E6C10" w:rsidRDefault="00AA4999" w:rsidP="00AA4999">
      <w:pPr>
        <w:shd w:val="clear" w:color="auto" w:fill="FFFFFF"/>
        <w:spacing w:after="120"/>
        <w:rPr>
          <w:rFonts w:ascii="Georgia" w:hAnsi="Georgia"/>
        </w:rPr>
      </w:pPr>
      <w:proofErr w:type="spellStart"/>
      <w:r w:rsidRPr="001E6C10">
        <w:rPr>
          <w:rFonts w:ascii="Georgia" w:hAnsi="Georgia"/>
          <w:i/>
          <w:iCs/>
        </w:rPr>
        <w:t>pax</w:t>
      </w:r>
      <w:proofErr w:type="spellEnd"/>
      <w:r w:rsidRPr="001E6C10">
        <w:rPr>
          <w:rFonts w:ascii="Georgia" w:hAnsi="Georgia"/>
          <w:i/>
          <w:iCs/>
          <w:spacing w:val="1"/>
        </w:rPr>
        <w:t xml:space="preserve"> </w:t>
      </w:r>
      <w:r w:rsidRPr="001E6C10">
        <w:rPr>
          <w:rFonts w:ascii="Georgia" w:hAnsi="Georgia"/>
          <w:i/>
          <w:iCs/>
        </w:rPr>
        <w:t>Dei/</w:t>
      </w:r>
      <w:proofErr w:type="spellStart"/>
      <w:r w:rsidRPr="001E6C10">
        <w:rPr>
          <w:rFonts w:ascii="Georgia" w:hAnsi="Georgia"/>
          <w:i/>
          <w:iCs/>
        </w:rPr>
        <w:t>treuga</w:t>
      </w:r>
      <w:proofErr w:type="spellEnd"/>
      <w:r w:rsidRPr="001E6C10">
        <w:rPr>
          <w:rFonts w:ascii="Georgia" w:hAnsi="Georgia"/>
          <w:i/>
          <w:iCs/>
          <w:spacing w:val="1"/>
        </w:rPr>
        <w:t xml:space="preserve"> </w:t>
      </w:r>
      <w:r w:rsidRPr="001E6C10">
        <w:rPr>
          <w:rFonts w:ascii="Georgia" w:hAnsi="Georgia"/>
          <w:i/>
          <w:iCs/>
        </w:rPr>
        <w:t xml:space="preserve">Dei: </w:t>
      </w:r>
      <w:r w:rsidRPr="001E6C10">
        <w:rPr>
          <w:rFonts w:ascii="Georgia" w:hAnsi="Georgia"/>
        </w:rPr>
        <w:t xml:space="preserve">a </w:t>
      </w:r>
      <w:proofErr w:type="spellStart"/>
      <w:r w:rsidRPr="001E6C10">
        <w:rPr>
          <w:rFonts w:ascii="Georgia" w:hAnsi="Georgia"/>
          <w:i/>
          <w:iCs/>
        </w:rPr>
        <w:t>treuga</w:t>
      </w:r>
      <w:proofErr w:type="spellEnd"/>
      <w:r w:rsidRPr="001E6C10">
        <w:rPr>
          <w:rFonts w:ascii="Georgia" w:hAnsi="Georgia"/>
          <w:i/>
          <w:iCs/>
        </w:rPr>
        <w:t xml:space="preserve"> Dei</w:t>
      </w:r>
      <w:r w:rsidRPr="001E6C10">
        <w:rPr>
          <w:rFonts w:ascii="Georgia" w:hAnsi="Georgia"/>
        </w:rPr>
        <w:t xml:space="preserve"> a 11. században bizonyos napokon (szerda estétől-hétfő reggelig), valamint pluszban az egyházi ünnepeken</w:t>
      </w:r>
      <w:r w:rsidRPr="001E6C10">
        <w:rPr>
          <w:rFonts w:ascii="Georgia" w:hAnsi="Georgia"/>
          <w:i/>
          <w:iCs/>
        </w:rPr>
        <w:t xml:space="preserve"> </w:t>
      </w:r>
      <w:r w:rsidRPr="001E6C10">
        <w:rPr>
          <w:rFonts w:ascii="Georgia" w:hAnsi="Georgia"/>
        </w:rPr>
        <w:t xml:space="preserve">tiltotta a hűbéresek egymás közti harcait; előzménye a </w:t>
      </w:r>
      <w:proofErr w:type="spellStart"/>
      <w:r w:rsidRPr="001E6C10">
        <w:rPr>
          <w:rFonts w:ascii="Georgia" w:hAnsi="Georgia"/>
          <w:i/>
          <w:iCs/>
        </w:rPr>
        <w:t>pax</w:t>
      </w:r>
      <w:proofErr w:type="spellEnd"/>
      <w:r w:rsidRPr="001E6C10">
        <w:rPr>
          <w:rFonts w:ascii="Georgia" w:hAnsi="Georgia"/>
          <w:i/>
          <w:iCs/>
        </w:rPr>
        <w:t xml:space="preserve"> Dei</w:t>
      </w:r>
      <w:r w:rsidRPr="001E6C10">
        <w:rPr>
          <w:rFonts w:ascii="Georgia" w:hAnsi="Georgia"/>
        </w:rPr>
        <w:t xml:space="preserve"> volt, amely tiltotta, hogy a hűbéresek fegyvertelenek, illetve egyháziak és nők ellen erőszakos </w:t>
      </w:r>
      <w:proofErr w:type="spellStart"/>
      <w:r w:rsidRPr="001E6C10">
        <w:rPr>
          <w:rFonts w:ascii="Georgia" w:hAnsi="Georgia"/>
        </w:rPr>
        <w:t>cselkményeket</w:t>
      </w:r>
      <w:proofErr w:type="spellEnd"/>
      <w:r w:rsidRPr="001E6C10">
        <w:rPr>
          <w:rFonts w:ascii="Georgia" w:hAnsi="Georgia"/>
        </w:rPr>
        <w:t xml:space="preserve"> kövessenek el, és a menedékjog tiszteletben tartását írta elő.</w:t>
      </w:r>
    </w:p>
    <w:p w14:paraId="319B4F86" w14:textId="5D60D250" w:rsidR="00AA4999" w:rsidRPr="001E6C10" w:rsidRDefault="00AA4999" w:rsidP="00AA4999">
      <w:pPr>
        <w:shd w:val="clear" w:color="auto" w:fill="FFFFFF"/>
        <w:spacing w:after="120"/>
        <w:jc w:val="both"/>
        <w:rPr>
          <w:rFonts w:ascii="Georgia" w:hAnsi="Georgia"/>
        </w:rPr>
      </w:pPr>
      <w:proofErr w:type="spellStart"/>
      <w:r w:rsidRPr="001E6C10">
        <w:rPr>
          <w:rFonts w:ascii="Georgia" w:hAnsi="Georgia"/>
          <w:i/>
          <w:iCs/>
        </w:rPr>
        <w:lastRenderedPageBreak/>
        <w:t>praecarium</w:t>
      </w:r>
      <w:proofErr w:type="spellEnd"/>
      <w:r w:rsidRPr="001E6C10">
        <w:rPr>
          <w:rFonts w:ascii="Georgia" w:hAnsi="Georgia"/>
          <w:i/>
          <w:iCs/>
        </w:rPr>
        <w:t>:</w:t>
      </w:r>
      <w:r w:rsidRPr="001E6C10">
        <w:rPr>
          <w:rFonts w:ascii="Georgia" w:hAnsi="Georgia"/>
        </w:rPr>
        <w:t xml:space="preserve"> a késő-antik korra jellemző olyan jogi formula, amikor egy szabad ember egy földesúrnak felajánlja szolgáltatásokkal nem terhelt földjét, majd azt, illetve általában egy nagyobb darabot visszakap, de már szolgáltatásokkal terhelten; a jobbágyság kialakulása szempontjából volt fontos, a szabadok </w:t>
      </w:r>
      <w:r w:rsidR="001E6C10" w:rsidRPr="001E6C10">
        <w:rPr>
          <w:rFonts w:ascii="Georgia" w:hAnsi="Georgia"/>
        </w:rPr>
        <w:t>lesüllyedésével</w:t>
      </w:r>
      <w:r w:rsidRPr="001E6C10">
        <w:rPr>
          <w:rFonts w:ascii="Georgia" w:hAnsi="Georgia"/>
        </w:rPr>
        <w:t xml:space="preserve">. </w:t>
      </w:r>
    </w:p>
    <w:p w14:paraId="2E46A6EA" w14:textId="77777777" w:rsidR="00AA4999" w:rsidRPr="001E6C10" w:rsidRDefault="00AA4999" w:rsidP="00AA4999">
      <w:pPr>
        <w:shd w:val="clear" w:color="auto" w:fill="FFFFFF"/>
        <w:spacing w:after="120"/>
        <w:rPr>
          <w:rFonts w:ascii="Georgia" w:hAnsi="Georgia" w:cs="Arial"/>
          <w:b/>
          <w:bCs/>
          <w:i/>
          <w:iCs/>
          <w:color w:val="222222"/>
        </w:rPr>
      </w:pPr>
      <w:proofErr w:type="spellStart"/>
      <w:r w:rsidRPr="001E6C10">
        <w:rPr>
          <w:rFonts w:ascii="Georgia" w:hAnsi="Georgia"/>
          <w:i/>
          <w:iCs/>
        </w:rPr>
        <w:t>mancipium</w:t>
      </w:r>
      <w:proofErr w:type="spellEnd"/>
      <w:r w:rsidRPr="001E6C10">
        <w:rPr>
          <w:rFonts w:ascii="Georgia" w:hAnsi="Georgia"/>
          <w:i/>
          <w:iCs/>
        </w:rPr>
        <w:t>:</w:t>
      </w:r>
      <w:r w:rsidRPr="001E6C10">
        <w:rPr>
          <w:rFonts w:ascii="Georgia" w:hAnsi="Georgia"/>
        </w:rPr>
        <w:t xml:space="preserve"> rabszolga latin megnevezése</w:t>
      </w:r>
    </w:p>
    <w:p w14:paraId="677E33AD" w14:textId="66713D99" w:rsidR="00AA4999" w:rsidRPr="001E6C10" w:rsidRDefault="00AA4999" w:rsidP="00AA4999">
      <w:pPr>
        <w:shd w:val="clear" w:color="auto" w:fill="FFFFFF"/>
        <w:spacing w:after="120"/>
        <w:jc w:val="both"/>
        <w:rPr>
          <w:rFonts w:ascii="Georgia" w:hAnsi="Georgia" w:cs="Arial"/>
          <w:b/>
          <w:bCs/>
          <w:color w:val="FF0000"/>
        </w:rPr>
      </w:pPr>
      <w:r w:rsidRPr="001E6C10">
        <w:rPr>
          <w:rFonts w:ascii="Georgia" w:hAnsi="Georgia"/>
          <w:i/>
          <w:iCs/>
        </w:rPr>
        <w:t xml:space="preserve">céh: </w:t>
      </w:r>
      <w:r w:rsidRPr="001E6C10">
        <w:rPr>
          <w:rFonts w:ascii="Georgia" w:hAnsi="Georgia"/>
        </w:rPr>
        <w:t>A 11. század végétől Nyugat-Európa fejlettebb részein, majd később másutt is, az azonos foglalkozást űző iparosok önigazgató közösségeket hoztak létre, egy-egy szentet választva ki a létrejövő közösség patrónusaként, és a szent ünnepnapját közös étkezéssel ülték meg a céh tagjai. A céhek tehát vallási indíttatású szerveződésekként jöttek létre, de vallási vonatkozásai mellett a céh fontos szociális funkciókkal (özvegyekről, árvákról való gondoskodás) és gazdasági szabályozó szereppel is bírt (termelés egyes elemeinek, valamint az árnak a szabályozása, kontárok kizárása).</w:t>
      </w:r>
    </w:p>
    <w:p w14:paraId="5D3564F1" w14:textId="77777777" w:rsidR="009D2FF1" w:rsidRPr="001E6C10" w:rsidRDefault="009D2FF1">
      <w:pPr>
        <w:rPr>
          <w:rFonts w:ascii="Georgia" w:hAnsi="Georgia"/>
        </w:rPr>
      </w:pPr>
    </w:p>
    <w:sectPr w:rsidR="009D2FF1" w:rsidRPr="001E6C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99"/>
    <w:rsid w:val="00167E7C"/>
    <w:rsid w:val="0017269C"/>
    <w:rsid w:val="001B7C4D"/>
    <w:rsid w:val="001E6C10"/>
    <w:rsid w:val="002949D1"/>
    <w:rsid w:val="002D71DD"/>
    <w:rsid w:val="004A7CEC"/>
    <w:rsid w:val="007A2421"/>
    <w:rsid w:val="007E50A3"/>
    <w:rsid w:val="00827759"/>
    <w:rsid w:val="008A1ACB"/>
    <w:rsid w:val="00943144"/>
    <w:rsid w:val="009D2FF1"/>
    <w:rsid w:val="00AA4999"/>
    <w:rsid w:val="00CA20B2"/>
    <w:rsid w:val="00CB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E8347"/>
  <w15:chartTrackingRefBased/>
  <w15:docId w15:val="{21F94F5B-6A23-4723-89E6-BA4EDD49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A499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AA499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A499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A499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A499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A499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A499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A499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A499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A499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A4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A4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A4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A499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A499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A499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A499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A499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A499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A4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CmChar">
    <w:name w:val="Cím Char"/>
    <w:basedOn w:val="Bekezdsalapbettpusa"/>
    <w:link w:val="Cm"/>
    <w:uiPriority w:val="10"/>
    <w:rsid w:val="00AA4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A499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lcmChar">
    <w:name w:val="Alcím Char"/>
    <w:basedOn w:val="Bekezdsalapbettpusa"/>
    <w:link w:val="Alcm"/>
    <w:uiPriority w:val="11"/>
    <w:rsid w:val="00AA4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A499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IdzetChar">
    <w:name w:val="Idézet Char"/>
    <w:basedOn w:val="Bekezdsalapbettpusa"/>
    <w:link w:val="Idzet"/>
    <w:uiPriority w:val="29"/>
    <w:rsid w:val="00AA499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A499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Erskiemels">
    <w:name w:val="Intense Emphasis"/>
    <w:basedOn w:val="Bekezdsalapbettpusa"/>
    <w:uiPriority w:val="21"/>
    <w:qFormat/>
    <w:rsid w:val="00AA499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A4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A499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A49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485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Barabás</dc:creator>
  <cp:keywords/>
  <dc:description/>
  <cp:lastModifiedBy>Gábor Barabás</cp:lastModifiedBy>
  <cp:revision>2</cp:revision>
  <dcterms:created xsi:type="dcterms:W3CDTF">2025-01-03T10:15:00Z</dcterms:created>
  <dcterms:modified xsi:type="dcterms:W3CDTF">2025-01-03T10:17:00Z</dcterms:modified>
</cp:coreProperties>
</file>