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bookmarkStart w:id="0" w:name="_GoBack"/>
      <w:bookmarkEnd w:id="0"/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502B85AA" w:rsidR="00227B55" w:rsidRPr="00823974" w:rsidRDefault="006A188F" w:rsidP="005E714F">
      <w:pPr>
        <w:pStyle w:val="Heading1"/>
        <w:rPr>
          <w:color w:val="auto"/>
        </w:rPr>
      </w:pPr>
      <w:hyperlink r:id="rId8" w:history="1">
        <w:r w:rsidR="00972583" w:rsidRPr="00AC7644">
          <w:rPr>
            <w:rStyle w:val="Hyperlink"/>
          </w:rPr>
          <w:t xml:space="preserve">PUBLIC </w:t>
        </w:r>
        <w:r w:rsidR="00AC7644" w:rsidRPr="00AC7644">
          <w:rPr>
            <w:rStyle w:val="Hyperlink"/>
          </w:rPr>
          <w:t>Management</w:t>
        </w:r>
      </w:hyperlink>
      <w:r w:rsidR="00972583">
        <w:rPr>
          <w:color w:val="auto"/>
        </w:rPr>
        <w:t xml:space="preserve"> (FUND 34182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6A188F" w:rsidP="005E714F">
      <w:pPr>
        <w:pStyle w:val="Heading2"/>
        <w:rPr>
          <w:color w:val="auto"/>
        </w:rPr>
      </w:pPr>
      <w:hyperlink r:id="rId9" w:history="1">
        <w:r w:rsidR="00972583" w:rsidRPr="00AC7644">
          <w:rPr>
            <w:rStyle w:val="Hyperlink"/>
          </w:rPr>
          <w:t>Leticia Camacho</w:t>
        </w:r>
      </w:hyperlink>
    </w:p>
    <w:p w14:paraId="2E7FAA38" w14:textId="77777777" w:rsidR="00227B55" w:rsidRPr="00823974" w:rsidRDefault="00227B55" w:rsidP="00227B55">
      <w:pPr>
        <w:rPr>
          <w:rFonts w:ascii="Garamond" w:hAnsi="Garamond"/>
          <w:b/>
        </w:rPr>
      </w:pPr>
      <w:r w:rsidRPr="00823974">
        <w:rPr>
          <w:rFonts w:ascii="Garamond" w:hAnsi="Garamond"/>
          <w:b/>
        </w:rPr>
        <w:t>Annual Budget Allocation:</w:t>
      </w:r>
    </w:p>
    <w:p w14:paraId="72B2014E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Consolidated budget</w:t>
      </w:r>
      <w:r w:rsidRPr="00823974">
        <w:rPr>
          <w:rFonts w:ascii="Garamond" w:hAnsi="Garamond"/>
          <w:color w:val="auto"/>
        </w:rPr>
        <w:t>: $XX,XXX</w:t>
      </w:r>
    </w:p>
    <w:p w14:paraId="31E8FACF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Serials budget</w:t>
      </w:r>
      <w:r w:rsidRPr="00823974">
        <w:rPr>
          <w:rFonts w:ascii="Garamond" w:hAnsi="Garamond"/>
          <w:color w:val="auto"/>
        </w:rPr>
        <w:t>: $XX,XXX</w:t>
      </w:r>
    </w:p>
    <w:p w14:paraId="51EA9936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Database budget</w:t>
      </w:r>
      <w:r w:rsidRPr="00823974">
        <w:rPr>
          <w:rFonts w:ascii="Garamond" w:hAnsi="Garamond"/>
          <w:color w:val="auto"/>
        </w:rPr>
        <w:t>: $XX,XXX</w:t>
      </w:r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4D8A940B" w14:textId="6B90196E" w:rsidR="00B139BF" w:rsidRDefault="00183368" w:rsidP="00A9134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 library</w:t>
      </w:r>
      <w:r w:rsidR="00C37652">
        <w:rPr>
          <w:rFonts w:ascii="Garamond" w:hAnsi="Garamond"/>
          <w:color w:val="auto"/>
        </w:rPr>
        <w:t xml:space="preserve"> supports </w:t>
      </w:r>
      <w:r w:rsidR="00972583">
        <w:rPr>
          <w:rFonts w:ascii="Garamond" w:hAnsi="Garamond"/>
          <w:color w:val="auto"/>
        </w:rPr>
        <w:t xml:space="preserve">Public Management </w:t>
      </w:r>
      <w:r w:rsidR="00C148CA">
        <w:rPr>
          <w:rFonts w:ascii="Garamond" w:hAnsi="Garamond"/>
          <w:color w:val="auto"/>
        </w:rPr>
        <w:t>in</w:t>
      </w:r>
      <w:r w:rsidR="00BE4FB8">
        <w:rPr>
          <w:rFonts w:ascii="Garamond" w:hAnsi="Garamond"/>
          <w:color w:val="auto"/>
        </w:rPr>
        <w:t xml:space="preserve"> all areas and specialization in Public </w:t>
      </w:r>
      <w:r w:rsidR="006D79BA">
        <w:rPr>
          <w:rFonts w:ascii="Garamond" w:hAnsi="Garamond"/>
          <w:color w:val="auto"/>
        </w:rPr>
        <w:t>Administration</w:t>
      </w:r>
      <w:r w:rsidR="00BE4FB8">
        <w:rPr>
          <w:rFonts w:ascii="Garamond" w:hAnsi="Garamond"/>
          <w:color w:val="auto"/>
        </w:rPr>
        <w:t xml:space="preserve">. It is the goal of the Harold. B. Lee Library to support teaching and research though the master’s degree level in Public Administration. </w:t>
      </w:r>
    </w:p>
    <w:p w14:paraId="46538543" w14:textId="4E2F3F07" w:rsidR="00B139BF" w:rsidRDefault="00B139BF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39BF">
        <w:rPr>
          <w:rFonts w:ascii="Garamond" w:hAnsi="Garamond"/>
          <w:color w:val="auto"/>
        </w:rPr>
        <w:t xml:space="preserve">The MPA students graduate with the fundamental management skills and specialized training needed to positively impact the organizations they enter and to contribute to the improvement of society </w:t>
      </w:r>
      <w:r w:rsidR="006D79BA" w:rsidRPr="00B139BF">
        <w:rPr>
          <w:rFonts w:ascii="Garamond" w:hAnsi="Garamond"/>
          <w:color w:val="auto"/>
        </w:rPr>
        <w:t>through</w:t>
      </w:r>
      <w:r w:rsidRPr="00B139BF">
        <w:rPr>
          <w:rFonts w:ascii="Garamond" w:hAnsi="Garamond"/>
          <w:color w:val="auto"/>
        </w:rPr>
        <w:t xml:space="preserve"> their careers.</w:t>
      </w:r>
      <w:r>
        <w:rPr>
          <w:rFonts w:ascii="Garamond" w:hAnsi="Garamond"/>
          <w:color w:val="auto"/>
        </w:rPr>
        <w:t xml:space="preserve"> </w:t>
      </w:r>
      <w:r w:rsidR="000A5913">
        <w:rPr>
          <w:rFonts w:ascii="Garamond" w:hAnsi="Garamond"/>
          <w:color w:val="auto"/>
        </w:rPr>
        <w:t xml:space="preserve">The Romney Institute of Public Management has </w:t>
      </w:r>
      <w:r>
        <w:rPr>
          <w:rFonts w:ascii="Garamond" w:hAnsi="Garamond"/>
          <w:color w:val="auto"/>
        </w:rPr>
        <w:t xml:space="preserve">three sectors and three skills </w:t>
      </w:r>
      <w:r w:rsidR="000A5913" w:rsidRPr="000A5913">
        <w:rPr>
          <w:rFonts w:ascii="Garamond" w:hAnsi="Garamond"/>
          <w:color w:val="auto"/>
        </w:rPr>
        <w:t xml:space="preserve">and students choose one of each. The </w:t>
      </w:r>
      <w:r>
        <w:rPr>
          <w:rFonts w:ascii="Garamond" w:hAnsi="Garamond"/>
          <w:color w:val="auto"/>
        </w:rPr>
        <w:t xml:space="preserve">three sectors are: </w:t>
      </w:r>
      <w:r w:rsidR="000A5913" w:rsidRPr="000A5913">
        <w:rPr>
          <w:rFonts w:ascii="Garamond" w:hAnsi="Garamond"/>
          <w:color w:val="auto"/>
        </w:rPr>
        <w:t>Nonprofit, Local Government, and State &amp; Federal Government. The skills include Resource Development, Program Management, and Finance.</w:t>
      </w:r>
      <w:r>
        <w:rPr>
          <w:rFonts w:ascii="Garamond" w:hAnsi="Garamond"/>
          <w:color w:val="auto"/>
        </w:rPr>
        <w:t xml:space="preserve"> </w:t>
      </w:r>
    </w:p>
    <w:p w14:paraId="5B0A8508" w14:textId="75121AE6" w:rsidR="00413F3C" w:rsidRPr="00413F3C" w:rsidRDefault="00B1506C" w:rsidP="00413F3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 xml:space="preserve">There are 12 full time </w:t>
      </w:r>
      <w:r w:rsidR="00B139BF">
        <w:rPr>
          <w:rFonts w:ascii="Garamond" w:hAnsi="Garamond"/>
          <w:color w:val="auto"/>
        </w:rPr>
        <w:t xml:space="preserve">MPA </w:t>
      </w:r>
      <w:r w:rsidRPr="00B1506C">
        <w:rPr>
          <w:rFonts w:ascii="Garamond" w:hAnsi="Garamond"/>
          <w:color w:val="auto"/>
        </w:rPr>
        <w:t>faculty</w:t>
      </w:r>
      <w:r w:rsidR="000A5913">
        <w:rPr>
          <w:rFonts w:ascii="Garamond" w:hAnsi="Garamond"/>
          <w:color w:val="auto"/>
        </w:rPr>
        <w:t xml:space="preserve">, 3 full time faculty from other business areas who teach management and </w:t>
      </w:r>
      <w:r w:rsidR="006D79BA">
        <w:rPr>
          <w:rFonts w:ascii="Garamond" w:hAnsi="Garamond"/>
          <w:color w:val="auto"/>
        </w:rPr>
        <w:t>e</w:t>
      </w:r>
      <w:r w:rsidR="000A5913">
        <w:rPr>
          <w:rFonts w:ascii="Garamond" w:hAnsi="Garamond"/>
          <w:color w:val="auto"/>
        </w:rPr>
        <w:t>thics courses, 5 adjunct faculty for the EMPA program, 16 adjunct faculty for the MPA program</w:t>
      </w:r>
      <w:r w:rsidR="006D79BA">
        <w:rPr>
          <w:rFonts w:ascii="Garamond" w:hAnsi="Garamond"/>
          <w:color w:val="auto"/>
        </w:rPr>
        <w:t xml:space="preserve">, </w:t>
      </w:r>
      <w:r w:rsidR="006D79BA" w:rsidRPr="00B1506C">
        <w:rPr>
          <w:rFonts w:ascii="Garamond" w:hAnsi="Garamond"/>
          <w:color w:val="auto"/>
        </w:rPr>
        <w:t>and</w:t>
      </w:r>
      <w:r w:rsidRPr="00B1506C">
        <w:rPr>
          <w:rFonts w:ascii="Garamond" w:hAnsi="Garamond"/>
          <w:color w:val="auto"/>
        </w:rPr>
        <w:t xml:space="preserve"> 5 administrative staff.</w:t>
      </w:r>
      <w:r w:rsidR="00413F3C">
        <w:rPr>
          <w:rFonts w:ascii="Garamond" w:hAnsi="Garamond"/>
          <w:color w:val="auto"/>
        </w:rPr>
        <w:t xml:space="preserve">  </w:t>
      </w:r>
      <w:r w:rsidR="000A5913">
        <w:rPr>
          <w:rFonts w:ascii="Garamond" w:hAnsi="Garamond"/>
          <w:color w:val="auto"/>
        </w:rPr>
        <w:t xml:space="preserve"> </w:t>
      </w:r>
    </w:p>
    <w:p w14:paraId="5351013C" w14:textId="2B60B968" w:rsidR="00C37652" w:rsidRPr="00823974" w:rsidRDefault="000A5913" w:rsidP="00B1506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</w:t>
      </w:r>
      <w:r w:rsidR="0030225E">
        <w:rPr>
          <w:rFonts w:ascii="Garamond" w:hAnsi="Garamond"/>
          <w:color w:val="auto"/>
        </w:rPr>
        <w:t>he</w:t>
      </w:r>
      <w:r w:rsidR="00C37652" w:rsidRPr="00823974">
        <w:rPr>
          <w:rFonts w:ascii="Garamond" w:hAnsi="Garamond"/>
          <w:color w:val="auto"/>
        </w:rPr>
        <w:t xml:space="preserve"> library </w:t>
      </w:r>
      <w:r w:rsidR="00C37652">
        <w:rPr>
          <w:rFonts w:ascii="Garamond" w:hAnsi="Garamond"/>
          <w:color w:val="auto"/>
        </w:rPr>
        <w:t xml:space="preserve">generally </w:t>
      </w:r>
      <w:r w:rsidR="00C37652" w:rsidRPr="00823974">
        <w:rPr>
          <w:rFonts w:ascii="Garamond" w:hAnsi="Garamond"/>
          <w:color w:val="auto"/>
        </w:rPr>
        <w:t>seeks to s</w:t>
      </w:r>
      <w:r w:rsidR="00C37652">
        <w:rPr>
          <w:rFonts w:ascii="Garamond" w:hAnsi="Garamond"/>
          <w:color w:val="auto"/>
        </w:rPr>
        <w:t xml:space="preserve">upport teaching and research in </w:t>
      </w:r>
      <w:r w:rsidR="00967F6B">
        <w:rPr>
          <w:rFonts w:ascii="Garamond" w:hAnsi="Garamond"/>
          <w:color w:val="auto"/>
        </w:rPr>
        <w:t xml:space="preserve">Public </w:t>
      </w:r>
      <w:r w:rsidR="006D79BA">
        <w:rPr>
          <w:rFonts w:ascii="Garamond" w:hAnsi="Garamond"/>
          <w:color w:val="auto"/>
        </w:rPr>
        <w:t>Administration</w:t>
      </w:r>
      <w:r w:rsidR="00967F6B">
        <w:rPr>
          <w:rFonts w:ascii="Garamond" w:hAnsi="Garamond"/>
          <w:color w:val="auto"/>
        </w:rPr>
        <w:t xml:space="preserve"> at </w:t>
      </w:r>
      <w:r w:rsidR="00BE4FB8">
        <w:rPr>
          <w:rFonts w:ascii="Garamond" w:hAnsi="Garamond"/>
          <w:color w:val="auto"/>
        </w:rPr>
        <w:t xml:space="preserve">the Research </w:t>
      </w:r>
      <w:r w:rsidR="00C37652">
        <w:rPr>
          <w:rFonts w:ascii="Garamond" w:hAnsi="Garamond"/>
          <w:color w:val="auto"/>
        </w:rPr>
        <w:t>level</w:t>
      </w:r>
      <w:r w:rsidR="00B14FD7">
        <w:rPr>
          <w:rFonts w:ascii="Garamond" w:hAnsi="Garamond"/>
          <w:color w:val="auto"/>
        </w:rPr>
        <w:t xml:space="preserve"> (level 4)</w:t>
      </w:r>
      <w:r w:rsidR="00C37652" w:rsidRPr="00823974">
        <w:rPr>
          <w:rFonts w:ascii="Garamond" w:hAnsi="Garamond"/>
          <w:color w:val="auto"/>
        </w:rPr>
        <w:t>.</w:t>
      </w:r>
      <w:r w:rsidR="00967F6B">
        <w:rPr>
          <w:rFonts w:ascii="Garamond" w:hAnsi="Garamond"/>
          <w:color w:val="auto"/>
        </w:rPr>
        <w:t xml:space="preserve">  </w:t>
      </w:r>
      <w:r w:rsidR="00C37652">
        <w:rPr>
          <w:rFonts w:ascii="Garamond" w:hAnsi="Garamond"/>
          <w:color w:val="auto"/>
        </w:rPr>
        <w:t xml:space="preserve">Some of the areas of </w:t>
      </w:r>
      <w:r w:rsidR="00967F6B">
        <w:rPr>
          <w:rFonts w:ascii="Garamond" w:hAnsi="Garamond"/>
          <w:color w:val="auto"/>
        </w:rPr>
        <w:t xml:space="preserve">Pubic Administration </w:t>
      </w:r>
      <w:r w:rsidR="00C37652">
        <w:rPr>
          <w:rFonts w:ascii="Garamond" w:hAnsi="Garamond"/>
          <w:color w:val="auto"/>
        </w:rPr>
        <w:t>teaching and research interest i</w:t>
      </w:r>
      <w:r w:rsidR="00C37652"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 w:rsidR="00C37652"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entrepreneurship, finance financial services, marketing,</w:t>
      </w:r>
      <w:r w:rsidR="0020542E">
        <w:rPr>
          <w:rFonts w:ascii="Garamond" w:hAnsi="Garamond"/>
          <w:color w:val="auto"/>
        </w:rPr>
        <w:t xml:space="preserve"> general business, ope</w:t>
      </w:r>
      <w:r w:rsidR="00B14FD7">
        <w:rPr>
          <w:rFonts w:ascii="Garamond" w:hAnsi="Garamond"/>
          <w:color w:val="auto"/>
        </w:rPr>
        <w:t>rations management, human resources, management, public and not-for-profit, glob</w:t>
      </w:r>
      <w:r w:rsidR="0020542E">
        <w:rPr>
          <w:rFonts w:ascii="Garamond" w:hAnsi="Garamond"/>
          <w:color w:val="auto"/>
        </w:rPr>
        <w:t xml:space="preserve">al management, business ethics, </w:t>
      </w:r>
      <w:r w:rsidR="00B14FD7">
        <w:rPr>
          <w:rFonts w:ascii="Garamond" w:hAnsi="Garamond"/>
          <w:color w:val="auto"/>
        </w:rPr>
        <w:t>marke</w:t>
      </w:r>
      <w:r w:rsidR="006D79BA">
        <w:rPr>
          <w:rFonts w:ascii="Garamond" w:hAnsi="Garamond"/>
          <w:color w:val="auto"/>
        </w:rPr>
        <w:t>t</w:t>
      </w:r>
      <w:r w:rsidR="00B14FD7">
        <w:rPr>
          <w:rFonts w:ascii="Garamond" w:hAnsi="Garamond"/>
          <w:color w:val="auto"/>
        </w:rPr>
        <w:t>ing management, managerial economics, and management communication.</w:t>
      </w:r>
      <w:r w:rsidR="00DE7B48">
        <w:rPr>
          <w:rFonts w:ascii="Garamond" w:hAnsi="Garamond"/>
          <w:color w:val="auto"/>
        </w:rPr>
        <w:t xml:space="preserve">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</w:t>
      </w:r>
      <w:r>
        <w:rPr>
          <w:rFonts w:ascii="Garamond" w:hAnsi="Garamond"/>
          <w:color w:val="auto"/>
        </w:rPr>
        <w:lastRenderedPageBreak/>
        <w:t>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50EB9E1A" w14:textId="610DABF8" w:rsidR="00C37652" w:rsidRDefault="00C37652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</w:t>
      </w:r>
      <w:r w:rsidR="00A8505B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 xml:space="preserve"> of </w:t>
      </w:r>
      <w:r w:rsidR="00967F6B">
        <w:rPr>
          <w:rFonts w:ascii="Garamond" w:hAnsi="Garamond"/>
          <w:color w:val="auto"/>
        </w:rPr>
        <w:t xml:space="preserve"> Public Administration</w:t>
      </w:r>
      <w:r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>Research</w:t>
      </w:r>
      <w:r>
        <w:rPr>
          <w:rFonts w:ascii="Garamond" w:hAnsi="Garamond"/>
          <w:color w:val="auto"/>
        </w:rPr>
        <w:t xml:space="preserve"> Level</w:t>
      </w:r>
    </w:p>
    <w:p w14:paraId="2A82EB1D" w14:textId="7C97333B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Master of Executive Pubic </w:t>
      </w:r>
      <w:r w:rsidR="006D79BA">
        <w:rPr>
          <w:rFonts w:ascii="Garamond" w:hAnsi="Garamond"/>
          <w:color w:val="auto"/>
        </w:rPr>
        <w:t>Administration</w:t>
      </w:r>
      <w:r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 xml:space="preserve"> Research</w:t>
      </w:r>
      <w:r>
        <w:rPr>
          <w:rFonts w:ascii="Garamond" w:hAnsi="Garamond"/>
          <w:color w:val="auto"/>
        </w:rPr>
        <w:t xml:space="preserve"> Level</w:t>
      </w:r>
    </w:p>
    <w:p w14:paraId="6836BC6C" w14:textId="6A07E41C" w:rsidR="00967F6B" w:rsidRDefault="00B139BF" w:rsidP="00967F6B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JD/MPA Degrees: Research</w:t>
      </w:r>
      <w:r w:rsidR="00967F6B">
        <w:rPr>
          <w:rFonts w:ascii="Garamond" w:hAnsi="Garamond"/>
          <w:color w:val="auto"/>
        </w:rPr>
        <w:t xml:space="preserve"> 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3A2DC182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967F6B">
        <w:rPr>
          <w:rFonts w:ascii="Garamond" w:hAnsi="Garamond"/>
          <w:color w:val="auto"/>
        </w:rPr>
        <w:t xml:space="preserve">Public Administration </w:t>
      </w:r>
      <w:r w:rsidRPr="00823974">
        <w:rPr>
          <w:rFonts w:ascii="Garamond" w:hAnsi="Garamond"/>
          <w:color w:val="auto"/>
        </w:rPr>
        <w:t xml:space="preserve">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2B97460E" w14:textId="49DDC6FF" w:rsidR="00DE7B48" w:rsidRDefault="00C37652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>Political Science Department</w:t>
      </w:r>
    </w:p>
    <w:p w14:paraId="5C280897" w14:textId="06DE6E89" w:rsidR="00B1506C" w:rsidRDefault="00B1506C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Government Documents</w:t>
      </w:r>
    </w:p>
    <w:p w14:paraId="2F769687" w14:textId="73799773" w:rsidR="000A5913" w:rsidRPr="00B1506C" w:rsidRDefault="000A591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Law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16574334" w14:textId="74B16AA7" w:rsidR="00B1506C" w:rsidRPr="00B1506C" w:rsidRDefault="006A188F" w:rsidP="00B1506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0" w:history="1">
        <w:r w:rsidR="00413F3C" w:rsidRPr="00AC7644">
          <w:rPr>
            <w:rStyle w:val="Hyperlink"/>
            <w:rFonts w:ascii="Garamond" w:hAnsi="Garamond"/>
          </w:rPr>
          <w:t>GuideStar Database</w:t>
        </w:r>
      </w:hyperlink>
    </w:p>
    <w:p w14:paraId="5AFCEA06" w14:textId="486EA32E" w:rsidR="00413F3C" w:rsidRDefault="006A188F" w:rsidP="00B1506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1" w:history="1">
        <w:r w:rsidR="00B1506C" w:rsidRPr="00AC7644">
          <w:rPr>
            <w:rStyle w:val="Hyperlink"/>
            <w:rFonts w:ascii="Garamond" w:hAnsi="Garamond"/>
          </w:rPr>
          <w:t>VOLUNTAS: International Journal of Voluntary and Nonprofit Organizations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0BCF0AF7" w14:textId="554A7698" w:rsidR="00413F3C" w:rsidRDefault="006A188F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2" w:history="1">
        <w:r w:rsidR="00413F3C" w:rsidRPr="00AC7644">
          <w:rPr>
            <w:rStyle w:val="Hyperlink"/>
            <w:rFonts w:ascii="Garamond" w:hAnsi="Garamond"/>
          </w:rPr>
          <w:t>F</w:t>
        </w:r>
        <w:r w:rsidR="00B1506C" w:rsidRPr="00AC7644">
          <w:rPr>
            <w:rStyle w:val="Hyperlink"/>
            <w:rFonts w:ascii="Garamond" w:hAnsi="Garamond"/>
          </w:rPr>
          <w:t>oundation Finder</w:t>
        </w:r>
        <w:r w:rsidR="00413F3C" w:rsidRPr="00AC7644">
          <w:rPr>
            <w:rStyle w:val="Hyperlink"/>
            <w:rFonts w:ascii="Garamond" w:hAnsi="Garamond"/>
          </w:rPr>
          <w:t xml:space="preserve"> Database</w:t>
        </w:r>
        <w:r w:rsidR="00B1506C" w:rsidRPr="00AC7644">
          <w:rPr>
            <w:rStyle w:val="Hyperlink"/>
            <w:rFonts w:ascii="Garamond" w:hAnsi="Garamond"/>
          </w:rPr>
          <w:t xml:space="preserve"> (The Foundation Center)</w:t>
        </w:r>
        <w:r w:rsidR="00413F3C" w:rsidRPr="00AC7644">
          <w:rPr>
            <w:rStyle w:val="Hyperlink"/>
            <w:rFonts w:ascii="Garamond" w:hAnsi="Garamond"/>
          </w:rPr>
          <w:t xml:space="preserve"> 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746CEA58" w14:textId="47877994" w:rsidR="00413F3C" w:rsidRDefault="006A188F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3" w:history="1">
        <w:r w:rsidR="00413F3C" w:rsidRPr="00AC7644">
          <w:rPr>
            <w:rStyle w:val="Hyperlink"/>
            <w:rFonts w:ascii="Garamond" w:hAnsi="Garamond"/>
          </w:rPr>
          <w:t>LegiStorm Database</w:t>
        </w:r>
      </w:hyperlink>
    </w:p>
    <w:p w14:paraId="3CAF623E" w14:textId="217EF463" w:rsidR="00A21E14" w:rsidRPr="00413F3C" w:rsidRDefault="006A188F" w:rsidP="00A856A5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4" w:history="1">
        <w:r w:rsidR="00413F3C" w:rsidRPr="00AC7644">
          <w:rPr>
            <w:rStyle w:val="Hyperlink"/>
            <w:rFonts w:ascii="Garamond" w:hAnsi="Garamond"/>
          </w:rPr>
          <w:t>Statista Database</w:t>
        </w:r>
      </w:hyperlink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00B6E907" w:rsidR="00644C35" w:rsidRPr="00644C35" w:rsidRDefault="00413F3C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No reduction or added funding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00712A0" w14:textId="77777777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 xml:space="preserve">Consultation on </w:t>
      </w:r>
      <w:r w:rsidR="00413F3C">
        <w:rPr>
          <w:rFonts w:ascii="Garamond" w:hAnsi="Garamond"/>
          <w:color w:val="auto"/>
        </w:rPr>
        <w:t>new course related to business presentation skills</w:t>
      </w:r>
    </w:p>
    <w:p w14:paraId="234B8B08" w14:textId="77777777" w:rsidR="00413F3C" w:rsidRDefault="00413F3C" w:rsidP="00413F3C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Consultation on new course related to business writing</w:t>
      </w:r>
    </w:p>
    <w:p w14:paraId="6A06044C" w14:textId="400B7166" w:rsidR="00413F3C" w:rsidRPr="00413F3C" w:rsidRDefault="00413F3C" w:rsidP="00B139BF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t xml:space="preserve">Consultation on library presentation for the Administrative Environment course (Introduction to Public Administration) </w:t>
      </w:r>
    </w:p>
    <w:p w14:paraId="2CC3AB7F" w14:textId="77777777" w:rsidR="000E3818" w:rsidRDefault="000E3818" w:rsidP="005E714F">
      <w:pPr>
        <w:pStyle w:val="Heading3"/>
      </w:pP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lastRenderedPageBreak/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50A5AB" w14:textId="4221EB8F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</w:r>
      <w:r w:rsidR="00413F3C">
        <w:rPr>
          <w:rFonts w:ascii="Garamond" w:hAnsi="Garamond"/>
          <w:color w:val="auto"/>
        </w:rPr>
        <w:t xml:space="preserve">Added business communication resources to the </w:t>
      </w:r>
      <w:hyperlink r:id="rId15" w:history="1">
        <w:r w:rsidR="00413F3C" w:rsidRPr="00AC7644">
          <w:rPr>
            <w:rStyle w:val="Hyperlink"/>
            <w:rFonts w:ascii="Garamond" w:hAnsi="Garamond"/>
          </w:rPr>
          <w:t>MPA library page</w:t>
        </w:r>
      </w:hyperlink>
    </w:p>
    <w:p w14:paraId="5CF9AEF4" w14:textId="3EE18D4C" w:rsidR="00413F3C" w:rsidRPr="000E3818" w:rsidRDefault="00413F3C" w:rsidP="000166C8">
      <w:pPr>
        <w:pStyle w:val="Body"/>
        <w:numPr>
          <w:ilvl w:val="0"/>
          <w:numId w:val="39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t>Purchased materials related to business communication skills and business ethics</w:t>
      </w:r>
    </w:p>
    <w:sectPr w:rsidR="00413F3C" w:rsidRPr="000E3818">
      <w:footerReference w:type="default" r:id="rId16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ADA95" w14:textId="77777777" w:rsidR="006A188F" w:rsidRDefault="006A188F">
      <w:r>
        <w:separator/>
      </w:r>
    </w:p>
  </w:endnote>
  <w:endnote w:type="continuationSeparator" w:id="0">
    <w:p w14:paraId="5BD227A2" w14:textId="77777777" w:rsidR="006A188F" w:rsidRDefault="006A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5F632620" w:rsidR="000E3818" w:rsidRDefault="00BE4FB8">
    <w:pPr>
      <w:pStyle w:val="HeaderFooter"/>
    </w:pPr>
    <w:r w:rsidRPr="00BE4FB8">
      <w:rPr>
        <w:rFonts w:ascii="Minion Pro Semibold Caption"/>
      </w:rPr>
      <w:t>http://guides.lib.byu.edu/mpa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6EEFC" w14:textId="77777777" w:rsidR="006A188F" w:rsidRDefault="006A188F">
      <w:r>
        <w:separator/>
      </w:r>
    </w:p>
  </w:footnote>
  <w:footnote w:type="continuationSeparator" w:id="0">
    <w:p w14:paraId="2E539F31" w14:textId="77777777" w:rsidR="006A188F" w:rsidRDefault="006A1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4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3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0"/>
  </w:num>
  <w:num w:numId="5">
    <w:abstractNumId w:val="38"/>
  </w:num>
  <w:num w:numId="6">
    <w:abstractNumId w:val="3"/>
  </w:num>
  <w:num w:numId="7">
    <w:abstractNumId w:val="34"/>
  </w:num>
  <w:num w:numId="8">
    <w:abstractNumId w:val="25"/>
  </w:num>
  <w:num w:numId="9">
    <w:abstractNumId w:val="23"/>
  </w:num>
  <w:num w:numId="10">
    <w:abstractNumId w:val="32"/>
  </w:num>
  <w:num w:numId="11">
    <w:abstractNumId w:val="29"/>
  </w:num>
  <w:num w:numId="12">
    <w:abstractNumId w:val="35"/>
  </w:num>
  <w:num w:numId="13">
    <w:abstractNumId w:val="17"/>
  </w:num>
  <w:num w:numId="14">
    <w:abstractNumId w:val="10"/>
  </w:num>
  <w:num w:numId="15">
    <w:abstractNumId w:val="24"/>
  </w:num>
  <w:num w:numId="16">
    <w:abstractNumId w:val="0"/>
  </w:num>
  <w:num w:numId="17">
    <w:abstractNumId w:val="1"/>
  </w:num>
  <w:num w:numId="18">
    <w:abstractNumId w:val="13"/>
  </w:num>
  <w:num w:numId="19">
    <w:abstractNumId w:val="30"/>
  </w:num>
  <w:num w:numId="20">
    <w:abstractNumId w:val="2"/>
  </w:num>
  <w:num w:numId="21">
    <w:abstractNumId w:val="8"/>
  </w:num>
  <w:num w:numId="22">
    <w:abstractNumId w:val="36"/>
  </w:num>
  <w:num w:numId="23">
    <w:abstractNumId w:val="19"/>
  </w:num>
  <w:num w:numId="24">
    <w:abstractNumId w:val="28"/>
  </w:num>
  <w:num w:numId="25">
    <w:abstractNumId w:val="4"/>
  </w:num>
  <w:num w:numId="26">
    <w:abstractNumId w:val="9"/>
  </w:num>
  <w:num w:numId="27">
    <w:abstractNumId w:val="5"/>
  </w:num>
  <w:num w:numId="28">
    <w:abstractNumId w:val="26"/>
  </w:num>
  <w:num w:numId="29">
    <w:abstractNumId w:val="22"/>
  </w:num>
  <w:num w:numId="30">
    <w:abstractNumId w:val="31"/>
  </w:num>
  <w:num w:numId="31">
    <w:abstractNumId w:val="14"/>
  </w:num>
  <w:num w:numId="32">
    <w:abstractNumId w:val="6"/>
  </w:num>
  <w:num w:numId="33">
    <w:abstractNumId w:val="27"/>
  </w:num>
  <w:num w:numId="34">
    <w:abstractNumId w:val="7"/>
  </w:num>
  <w:num w:numId="35">
    <w:abstractNumId w:val="11"/>
  </w:num>
  <w:num w:numId="36">
    <w:abstractNumId w:val="21"/>
  </w:num>
  <w:num w:numId="37">
    <w:abstractNumId w:val="37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E26C8"/>
    <w:rsid w:val="000E3818"/>
    <w:rsid w:val="00104C23"/>
    <w:rsid w:val="0012276C"/>
    <w:rsid w:val="00174E3B"/>
    <w:rsid w:val="00183368"/>
    <w:rsid w:val="001847E4"/>
    <w:rsid w:val="0020542E"/>
    <w:rsid w:val="002164BD"/>
    <w:rsid w:val="00224434"/>
    <w:rsid w:val="00227B55"/>
    <w:rsid w:val="00270F75"/>
    <w:rsid w:val="0030225E"/>
    <w:rsid w:val="00315523"/>
    <w:rsid w:val="00321676"/>
    <w:rsid w:val="003374A0"/>
    <w:rsid w:val="00353A18"/>
    <w:rsid w:val="00363F9D"/>
    <w:rsid w:val="00377363"/>
    <w:rsid w:val="00413F3C"/>
    <w:rsid w:val="004165D7"/>
    <w:rsid w:val="004C73BB"/>
    <w:rsid w:val="004E438B"/>
    <w:rsid w:val="004F506F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6A188F"/>
    <w:rsid w:val="006A45E7"/>
    <w:rsid w:val="006D79BA"/>
    <w:rsid w:val="007044F0"/>
    <w:rsid w:val="00767445"/>
    <w:rsid w:val="007C4E64"/>
    <w:rsid w:val="0082150D"/>
    <w:rsid w:val="00823974"/>
    <w:rsid w:val="008A36EE"/>
    <w:rsid w:val="008F0723"/>
    <w:rsid w:val="00967F6B"/>
    <w:rsid w:val="00972583"/>
    <w:rsid w:val="00997F12"/>
    <w:rsid w:val="009A65D9"/>
    <w:rsid w:val="009C0925"/>
    <w:rsid w:val="00A21E14"/>
    <w:rsid w:val="00A53464"/>
    <w:rsid w:val="00A8505B"/>
    <w:rsid w:val="00A91346"/>
    <w:rsid w:val="00AC063F"/>
    <w:rsid w:val="00AC7644"/>
    <w:rsid w:val="00B139BF"/>
    <w:rsid w:val="00B14FD7"/>
    <w:rsid w:val="00B1506C"/>
    <w:rsid w:val="00B42BB9"/>
    <w:rsid w:val="00B60967"/>
    <w:rsid w:val="00B76A5D"/>
    <w:rsid w:val="00B76A72"/>
    <w:rsid w:val="00BE4FB8"/>
    <w:rsid w:val="00BE7872"/>
    <w:rsid w:val="00C148CA"/>
    <w:rsid w:val="00C2299E"/>
    <w:rsid w:val="00C37652"/>
    <w:rsid w:val="00C8320C"/>
    <w:rsid w:val="00CD259A"/>
    <w:rsid w:val="00CE2D78"/>
    <w:rsid w:val="00D030A2"/>
    <w:rsid w:val="00D36C20"/>
    <w:rsid w:val="00DE7B48"/>
    <w:rsid w:val="00E66520"/>
    <w:rsid w:val="00EC179C"/>
    <w:rsid w:val="00EC5FA4"/>
    <w:rsid w:val="00F26F8C"/>
    <w:rsid w:val="00F65F53"/>
    <w:rsid w:val="00F877C0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b.byu.edu/remoteauth/?url=http://link.springer.com/journal/volumesAndIssues/11266" TargetMode="External"/><Relationship Id="rId12" Type="http://schemas.openxmlformats.org/officeDocument/2006/relationships/hyperlink" Target="http://dbs.lib.byu.edu/foundation-finder-(the-foundation-center)" TargetMode="External"/><Relationship Id="rId13" Type="http://schemas.openxmlformats.org/officeDocument/2006/relationships/hyperlink" Target="http://dbs.lib.byu.edu/legistorm" TargetMode="External"/><Relationship Id="rId14" Type="http://schemas.openxmlformats.org/officeDocument/2006/relationships/hyperlink" Target="http://dbs.lib.byu.edu/statista" TargetMode="External"/><Relationship Id="rId15" Type="http://schemas.openxmlformats.org/officeDocument/2006/relationships/hyperlink" Target="http://guides.lib.byu.edu/mpa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mpa" TargetMode="External"/><Relationship Id="rId9" Type="http://schemas.openxmlformats.org/officeDocument/2006/relationships/hyperlink" Target="http://guides.lib.byu.edu/prf.php?account_id=18797" TargetMode="External"/><Relationship Id="rId10" Type="http://schemas.openxmlformats.org/officeDocument/2006/relationships/hyperlink" Target="http://dbs.lib.byu.edu/guidesta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DADE3-0984-7049-A3A8-F07F1DDC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2</cp:revision>
  <cp:lastPrinted>2015-07-30T14:37:00Z</cp:lastPrinted>
  <dcterms:created xsi:type="dcterms:W3CDTF">2016-09-15T21:58:00Z</dcterms:created>
  <dcterms:modified xsi:type="dcterms:W3CDTF">2016-09-15T21:58:00Z</dcterms:modified>
</cp:coreProperties>
</file>