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8846C" w14:textId="77777777" w:rsidR="0084165E" w:rsidRDefault="0084165E" w:rsidP="0084165E">
      <w:pPr>
        <w:pStyle w:val="Heading1"/>
      </w:pPr>
      <w:bookmarkStart w:id="0" w:name="_GoBack"/>
      <w:bookmarkEnd w:id="0"/>
      <w:r>
        <w:t>COLLECTION DEVELOPMENT STATEMENT</w:t>
      </w:r>
    </w:p>
    <w:p w14:paraId="08CD0625" w14:textId="77777777" w:rsidR="0084165E" w:rsidRDefault="00065DCB" w:rsidP="0084165E">
      <w:pPr>
        <w:pStyle w:val="Heading1"/>
      </w:pPr>
      <w:r>
        <w:t>MICROBIOLOGY &amp; MOLECULAR BIOLOGY (FUND 3427</w:t>
      </w:r>
      <w:r w:rsidR="00B5593E">
        <w:t>5</w:t>
      </w:r>
      <w:r w:rsidR="0084165E">
        <w:t>)</w:t>
      </w:r>
    </w:p>
    <w:p w14:paraId="3C7163ED" w14:textId="77777777" w:rsidR="0084165E" w:rsidRDefault="00B5593E" w:rsidP="0084165E">
      <w:r>
        <w:t>Greg Nelson</w:t>
      </w:r>
    </w:p>
    <w:p w14:paraId="6513548F" w14:textId="77777777" w:rsidR="0084165E" w:rsidRDefault="0084165E" w:rsidP="0084165E">
      <w:r>
        <w:t xml:space="preserve">The library seeks to support teaching and research in </w:t>
      </w:r>
      <w:r w:rsidR="00F35E9A">
        <w:t>Microbiology and Molecular Biology</w:t>
      </w:r>
      <w:r>
        <w:t xml:space="preserve"> at the </w:t>
      </w:r>
      <w:r w:rsidR="00F35E9A">
        <w:t>Research</w:t>
      </w:r>
      <w:r>
        <w:t xml:space="preserve"> level. </w:t>
      </w:r>
    </w:p>
    <w:p w14:paraId="319FED82" w14:textId="77777777" w:rsidR="0084165E" w:rsidRDefault="0084165E" w:rsidP="0084165E">
      <w:pPr>
        <w:pStyle w:val="Heading2"/>
      </w:pPr>
      <w:r>
        <w:t>About the Department</w:t>
      </w:r>
    </w:p>
    <w:p w14:paraId="5F675BDB" w14:textId="77777777" w:rsidR="0084165E" w:rsidRDefault="0084165E" w:rsidP="0084165E">
      <w:r>
        <w:t xml:space="preserve">The undergraduate program </w:t>
      </w:r>
      <w:r w:rsidR="00F35E9A">
        <w:t>offers degrees in Microbiology, Molecular Biology and Medical Lab Science. Microbiology and Molecular Biology majors are prepared for graduate work or careers in many medical or health-related fields. Majors in Medical Lab Science are prepared for careers in diagnostic laboratories or other health care</w:t>
      </w:r>
      <w:r w:rsidR="00382B35">
        <w:t xml:space="preserve"> settings. All three majors provide </w:t>
      </w:r>
      <w:r w:rsidR="00F35E9A">
        <w:t>excellent</w:t>
      </w:r>
      <w:r w:rsidR="00382B35">
        <w:t xml:space="preserve"> preparation for professional schools such as medical, dental or physical therapy school.</w:t>
      </w:r>
      <w:r w:rsidR="00876B22">
        <w:t xml:space="preserve"> Undergraduates in Microbiology and Molecular Biology actively use library resources for research projects; however, Medical Lab Science students do not have research projects and the only interaction with the library is during the Advanced Writing curricula. </w:t>
      </w:r>
    </w:p>
    <w:p w14:paraId="1B3BD347" w14:textId="77777777" w:rsidR="0084165E" w:rsidRDefault="0084165E" w:rsidP="00382B35">
      <w:r>
        <w:t xml:space="preserve">The graduate program </w:t>
      </w:r>
      <w:r w:rsidR="00382B35">
        <w:t>offers a Master’s of Science and Doctor of Philosophy degree in Microbiology and Molecular Biology. The programs prepare students to conduct high quality research in government, industry and educational institutions in areas such as immunology, cell biology and bacterial pathogenesis.</w:t>
      </w:r>
      <w:r w:rsidR="00BB43DB">
        <w:t xml:space="preserve"> A written thesis is required for all Master’s students and a written dissertation is required for all doctoral students.</w:t>
      </w:r>
    </w:p>
    <w:p w14:paraId="612501CA" w14:textId="77777777" w:rsidR="0084165E" w:rsidRDefault="0084165E" w:rsidP="0084165E">
      <w:pPr>
        <w:pStyle w:val="Heading2"/>
      </w:pPr>
      <w:r>
        <w:t>Formats</w:t>
      </w:r>
    </w:p>
    <w:p w14:paraId="63C288A8" w14:textId="77777777" w:rsidR="0084165E" w:rsidRDefault="0084165E" w:rsidP="0084165E">
      <w:r>
        <w:t xml:space="preserve">Overwhelmingly, </w:t>
      </w:r>
      <w:r w:rsidR="00F35E9A">
        <w:t xml:space="preserve">Microbiology and Molecular Biology </w:t>
      </w:r>
      <w:r>
        <w:t xml:space="preserve">faculty and students use online databases and journal articles. Online journal article access is available through publisher packages, database subscriptions, and individual title management. Books are purchased mainly via the YBP approval plan. </w:t>
      </w:r>
      <w:r w:rsidR="00382B35">
        <w:t>Three to four times</w:t>
      </w:r>
      <w:r>
        <w:t xml:space="preserve"> a year faculty are provided with a list of new books from YBP slips and queried for firm order requests; very few firm order purchases are made without faculty request. Circulation rates are quite low for monographs. E-books are purchased where possible, to increase accessibility and use. </w:t>
      </w:r>
    </w:p>
    <w:p w14:paraId="390192E9" w14:textId="77777777" w:rsidR="0084165E" w:rsidRDefault="0084165E" w:rsidP="0084165E">
      <w:pPr>
        <w:pStyle w:val="Heading2"/>
      </w:pPr>
      <w:r>
        <w:t>Degree Programs and Collecting Levels</w:t>
      </w:r>
    </w:p>
    <w:p w14:paraId="0C6DD47B" w14:textId="77777777" w:rsidR="0084165E" w:rsidRDefault="0084165E" w:rsidP="0084165E">
      <w:r>
        <w:t xml:space="preserve">Bachelor of Science, </w:t>
      </w:r>
      <w:r w:rsidR="00F35E9A">
        <w:t>Microbiology and Molecular Biology</w:t>
      </w:r>
      <w:r>
        <w:t xml:space="preserve">: </w:t>
      </w:r>
      <w:r w:rsidR="00F35E9A">
        <w:t>Research</w:t>
      </w:r>
      <w:r>
        <w:t xml:space="preserve"> Level</w:t>
      </w:r>
    </w:p>
    <w:p w14:paraId="6C7D325F" w14:textId="77777777" w:rsidR="0084165E" w:rsidRDefault="0084165E" w:rsidP="0084165E">
      <w:r>
        <w:t xml:space="preserve">Master of Science, </w:t>
      </w:r>
      <w:r w:rsidR="00F35E9A">
        <w:t>Microbiology and Molecular Biology</w:t>
      </w:r>
      <w:r>
        <w:t xml:space="preserve">: </w:t>
      </w:r>
      <w:r w:rsidR="00F35E9A">
        <w:t>Research</w:t>
      </w:r>
      <w:r>
        <w:t xml:space="preserve"> Level</w:t>
      </w:r>
    </w:p>
    <w:p w14:paraId="1A024F7D" w14:textId="77777777" w:rsidR="00F35E9A" w:rsidRPr="00826A76" w:rsidRDefault="00F35E9A" w:rsidP="00F35E9A">
      <w:r>
        <w:t>Doctor of Philosophy, Microbiology and Molecular Biology: Research Level</w:t>
      </w:r>
    </w:p>
    <w:p w14:paraId="65B03451" w14:textId="77777777" w:rsidR="0084165E" w:rsidRDefault="0084165E" w:rsidP="0084165E">
      <w:pPr>
        <w:pStyle w:val="Heading2"/>
      </w:pPr>
      <w:r>
        <w:t>Research Interests</w:t>
      </w:r>
    </w:p>
    <w:p w14:paraId="33D3F353" w14:textId="77777777" w:rsidR="0084165E"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Viral pathogens of human blood</w:t>
      </w:r>
    </w:p>
    <w:p w14:paraId="652A8035"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Humanization of animal models</w:t>
      </w:r>
    </w:p>
    <w:p w14:paraId="2A854EEA"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Bacteriophage</w:t>
      </w:r>
    </w:p>
    <w:p w14:paraId="573142CB"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Nuclear variant of BMP2 protein</w:t>
      </w:r>
    </w:p>
    <w:p w14:paraId="17DC5325"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Gut microbial effects of human disease</w:t>
      </w:r>
    </w:p>
    <w:p w14:paraId="7A6E6D68"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lastRenderedPageBreak/>
        <w:t>Statistical genetic analysis of complex diseases</w:t>
      </w:r>
    </w:p>
    <w:p w14:paraId="79682D1B"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Automated extraction of phenotypes from electronic medical records</w:t>
      </w:r>
    </w:p>
    <w:p w14:paraId="2C976E9A"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Pathogen evolution</w:t>
      </w:r>
    </w:p>
    <w:p w14:paraId="487AE548"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Innate immune system</w:t>
      </w:r>
    </w:p>
    <w:p w14:paraId="2DBAE51B"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Yersinia</w:t>
      </w:r>
    </w:p>
    <w:p w14:paraId="75F41080"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Genetic variation</w:t>
      </w:r>
    </w:p>
    <w:p w14:paraId="2F29FA95"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Symbiotic plant-microbe interactions</w:t>
      </w:r>
    </w:p>
    <w:p w14:paraId="787EF82C"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Genetics</w:t>
      </w:r>
    </w:p>
    <w:p w14:paraId="3A03AC37"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Metabolic regulation</w:t>
      </w:r>
    </w:p>
    <w:p w14:paraId="39F29A1D" w14:textId="77777777" w:rsidR="00B711E0" w:rsidRPr="00731F9A" w:rsidRDefault="00B711E0" w:rsidP="0084165E">
      <w:pPr>
        <w:pStyle w:val="ListParagraph"/>
        <w:numPr>
          <w:ilvl w:val="0"/>
          <w:numId w:val="1"/>
        </w:numPr>
        <w:rPr>
          <w:rFonts w:cs="Lucida Sans Unicode"/>
          <w:shd w:val="clear" w:color="auto" w:fill="FFFFFF"/>
        </w:rPr>
      </w:pPr>
      <w:r w:rsidRPr="00731F9A">
        <w:rPr>
          <w:rFonts w:cs="Lucida Sans Unicode"/>
          <w:shd w:val="clear" w:color="auto" w:fill="FFFFFF"/>
        </w:rPr>
        <w:t>Bacterial ecosystems</w:t>
      </w:r>
      <w:r w:rsidR="00731F9A" w:rsidRPr="00731F9A">
        <w:rPr>
          <w:rFonts w:cs="Lucida Sans Unicode"/>
          <w:shd w:val="clear" w:color="auto" w:fill="FFFFFF"/>
        </w:rPr>
        <w:t xml:space="preserve"> in salty water</w:t>
      </w:r>
    </w:p>
    <w:p w14:paraId="2B0F2619"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Nanoinjection transgene delivery</w:t>
      </w:r>
    </w:p>
    <w:p w14:paraId="7F356592"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Chromatin architecture</w:t>
      </w:r>
    </w:p>
    <w:p w14:paraId="3E867FBC"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Nucleosome positioning</w:t>
      </w:r>
    </w:p>
    <w:p w14:paraId="48DF2623"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Gene regulation</w:t>
      </w:r>
    </w:p>
    <w:p w14:paraId="33C6FA90"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Plant molecular biology</w:t>
      </w:r>
    </w:p>
    <w:p w14:paraId="738724BA"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Genetic markers of human anxiety and depression</w:t>
      </w:r>
    </w:p>
    <w:p w14:paraId="2298D92D"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Mitochondrial diseases</w:t>
      </w:r>
    </w:p>
    <w:p w14:paraId="5CD05283"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Cancer risk reduction with phytochemicals</w:t>
      </w:r>
    </w:p>
    <w:p w14:paraId="3EFA4A26" w14:textId="77777777" w:rsidR="00731F9A" w:rsidRPr="00731F9A" w:rsidRDefault="00731F9A" w:rsidP="0084165E">
      <w:pPr>
        <w:pStyle w:val="ListParagraph"/>
        <w:numPr>
          <w:ilvl w:val="0"/>
          <w:numId w:val="1"/>
        </w:numPr>
        <w:rPr>
          <w:rFonts w:cs="Lucida Sans Unicode"/>
          <w:shd w:val="clear" w:color="auto" w:fill="FFFFFF"/>
        </w:rPr>
      </w:pPr>
      <w:r w:rsidRPr="00731F9A">
        <w:rPr>
          <w:rFonts w:cs="Lucida Sans Unicode"/>
          <w:shd w:val="clear" w:color="auto" w:fill="FFFFFF"/>
        </w:rPr>
        <w:t>DNA repair mechanisms</w:t>
      </w:r>
    </w:p>
    <w:p w14:paraId="22FB767D" w14:textId="77777777" w:rsidR="00731F9A" w:rsidRPr="00731F9A" w:rsidRDefault="00731F9A" w:rsidP="00731F9A">
      <w:pPr>
        <w:pStyle w:val="ListParagraph"/>
        <w:numPr>
          <w:ilvl w:val="0"/>
          <w:numId w:val="1"/>
        </w:numPr>
        <w:rPr>
          <w:rFonts w:cs="Lucida Sans Unicode"/>
          <w:shd w:val="clear" w:color="auto" w:fill="FFFFFF"/>
        </w:rPr>
      </w:pPr>
      <w:r w:rsidRPr="00731F9A">
        <w:rPr>
          <w:rFonts w:cs="Lucida Sans Unicode"/>
          <w:shd w:val="clear" w:color="auto" w:fill="FFFFFF"/>
        </w:rPr>
        <w:t>Early detection of cancer</w:t>
      </w:r>
    </w:p>
    <w:p w14:paraId="23FD555B" w14:textId="77777777" w:rsidR="00731F9A" w:rsidRPr="00731F9A" w:rsidRDefault="00731F9A" w:rsidP="00731F9A">
      <w:pPr>
        <w:pStyle w:val="ListParagraph"/>
        <w:numPr>
          <w:ilvl w:val="0"/>
          <w:numId w:val="1"/>
        </w:numPr>
        <w:rPr>
          <w:rFonts w:cs="Lucida Sans Unicode"/>
          <w:shd w:val="clear" w:color="auto" w:fill="FFFFFF"/>
        </w:rPr>
      </w:pPr>
      <w:r w:rsidRPr="00731F9A">
        <w:rPr>
          <w:rFonts w:cs="Lucida Sans Unicode"/>
          <w:shd w:val="clear" w:color="auto" w:fill="FFFFFF"/>
        </w:rPr>
        <w:t>Pathogenic bacteria</w:t>
      </w:r>
    </w:p>
    <w:p w14:paraId="48C04386" w14:textId="77777777" w:rsidR="00731F9A" w:rsidRPr="00731F9A" w:rsidRDefault="00731F9A" w:rsidP="00731F9A">
      <w:pPr>
        <w:pStyle w:val="ListParagraph"/>
        <w:numPr>
          <w:ilvl w:val="0"/>
          <w:numId w:val="1"/>
        </w:numPr>
        <w:rPr>
          <w:rFonts w:cs="Lucida Sans Unicode"/>
          <w:shd w:val="clear" w:color="auto" w:fill="FFFFFF"/>
        </w:rPr>
      </w:pPr>
      <w:r w:rsidRPr="00731F9A">
        <w:rPr>
          <w:rFonts w:cs="Lucida Sans Unicode"/>
          <w:shd w:val="clear" w:color="auto" w:fill="FFFFFF"/>
        </w:rPr>
        <w:t>Select pathogenic agents</w:t>
      </w:r>
    </w:p>
    <w:p w14:paraId="12EB3FC1" w14:textId="77777777" w:rsidR="00731F9A" w:rsidRPr="00731F9A" w:rsidRDefault="00731F9A" w:rsidP="00731F9A">
      <w:pPr>
        <w:pStyle w:val="ListParagraph"/>
        <w:numPr>
          <w:ilvl w:val="0"/>
          <w:numId w:val="1"/>
        </w:numPr>
        <w:rPr>
          <w:rFonts w:cs="Lucida Sans Unicode"/>
          <w:shd w:val="clear" w:color="auto" w:fill="FFFFFF"/>
        </w:rPr>
      </w:pPr>
      <w:r w:rsidRPr="00731F9A">
        <w:rPr>
          <w:rFonts w:cs="Lucida Sans Unicode"/>
          <w:shd w:val="clear" w:color="auto" w:fill="FFFFFF"/>
        </w:rPr>
        <w:t>Compounds used for decontamination, disinfection, and infection control</w:t>
      </w:r>
    </w:p>
    <w:p w14:paraId="65F97AF2" w14:textId="77777777" w:rsidR="00731F9A" w:rsidRPr="00731F9A" w:rsidRDefault="00731F9A" w:rsidP="00731F9A">
      <w:pPr>
        <w:pStyle w:val="ListParagraph"/>
        <w:numPr>
          <w:ilvl w:val="0"/>
          <w:numId w:val="1"/>
        </w:numPr>
        <w:rPr>
          <w:rStyle w:val="apple-converted-space"/>
          <w:rFonts w:cs="Lucida Sans Unicode"/>
          <w:shd w:val="clear" w:color="auto" w:fill="FFFFFF"/>
        </w:rPr>
      </w:pPr>
      <w:r w:rsidRPr="00731F9A">
        <w:rPr>
          <w:rFonts w:cs="Lucida Sans Unicode"/>
          <w:shd w:val="clear" w:color="auto" w:fill="FFFFFF"/>
        </w:rPr>
        <w:t>T cell activation and memory cell formation</w:t>
      </w:r>
      <w:r w:rsidRPr="00731F9A">
        <w:rPr>
          <w:rStyle w:val="apple-converted-space"/>
          <w:rFonts w:cs="Lucida Sans Unicode"/>
          <w:shd w:val="clear" w:color="auto" w:fill="FFFFFF"/>
        </w:rPr>
        <w:t> to pathogens</w:t>
      </w:r>
    </w:p>
    <w:p w14:paraId="2EEE79B8" w14:textId="77777777" w:rsidR="00731F9A" w:rsidRPr="00731F9A" w:rsidRDefault="00731F9A" w:rsidP="00731F9A">
      <w:pPr>
        <w:pStyle w:val="ListParagraph"/>
        <w:numPr>
          <w:ilvl w:val="0"/>
          <w:numId w:val="1"/>
        </w:numPr>
        <w:rPr>
          <w:rStyle w:val="apple-converted-space"/>
          <w:rFonts w:cs="Lucida Sans Unicode"/>
          <w:shd w:val="clear" w:color="auto" w:fill="FFFFFF"/>
        </w:rPr>
      </w:pPr>
      <w:r w:rsidRPr="00731F9A">
        <w:rPr>
          <w:rStyle w:val="apple-converted-space"/>
          <w:rFonts w:cs="Lucida Sans Unicode"/>
          <w:shd w:val="clear" w:color="auto" w:fill="FFFFFF"/>
        </w:rPr>
        <w:t>T cell receptor affinity</w:t>
      </w:r>
    </w:p>
    <w:p w14:paraId="0DC05F97" w14:textId="77777777" w:rsidR="00731F9A" w:rsidRPr="00731F9A" w:rsidRDefault="00731F9A" w:rsidP="00731F9A">
      <w:pPr>
        <w:pStyle w:val="ListParagraph"/>
        <w:numPr>
          <w:ilvl w:val="0"/>
          <w:numId w:val="1"/>
        </w:numPr>
        <w:rPr>
          <w:rFonts w:cs="Lucida Sans Unicode"/>
          <w:shd w:val="clear" w:color="auto" w:fill="FFFFFF"/>
        </w:rPr>
      </w:pPr>
      <w:r w:rsidRPr="00731F9A">
        <w:rPr>
          <w:rStyle w:val="apple-converted-space"/>
          <w:rFonts w:cs="Lucida Sans Unicode"/>
          <w:shd w:val="clear" w:color="auto" w:fill="FFFFFF"/>
        </w:rPr>
        <w:t>Immune cell homing</w:t>
      </w:r>
    </w:p>
    <w:p w14:paraId="281FCBDE" w14:textId="77777777" w:rsidR="0084165E" w:rsidRDefault="0084165E" w:rsidP="0084165E">
      <w:pPr>
        <w:pStyle w:val="Heading2"/>
      </w:pPr>
      <w:r>
        <w:t>Subject Librarian Annual Collection Reports</w:t>
      </w:r>
    </w:p>
    <w:p w14:paraId="66DCDD56" w14:textId="77777777" w:rsidR="0084165E" w:rsidRDefault="0084165E" w:rsidP="0084165E">
      <w:r>
        <w:t>2015</w:t>
      </w:r>
    </w:p>
    <w:p w14:paraId="42241657" w14:textId="77777777" w:rsidR="00A6745C" w:rsidRDefault="00B711E0" w:rsidP="00B711E0">
      <w:pPr>
        <w:pStyle w:val="ListParagraph"/>
        <w:numPr>
          <w:ilvl w:val="0"/>
          <w:numId w:val="2"/>
        </w:numPr>
        <w:spacing w:line="254" w:lineRule="auto"/>
      </w:pPr>
      <w:r>
        <w:rPr>
          <w:b/>
        </w:rPr>
        <w:t>JoVE evaluation</w:t>
      </w:r>
      <w:r>
        <w:t>. Evaluated the use of the Journal of Visualized Experiments (JoVE) and potential need for acquiring or cancelling sections.</w:t>
      </w:r>
    </w:p>
    <w:sectPr w:rsidR="00A6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499E"/>
    <w:multiLevelType w:val="hybridMultilevel"/>
    <w:tmpl w:val="10700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A5C4F"/>
    <w:multiLevelType w:val="hybridMultilevel"/>
    <w:tmpl w:val="29C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5E"/>
    <w:rsid w:val="00043D2C"/>
    <w:rsid w:val="00047525"/>
    <w:rsid w:val="00065DCB"/>
    <w:rsid w:val="00080D5A"/>
    <w:rsid w:val="00082CF3"/>
    <w:rsid w:val="000B68C8"/>
    <w:rsid w:val="000F1932"/>
    <w:rsid w:val="0012009E"/>
    <w:rsid w:val="00146520"/>
    <w:rsid w:val="0016643F"/>
    <w:rsid w:val="00167F09"/>
    <w:rsid w:val="001B7E72"/>
    <w:rsid w:val="001C7D91"/>
    <w:rsid w:val="001D4EAA"/>
    <w:rsid w:val="001F5702"/>
    <w:rsid w:val="0020788C"/>
    <w:rsid w:val="00217F42"/>
    <w:rsid w:val="002351B9"/>
    <w:rsid w:val="00244593"/>
    <w:rsid w:val="00273F69"/>
    <w:rsid w:val="0027733E"/>
    <w:rsid w:val="00290078"/>
    <w:rsid w:val="002A6277"/>
    <w:rsid w:val="002C20C0"/>
    <w:rsid w:val="002C40EA"/>
    <w:rsid w:val="00337026"/>
    <w:rsid w:val="00382B35"/>
    <w:rsid w:val="003A0BA6"/>
    <w:rsid w:val="003D6F6F"/>
    <w:rsid w:val="00401D1A"/>
    <w:rsid w:val="00404008"/>
    <w:rsid w:val="004357EF"/>
    <w:rsid w:val="0048043B"/>
    <w:rsid w:val="005029C0"/>
    <w:rsid w:val="0054026F"/>
    <w:rsid w:val="00581069"/>
    <w:rsid w:val="005A3FEB"/>
    <w:rsid w:val="005D0010"/>
    <w:rsid w:val="005D3F47"/>
    <w:rsid w:val="00631EB3"/>
    <w:rsid w:val="00662B42"/>
    <w:rsid w:val="006A34A5"/>
    <w:rsid w:val="006B5594"/>
    <w:rsid w:val="006B7578"/>
    <w:rsid w:val="006D26A3"/>
    <w:rsid w:val="00731F9A"/>
    <w:rsid w:val="0078226D"/>
    <w:rsid w:val="00785A1C"/>
    <w:rsid w:val="007E018E"/>
    <w:rsid w:val="007E04C1"/>
    <w:rsid w:val="007F5002"/>
    <w:rsid w:val="007F7725"/>
    <w:rsid w:val="00831452"/>
    <w:rsid w:val="0084165E"/>
    <w:rsid w:val="00841E87"/>
    <w:rsid w:val="008606EA"/>
    <w:rsid w:val="00876B22"/>
    <w:rsid w:val="008B7F02"/>
    <w:rsid w:val="008E748A"/>
    <w:rsid w:val="008F6022"/>
    <w:rsid w:val="00903B4C"/>
    <w:rsid w:val="00921291"/>
    <w:rsid w:val="009414F3"/>
    <w:rsid w:val="009862E6"/>
    <w:rsid w:val="009B54D5"/>
    <w:rsid w:val="00A045B7"/>
    <w:rsid w:val="00A13AAD"/>
    <w:rsid w:val="00A35E5F"/>
    <w:rsid w:val="00A6745C"/>
    <w:rsid w:val="00A8312D"/>
    <w:rsid w:val="00AE2C5B"/>
    <w:rsid w:val="00B5593E"/>
    <w:rsid w:val="00B711E0"/>
    <w:rsid w:val="00B947C3"/>
    <w:rsid w:val="00BA7672"/>
    <w:rsid w:val="00BB43DB"/>
    <w:rsid w:val="00BC223F"/>
    <w:rsid w:val="00BE49A0"/>
    <w:rsid w:val="00C4792D"/>
    <w:rsid w:val="00C70A5F"/>
    <w:rsid w:val="00CC7E5C"/>
    <w:rsid w:val="00D86147"/>
    <w:rsid w:val="00DA58E8"/>
    <w:rsid w:val="00DB7604"/>
    <w:rsid w:val="00DC74E0"/>
    <w:rsid w:val="00E65D43"/>
    <w:rsid w:val="00E71168"/>
    <w:rsid w:val="00EC7A42"/>
    <w:rsid w:val="00ED1A9E"/>
    <w:rsid w:val="00F30578"/>
    <w:rsid w:val="00F348C8"/>
    <w:rsid w:val="00F35E9A"/>
    <w:rsid w:val="00F4084C"/>
    <w:rsid w:val="00FA37BF"/>
    <w:rsid w:val="00FE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96A3"/>
  <w15:chartTrackingRefBased/>
  <w15:docId w15:val="{3B7E2ED0-C8DE-468A-A003-027248D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65E"/>
  </w:style>
  <w:style w:type="paragraph" w:styleId="Heading1">
    <w:name w:val="heading 1"/>
    <w:basedOn w:val="Normal"/>
    <w:next w:val="Normal"/>
    <w:link w:val="Heading1Char"/>
    <w:uiPriority w:val="9"/>
    <w:qFormat/>
    <w:rsid w:val="008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5E"/>
    <w:pPr>
      <w:ind w:left="720"/>
      <w:contextualSpacing/>
    </w:pPr>
  </w:style>
  <w:style w:type="character" w:styleId="Hyperlink">
    <w:name w:val="Hyperlink"/>
    <w:basedOn w:val="DefaultParagraphFont"/>
    <w:uiPriority w:val="99"/>
    <w:unhideWhenUsed/>
    <w:rsid w:val="0084165E"/>
    <w:rPr>
      <w:color w:val="0563C1" w:themeColor="hyperlink"/>
      <w:u w:val="single"/>
    </w:rPr>
  </w:style>
  <w:style w:type="character" w:customStyle="1" w:styleId="apple-converted-space">
    <w:name w:val="apple-converted-space"/>
    <w:basedOn w:val="DefaultParagraphFont"/>
    <w:rsid w:val="0073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Nelson</dc:creator>
  <cp:keywords/>
  <dc:description/>
  <cp:lastModifiedBy>Jared Howland</cp:lastModifiedBy>
  <cp:revision>2</cp:revision>
  <dcterms:created xsi:type="dcterms:W3CDTF">2016-09-16T14:35:00Z</dcterms:created>
  <dcterms:modified xsi:type="dcterms:W3CDTF">2016-09-16T14:35:00Z</dcterms:modified>
</cp:coreProperties>
</file>