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D222B" w14:textId="77777777" w:rsidR="007A46E2" w:rsidRPr="002146AB" w:rsidRDefault="007566C7" w:rsidP="002260A1">
      <w:pPr>
        <w:jc w:val="center"/>
        <w:outlineLvl w:val="0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 xml:space="preserve">Technology and </w:t>
      </w:r>
      <w:r w:rsidR="00D663BB">
        <w:rPr>
          <w:b/>
          <w:sz w:val="32"/>
          <w:szCs w:val="32"/>
        </w:rPr>
        <w:t xml:space="preserve">Engineering </w:t>
      </w:r>
      <w:r>
        <w:rPr>
          <w:b/>
          <w:sz w:val="32"/>
          <w:szCs w:val="32"/>
        </w:rPr>
        <w:t>Education</w:t>
      </w:r>
    </w:p>
    <w:bookmarkEnd w:id="0"/>
    <w:p w14:paraId="4554D3C4" w14:textId="77777777" w:rsidR="002146AB" w:rsidRDefault="002146AB" w:rsidP="002146AB">
      <w:pPr>
        <w:jc w:val="center"/>
        <w:rPr>
          <w:b/>
          <w:sz w:val="28"/>
          <w:szCs w:val="28"/>
        </w:rPr>
      </w:pPr>
    </w:p>
    <w:p w14:paraId="624CE1B0" w14:textId="77777777" w:rsidR="002146AB" w:rsidRDefault="002146AB" w:rsidP="002260A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Collection Development Policy Statement</w:t>
      </w:r>
    </w:p>
    <w:p w14:paraId="3A7B14D3" w14:textId="77777777" w:rsidR="002146AB" w:rsidRDefault="002146AB" w:rsidP="002146AB">
      <w:pPr>
        <w:jc w:val="center"/>
        <w:rPr>
          <w:sz w:val="28"/>
          <w:szCs w:val="28"/>
        </w:rPr>
      </w:pPr>
    </w:p>
    <w:p w14:paraId="1EDAAE1C" w14:textId="77777777" w:rsidR="00F423FD" w:rsidRDefault="002146AB" w:rsidP="007566C7">
      <w:pPr>
        <w:ind w:left="720" w:hanging="720"/>
      </w:pPr>
      <w:r>
        <w:t>I.</w:t>
      </w:r>
      <w:r>
        <w:tab/>
        <w:t xml:space="preserve">This policy covers </w:t>
      </w:r>
      <w:r w:rsidRPr="007566C7">
        <w:t xml:space="preserve">the </w:t>
      </w:r>
      <w:r w:rsidR="007566C7" w:rsidRPr="007566C7">
        <w:t>Technology and Engineering Education</w:t>
      </w:r>
      <w:r w:rsidR="007566C7">
        <w:t xml:space="preserve"> </w:t>
      </w:r>
      <w:r w:rsidRPr="007566C7">
        <w:t xml:space="preserve">Department within the </w:t>
      </w:r>
      <w:r w:rsidR="009C28D7" w:rsidRPr="007566C7">
        <w:t>School of Technology</w:t>
      </w:r>
      <w:r w:rsidR="009C28D7">
        <w:t xml:space="preserve"> within the </w:t>
      </w:r>
      <w:r w:rsidR="0033411E">
        <w:t xml:space="preserve">Ira A. Fulton </w:t>
      </w:r>
      <w:r w:rsidR="0027679C">
        <w:t xml:space="preserve">College of </w:t>
      </w:r>
      <w:r w:rsidR="0033411E">
        <w:t>Engineering and Technology</w:t>
      </w:r>
      <w:r w:rsidR="0027679C">
        <w:t xml:space="preserve">.  The Harold B. Lee Library supports the curricular and research needs of the department through </w:t>
      </w:r>
      <w:r w:rsidR="0033411E">
        <w:t xml:space="preserve">monographic purchases and periodical and database </w:t>
      </w:r>
      <w:r w:rsidR="00F423FD">
        <w:t>subscriptions.</w:t>
      </w:r>
    </w:p>
    <w:p w14:paraId="46561847" w14:textId="77777777" w:rsidR="00F423FD" w:rsidRDefault="00F423FD" w:rsidP="00F423FD">
      <w:pPr>
        <w:ind w:left="720" w:hanging="720"/>
      </w:pPr>
    </w:p>
    <w:p w14:paraId="6FEE26CB" w14:textId="77777777" w:rsidR="00F423FD" w:rsidRDefault="00F423FD" w:rsidP="00F423FD">
      <w:pPr>
        <w:ind w:left="720" w:hanging="720"/>
      </w:pPr>
      <w:r>
        <w:t>II.</w:t>
      </w:r>
      <w:r>
        <w:tab/>
        <w:t>Curriculum and Research</w:t>
      </w:r>
    </w:p>
    <w:p w14:paraId="1E533322" w14:textId="77777777" w:rsidR="00AF6A85" w:rsidRDefault="00F423FD" w:rsidP="00AF6A85">
      <w:pPr>
        <w:ind w:left="1440" w:hanging="720"/>
      </w:pPr>
      <w:r>
        <w:t>A)</w:t>
      </w:r>
      <w:r w:rsidR="00AF6A85">
        <w:tab/>
        <w:t>Curriculum</w:t>
      </w:r>
    </w:p>
    <w:p w14:paraId="78DD5CB7" w14:textId="77777777" w:rsidR="00A2507E" w:rsidRPr="0041670B" w:rsidRDefault="007566C7" w:rsidP="00A2507E">
      <w:pPr>
        <w:ind w:left="1440"/>
        <w:rPr>
          <w:color w:val="000000"/>
        </w:rPr>
      </w:pPr>
      <w:r w:rsidRPr="007566C7">
        <w:t>Technology and Engineering Education</w:t>
      </w:r>
      <w:r>
        <w:t xml:space="preserve"> </w:t>
      </w:r>
      <w:r w:rsidR="00A2507E" w:rsidRPr="00A2507E">
        <w:t>prepare</w:t>
      </w:r>
      <w:r w:rsidR="00A2507E">
        <w:t>s</w:t>
      </w:r>
      <w:r w:rsidR="00A2507E" w:rsidRPr="00A2507E">
        <w:t xml:space="preserve"> men and women of sound character to teach technology and engineering in grades 6-12. These men and women are expected to lead their profession, advance technological literacy, and carry forth the mission of BYU</w:t>
      </w:r>
      <w:r w:rsidR="00A2507E">
        <w:t xml:space="preserve">. </w:t>
      </w:r>
      <w:r w:rsidR="00A2507E" w:rsidRPr="00A2507E">
        <w:t xml:space="preserve">TEE graduates </w:t>
      </w:r>
      <w:r w:rsidR="00A2507E">
        <w:t xml:space="preserve">are expected to </w:t>
      </w:r>
      <w:r w:rsidR="00A2507E" w:rsidRPr="00A2507E">
        <w:t>obtain the skills they need for lifelong learning and service in the education profession</w:t>
      </w:r>
      <w:r w:rsidR="00A2507E">
        <w:t>. Student teaching is included as part of the curriculum.</w:t>
      </w:r>
    </w:p>
    <w:p w14:paraId="5F3ACF9D" w14:textId="77777777" w:rsidR="00F423FD" w:rsidRPr="0041670B" w:rsidRDefault="009C28D7" w:rsidP="00A2507E">
      <w:pPr>
        <w:ind w:left="1440"/>
        <w:rPr>
          <w:color w:val="000000"/>
        </w:rPr>
      </w:pPr>
      <w:r w:rsidRPr="0041670B">
        <w:rPr>
          <w:color w:val="000000"/>
        </w:rPr>
        <w:t xml:space="preserve">The program offers a Bachelor of </w:t>
      </w:r>
      <w:r w:rsidR="005C0309" w:rsidRPr="0041670B">
        <w:rPr>
          <w:color w:val="000000"/>
        </w:rPr>
        <w:t xml:space="preserve">Science </w:t>
      </w:r>
      <w:r w:rsidRPr="0041670B">
        <w:rPr>
          <w:color w:val="000000"/>
        </w:rPr>
        <w:t xml:space="preserve">degree </w:t>
      </w:r>
      <w:r w:rsidR="005C0309" w:rsidRPr="0041670B">
        <w:rPr>
          <w:bCs/>
          <w:color w:val="000000"/>
        </w:rPr>
        <w:t xml:space="preserve">in </w:t>
      </w:r>
      <w:r w:rsidR="00A2507E" w:rsidRPr="0041670B">
        <w:rPr>
          <w:bCs/>
          <w:color w:val="000000"/>
        </w:rPr>
        <w:t xml:space="preserve">Technology Engineering Education and a </w:t>
      </w:r>
      <w:r w:rsidR="005C0309" w:rsidRPr="0041670B">
        <w:rPr>
          <w:bCs/>
          <w:color w:val="000000"/>
        </w:rPr>
        <w:t xml:space="preserve">MS in </w:t>
      </w:r>
      <w:r w:rsidR="00A2507E" w:rsidRPr="00A2507E">
        <w:rPr>
          <w:bCs/>
          <w:color w:val="000000"/>
        </w:rPr>
        <w:t>Technology Engineering Education</w:t>
      </w:r>
      <w:r w:rsidR="00A2507E" w:rsidRPr="00A2507E">
        <w:rPr>
          <w:color w:val="000000"/>
        </w:rPr>
        <w:t xml:space="preserve"> </w:t>
      </w:r>
      <w:r w:rsidRPr="0041670B">
        <w:rPr>
          <w:color w:val="000000"/>
        </w:rPr>
        <w:t>through the Ira R. Fulton College of Engineering.</w:t>
      </w:r>
      <w:r w:rsidR="0033411E" w:rsidRPr="0041670B">
        <w:rPr>
          <w:color w:val="000000"/>
        </w:rPr>
        <w:t xml:space="preserve"> </w:t>
      </w:r>
      <w:r w:rsidR="00AF6A85" w:rsidRPr="0041670B">
        <w:rPr>
          <w:color w:val="000000"/>
        </w:rPr>
        <w:t xml:space="preserve">There are </w:t>
      </w:r>
      <w:r w:rsidR="00A2507E" w:rsidRPr="0041670B">
        <w:rPr>
          <w:color w:val="000000"/>
        </w:rPr>
        <w:t>3</w:t>
      </w:r>
      <w:r w:rsidR="00AF6A85" w:rsidRPr="0041670B">
        <w:rPr>
          <w:color w:val="000000"/>
        </w:rPr>
        <w:t xml:space="preserve"> full-</w:t>
      </w:r>
      <w:r w:rsidR="00113CE3" w:rsidRPr="0041670B">
        <w:rPr>
          <w:color w:val="000000"/>
        </w:rPr>
        <w:t>time faculty</w:t>
      </w:r>
      <w:r w:rsidRPr="0041670B">
        <w:rPr>
          <w:color w:val="000000"/>
        </w:rPr>
        <w:t xml:space="preserve"> </w:t>
      </w:r>
      <w:r w:rsidR="0026229D" w:rsidRPr="0041670B">
        <w:rPr>
          <w:color w:val="000000"/>
        </w:rPr>
        <w:t xml:space="preserve">members </w:t>
      </w:r>
      <w:r w:rsidRPr="0041670B">
        <w:rPr>
          <w:color w:val="000000"/>
        </w:rPr>
        <w:t>in the department.</w:t>
      </w:r>
    </w:p>
    <w:p w14:paraId="6E3BB30B" w14:textId="77777777" w:rsidR="00AF6A85" w:rsidRDefault="00AF6A85" w:rsidP="00AF6A85">
      <w:pPr>
        <w:ind w:left="1440" w:hanging="720"/>
      </w:pPr>
      <w:r>
        <w:t>B)</w:t>
      </w:r>
      <w:r>
        <w:tab/>
        <w:t>Research</w:t>
      </w:r>
    </w:p>
    <w:p w14:paraId="03509440" w14:textId="77777777" w:rsidR="00A2507E" w:rsidRDefault="00A2507E" w:rsidP="00A2507E">
      <w:pPr>
        <w:ind w:left="1440"/>
      </w:pPr>
      <w:r>
        <w:t>Emphasis within the program includes:</w:t>
      </w:r>
    </w:p>
    <w:p w14:paraId="45541A6A" w14:textId="77777777" w:rsidR="00A2507E" w:rsidRDefault="00A2507E" w:rsidP="00A2507E">
      <w:pPr>
        <w:ind w:left="1440"/>
      </w:pPr>
    </w:p>
    <w:p w14:paraId="46863312" w14:textId="77777777" w:rsidR="00A2507E" w:rsidRPr="00A2507E" w:rsidRDefault="00A2507E" w:rsidP="00A2507E">
      <w:pPr>
        <w:numPr>
          <w:ilvl w:val="0"/>
          <w:numId w:val="3"/>
        </w:numPr>
        <w:rPr>
          <w:color w:val="000000"/>
        </w:rPr>
      </w:pPr>
      <w:r w:rsidRPr="00A2507E">
        <w:rPr>
          <w:bCs/>
          <w:color w:val="000000"/>
        </w:rPr>
        <w:t>Graphic Design and Multimedia</w:t>
      </w:r>
    </w:p>
    <w:p w14:paraId="25620CDC" w14:textId="77777777" w:rsidR="00A2507E" w:rsidRPr="00A2507E" w:rsidRDefault="00A2507E" w:rsidP="00A2507E">
      <w:pPr>
        <w:numPr>
          <w:ilvl w:val="0"/>
          <w:numId w:val="3"/>
        </w:numPr>
        <w:rPr>
          <w:color w:val="000000"/>
        </w:rPr>
      </w:pPr>
      <w:r w:rsidRPr="00A2507E">
        <w:rPr>
          <w:bCs/>
          <w:color w:val="000000"/>
        </w:rPr>
        <w:t>Information Technology</w:t>
      </w:r>
    </w:p>
    <w:p w14:paraId="3D942D29" w14:textId="77777777" w:rsidR="00A2507E" w:rsidRPr="00A2507E" w:rsidRDefault="00A2507E" w:rsidP="00A2507E">
      <w:pPr>
        <w:numPr>
          <w:ilvl w:val="0"/>
          <w:numId w:val="3"/>
        </w:numPr>
        <w:rPr>
          <w:color w:val="000000"/>
        </w:rPr>
      </w:pPr>
      <w:r w:rsidRPr="00A2507E">
        <w:rPr>
          <w:bCs/>
          <w:color w:val="000000"/>
        </w:rPr>
        <w:t>Computer Science</w:t>
      </w:r>
    </w:p>
    <w:p w14:paraId="7895648B" w14:textId="77777777" w:rsidR="00A2507E" w:rsidRPr="00A2507E" w:rsidRDefault="00A2507E" w:rsidP="00A2507E">
      <w:pPr>
        <w:numPr>
          <w:ilvl w:val="0"/>
          <w:numId w:val="3"/>
        </w:numPr>
        <w:rPr>
          <w:color w:val="000000"/>
        </w:rPr>
      </w:pPr>
      <w:r w:rsidRPr="00A2507E">
        <w:rPr>
          <w:bCs/>
          <w:color w:val="000000"/>
        </w:rPr>
        <w:t>Engineering Prep &amp; Electronics</w:t>
      </w:r>
    </w:p>
    <w:p w14:paraId="163F22DB" w14:textId="77777777" w:rsidR="00A2507E" w:rsidRPr="00A2507E" w:rsidRDefault="00A2507E" w:rsidP="00A2507E">
      <w:pPr>
        <w:numPr>
          <w:ilvl w:val="0"/>
          <w:numId w:val="3"/>
        </w:numPr>
        <w:rPr>
          <w:color w:val="000000"/>
        </w:rPr>
      </w:pPr>
      <w:r w:rsidRPr="00A2507E">
        <w:rPr>
          <w:bCs/>
          <w:color w:val="000000"/>
        </w:rPr>
        <w:t>Architecture and Furniture Design</w:t>
      </w:r>
    </w:p>
    <w:p w14:paraId="0F28F6DD" w14:textId="77777777" w:rsidR="00A2507E" w:rsidRPr="00A2507E" w:rsidRDefault="00A2507E" w:rsidP="00A2507E">
      <w:pPr>
        <w:numPr>
          <w:ilvl w:val="0"/>
          <w:numId w:val="3"/>
        </w:numPr>
        <w:rPr>
          <w:color w:val="000000"/>
        </w:rPr>
      </w:pPr>
      <w:r w:rsidRPr="00A2507E">
        <w:rPr>
          <w:bCs/>
          <w:color w:val="000000"/>
        </w:rPr>
        <w:t>Construction Systems</w:t>
      </w:r>
    </w:p>
    <w:p w14:paraId="319344D1" w14:textId="77777777" w:rsidR="00A2507E" w:rsidRPr="00A2507E" w:rsidRDefault="00A2507E" w:rsidP="00A2507E">
      <w:pPr>
        <w:numPr>
          <w:ilvl w:val="0"/>
          <w:numId w:val="3"/>
        </w:numPr>
        <w:rPr>
          <w:color w:val="000000"/>
        </w:rPr>
      </w:pPr>
      <w:r w:rsidRPr="00A2507E">
        <w:rPr>
          <w:bCs/>
          <w:color w:val="000000"/>
        </w:rPr>
        <w:t>Manufacturing</w:t>
      </w:r>
    </w:p>
    <w:p w14:paraId="79C3D92B" w14:textId="77777777" w:rsidR="00A2507E" w:rsidRPr="00A2507E" w:rsidRDefault="00A2507E" w:rsidP="00A2507E">
      <w:pPr>
        <w:numPr>
          <w:ilvl w:val="0"/>
          <w:numId w:val="3"/>
        </w:numPr>
        <w:rPr>
          <w:color w:val="000000"/>
        </w:rPr>
      </w:pPr>
      <w:r w:rsidRPr="00A2507E">
        <w:rPr>
          <w:bCs/>
          <w:color w:val="000000"/>
        </w:rPr>
        <w:t>Skilled and Technical Sciences</w:t>
      </w:r>
    </w:p>
    <w:p w14:paraId="696F3F41" w14:textId="77777777" w:rsidR="0026229D" w:rsidRDefault="0026229D" w:rsidP="0026229D">
      <w:pPr>
        <w:ind w:left="1440" w:hanging="720"/>
      </w:pPr>
    </w:p>
    <w:p w14:paraId="6BDA8B89" w14:textId="77777777" w:rsidR="006C0DC5" w:rsidRDefault="006C0DC5" w:rsidP="006C0DC5">
      <w:pPr>
        <w:ind w:left="720" w:hanging="720"/>
      </w:pPr>
      <w:r>
        <w:t>III.</w:t>
      </w:r>
      <w:r>
        <w:tab/>
        <w:t>Subject and Formats</w:t>
      </w:r>
    </w:p>
    <w:p w14:paraId="3A27E854" w14:textId="77777777" w:rsidR="006C0DC5" w:rsidRDefault="006C0DC5" w:rsidP="006C0DC5">
      <w:pPr>
        <w:ind w:left="720" w:hanging="720"/>
      </w:pPr>
      <w:r>
        <w:tab/>
        <w:t>A)</w:t>
      </w:r>
      <w:r>
        <w:tab/>
        <w:t>Scope</w:t>
      </w:r>
    </w:p>
    <w:p w14:paraId="2808A52D" w14:textId="77777777" w:rsidR="006C0DC5" w:rsidRDefault="00113952" w:rsidP="00113952">
      <w:pPr>
        <w:ind w:left="1440"/>
      </w:pPr>
      <w:r>
        <w:t xml:space="preserve">The library collects </w:t>
      </w:r>
      <w:r w:rsidR="00A2507E" w:rsidRPr="007566C7">
        <w:t>Technology and Engineering Education</w:t>
      </w:r>
      <w:r w:rsidR="00A2507E">
        <w:t xml:space="preserve"> </w:t>
      </w:r>
      <w:r>
        <w:t>monographs</w:t>
      </w:r>
      <w:r w:rsidR="00B96D69">
        <w:t xml:space="preserve"> and periodicals</w:t>
      </w:r>
      <w:r>
        <w:t xml:space="preserve"> on theory and practice at a </w:t>
      </w:r>
      <w:r w:rsidR="00113CE3">
        <w:t>level 4</w:t>
      </w:r>
      <w:r>
        <w:t xml:space="preserve"> (research) to support the faculty </w:t>
      </w:r>
      <w:r w:rsidR="0026229D">
        <w:t xml:space="preserve">and </w:t>
      </w:r>
      <w:r>
        <w:t>students and common texts on a level 2 (selective)</w:t>
      </w:r>
      <w:r w:rsidR="00B96D69">
        <w:t xml:space="preserve"> to support demand</w:t>
      </w:r>
      <w:r>
        <w:t xml:space="preserve">.  </w:t>
      </w:r>
      <w:r w:rsidR="0076014F">
        <w:t>O</w:t>
      </w:r>
      <w:r>
        <w:t>ther subject area</w:t>
      </w:r>
      <w:r w:rsidR="00276304">
        <w:t xml:space="preserve">s </w:t>
      </w:r>
      <w:r w:rsidR="0076014F">
        <w:t>are</w:t>
      </w:r>
      <w:r w:rsidR="00276304">
        <w:t xml:space="preserve"> also collected on a level 3</w:t>
      </w:r>
      <w:r>
        <w:t xml:space="preserve"> (</w:t>
      </w:r>
      <w:r w:rsidR="00276304">
        <w:t>curricular</w:t>
      </w:r>
      <w:r>
        <w:t>).</w:t>
      </w:r>
    </w:p>
    <w:p w14:paraId="6EB56DD6" w14:textId="77777777" w:rsidR="00B96D69" w:rsidRDefault="00B96D69" w:rsidP="00B96D69">
      <w:pPr>
        <w:ind w:left="720"/>
      </w:pPr>
      <w:r>
        <w:t>B)</w:t>
      </w:r>
      <w:r>
        <w:tab/>
        <w:t>Type</w:t>
      </w:r>
    </w:p>
    <w:p w14:paraId="41439750" w14:textId="77777777" w:rsidR="00B96D69" w:rsidRPr="0037512E" w:rsidRDefault="00B96D69" w:rsidP="003769F4">
      <w:pPr>
        <w:ind w:left="1440" w:hanging="720"/>
        <w:rPr>
          <w:color w:val="000000"/>
        </w:rPr>
      </w:pPr>
      <w:r>
        <w:tab/>
        <w:t xml:space="preserve">Original research, abstracts, reference works are collected.  </w:t>
      </w:r>
      <w:r w:rsidR="003769F4">
        <w:t xml:space="preserve">ERIC (EBSCO), the preferred database for education, is provided along with databases in support of engineering and technology including: Compendex, the search engine representing the collective indexing work </w:t>
      </w:r>
      <w:r w:rsidR="003769F4">
        <w:lastRenderedPageBreak/>
        <w:t xml:space="preserve">of the Engineering </w:t>
      </w:r>
      <w:r w:rsidR="003769F4" w:rsidRPr="0076014F">
        <w:t>Index</w:t>
      </w:r>
      <w:r w:rsidR="003769F4">
        <w:t>®</w:t>
      </w:r>
      <w:r w:rsidR="003769F4" w:rsidRPr="0076014F">
        <w:t xml:space="preserve"> </w:t>
      </w:r>
      <w:r w:rsidR="003769F4">
        <w:t xml:space="preserve">, ProQuest Research Library: Science and Technology, Computers and Applied Sciences Complete (EBSCO), and Web of Science (ISI).  </w:t>
      </w:r>
      <w:r w:rsidR="007D1132" w:rsidRPr="0037512E">
        <w:rPr>
          <w:color w:val="000000"/>
        </w:rPr>
        <w:t>P</w:t>
      </w:r>
      <w:r w:rsidR="00374D52" w:rsidRPr="0037512E">
        <w:rPr>
          <w:color w:val="000000"/>
        </w:rPr>
        <w:t>opular treatments, textbooks, and course materials are collected selectively.  Other types are generally not collected</w:t>
      </w:r>
    </w:p>
    <w:p w14:paraId="5910B98B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>C)</w:t>
      </w:r>
      <w:r w:rsidRPr="0037512E">
        <w:rPr>
          <w:color w:val="000000"/>
        </w:rPr>
        <w:tab/>
        <w:t>Format</w:t>
      </w:r>
    </w:p>
    <w:p w14:paraId="71AAEF65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ab/>
        <w:t xml:space="preserve">Monographs, serials </w:t>
      </w:r>
      <w:r w:rsidR="007D1132" w:rsidRPr="0037512E">
        <w:rPr>
          <w:color w:val="000000"/>
        </w:rPr>
        <w:t xml:space="preserve">in </w:t>
      </w:r>
      <w:r w:rsidRPr="0037512E">
        <w:rPr>
          <w:color w:val="000000"/>
        </w:rPr>
        <w:t xml:space="preserve">electronic </w:t>
      </w:r>
      <w:r w:rsidR="007D1132" w:rsidRPr="0037512E">
        <w:rPr>
          <w:color w:val="000000"/>
        </w:rPr>
        <w:t>form</w:t>
      </w:r>
      <w:r w:rsidRPr="0037512E">
        <w:rPr>
          <w:color w:val="000000"/>
        </w:rPr>
        <w:t xml:space="preserve"> are collected </w:t>
      </w:r>
      <w:r w:rsidR="007D1132" w:rsidRPr="0037512E">
        <w:rPr>
          <w:color w:val="000000"/>
        </w:rPr>
        <w:t>preferentially</w:t>
      </w:r>
      <w:r w:rsidRPr="0037512E">
        <w:rPr>
          <w:color w:val="000000"/>
        </w:rPr>
        <w:t>.  Audiovisual materials are collected selectively.  Microforms and manuscripts are generally not collected.</w:t>
      </w:r>
    </w:p>
    <w:p w14:paraId="45AEF718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>D)</w:t>
      </w:r>
      <w:r w:rsidRPr="0037512E">
        <w:rPr>
          <w:color w:val="000000"/>
        </w:rPr>
        <w:tab/>
        <w:t xml:space="preserve">Materials published during the last </w:t>
      </w:r>
      <w:r w:rsidR="007D1132" w:rsidRPr="0037512E">
        <w:rPr>
          <w:color w:val="000000"/>
        </w:rPr>
        <w:t>1</w:t>
      </w:r>
      <w:r w:rsidRPr="0037512E">
        <w:rPr>
          <w:color w:val="000000"/>
        </w:rPr>
        <w:t xml:space="preserve">0 years are collected extensively.  Materials published during the previous </w:t>
      </w:r>
      <w:r w:rsidR="007D1132" w:rsidRPr="0037512E">
        <w:rPr>
          <w:color w:val="000000"/>
        </w:rPr>
        <w:t>20-</w:t>
      </w:r>
      <w:r w:rsidRPr="0037512E">
        <w:rPr>
          <w:color w:val="000000"/>
        </w:rPr>
        <w:t xml:space="preserve">30 years are collected </w:t>
      </w:r>
      <w:r w:rsidR="0072756E" w:rsidRPr="0037512E">
        <w:rPr>
          <w:color w:val="000000"/>
        </w:rPr>
        <w:t xml:space="preserve">very </w:t>
      </w:r>
      <w:r w:rsidRPr="0037512E">
        <w:rPr>
          <w:color w:val="000000"/>
        </w:rPr>
        <w:t>selectively.  Materials published prior to 1950 are</w:t>
      </w:r>
      <w:r w:rsidR="0072756E" w:rsidRPr="0037512E">
        <w:rPr>
          <w:color w:val="000000"/>
        </w:rPr>
        <w:t xml:space="preserve"> generally not </w:t>
      </w:r>
      <w:r w:rsidRPr="0037512E">
        <w:rPr>
          <w:color w:val="000000"/>
        </w:rPr>
        <w:t>collected.</w:t>
      </w:r>
    </w:p>
    <w:p w14:paraId="644A21DE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>E)</w:t>
      </w:r>
      <w:r w:rsidRPr="0037512E">
        <w:rPr>
          <w:color w:val="000000"/>
        </w:rPr>
        <w:tab/>
        <w:t>English is the preferred language and is collected extensively.  Other languages are generally excluded or collected very selectively based on unique content that has not been translated into English</w:t>
      </w:r>
    </w:p>
    <w:p w14:paraId="0B022CCD" w14:textId="77777777" w:rsidR="00374D52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>F)</w:t>
      </w:r>
      <w:r w:rsidRPr="0037512E">
        <w:rPr>
          <w:color w:val="000000"/>
        </w:rPr>
        <w:tab/>
        <w:t>Geographic Focus</w:t>
      </w:r>
    </w:p>
    <w:p w14:paraId="6D7D5E35" w14:textId="77777777" w:rsidR="00E465D0" w:rsidRPr="0037512E" w:rsidRDefault="00374D52" w:rsidP="00B96D69">
      <w:pPr>
        <w:ind w:left="1440" w:hanging="720"/>
        <w:rPr>
          <w:color w:val="000000"/>
        </w:rPr>
      </w:pPr>
      <w:r w:rsidRPr="0037512E">
        <w:rPr>
          <w:color w:val="000000"/>
        </w:rPr>
        <w:tab/>
        <w:t>No particular area of the World is favo</w:t>
      </w:r>
      <w:r w:rsidR="008C0C67">
        <w:rPr>
          <w:color w:val="000000"/>
        </w:rPr>
        <w:t>red however most materials come</w:t>
      </w:r>
      <w:r w:rsidRPr="0037512E">
        <w:rPr>
          <w:color w:val="000000"/>
        </w:rPr>
        <w:t xml:space="preserve"> from North America and Europe</w:t>
      </w:r>
      <w:r w:rsidR="0026229D">
        <w:rPr>
          <w:color w:val="000000"/>
        </w:rPr>
        <w:t>.</w:t>
      </w:r>
    </w:p>
    <w:p w14:paraId="7D93F7C2" w14:textId="77777777" w:rsidR="00374D52" w:rsidRPr="0037512E" w:rsidRDefault="00BF23BF" w:rsidP="00374D52">
      <w:pPr>
        <w:rPr>
          <w:color w:val="000000"/>
        </w:rPr>
      </w:pPr>
      <w:r w:rsidRPr="0037512E">
        <w:rPr>
          <w:color w:val="000000"/>
        </w:rPr>
        <w:t>IV.</w:t>
      </w:r>
      <w:r w:rsidRPr="0037512E">
        <w:rPr>
          <w:color w:val="000000"/>
        </w:rPr>
        <w:tab/>
        <w:t>Other</w:t>
      </w:r>
    </w:p>
    <w:p w14:paraId="3094CBE2" w14:textId="77777777" w:rsidR="00BF23BF" w:rsidRPr="0037512E" w:rsidRDefault="00BF23BF" w:rsidP="00BF23BF">
      <w:pPr>
        <w:ind w:left="720"/>
        <w:rPr>
          <w:color w:val="000000"/>
        </w:rPr>
      </w:pPr>
      <w:r w:rsidRPr="0037512E">
        <w:rPr>
          <w:color w:val="000000"/>
        </w:rPr>
        <w:t>A)</w:t>
      </w:r>
      <w:r w:rsidRPr="0037512E">
        <w:rPr>
          <w:color w:val="000000"/>
        </w:rPr>
        <w:tab/>
        <w:t>Related Collections and Overlap</w:t>
      </w:r>
    </w:p>
    <w:p w14:paraId="575E610F" w14:textId="77777777" w:rsidR="00BF23BF" w:rsidRPr="0037512E" w:rsidRDefault="00BF23BF" w:rsidP="00BF23BF">
      <w:pPr>
        <w:ind w:left="1440"/>
        <w:rPr>
          <w:color w:val="000000"/>
        </w:rPr>
      </w:pPr>
      <w:r w:rsidRPr="0037512E">
        <w:rPr>
          <w:color w:val="000000"/>
        </w:rPr>
        <w:t>There is overlap</w:t>
      </w:r>
      <w:r w:rsidR="00770A31" w:rsidRPr="0037512E">
        <w:rPr>
          <w:color w:val="000000"/>
        </w:rPr>
        <w:t xml:space="preserve"> in many other areas </w:t>
      </w:r>
      <w:r w:rsidR="0026229D">
        <w:rPr>
          <w:color w:val="000000"/>
        </w:rPr>
        <w:t xml:space="preserve">such as </w:t>
      </w:r>
      <w:r w:rsidR="00656B7F">
        <w:rPr>
          <w:color w:val="000000"/>
        </w:rPr>
        <w:t xml:space="preserve">mechanical </w:t>
      </w:r>
      <w:r w:rsidR="003769F4">
        <w:rPr>
          <w:color w:val="000000"/>
        </w:rPr>
        <w:t xml:space="preserve">and electrical </w:t>
      </w:r>
      <w:r w:rsidR="00656B7F">
        <w:rPr>
          <w:color w:val="000000"/>
        </w:rPr>
        <w:t>engineering</w:t>
      </w:r>
      <w:r w:rsidR="003769F4">
        <w:rPr>
          <w:color w:val="000000"/>
        </w:rPr>
        <w:t xml:space="preserve">, IT, manufacturing, etc., </w:t>
      </w:r>
      <w:r w:rsidR="00770A31" w:rsidRPr="0037512E">
        <w:rPr>
          <w:color w:val="000000"/>
        </w:rPr>
        <w:t xml:space="preserve">but </w:t>
      </w:r>
      <w:r w:rsidR="003769F4">
        <w:rPr>
          <w:color w:val="000000"/>
        </w:rPr>
        <w:t xml:space="preserve">are considered part of the collection development policy for this discipline </w:t>
      </w:r>
      <w:r w:rsidR="00770A31" w:rsidRPr="0037512E">
        <w:rPr>
          <w:color w:val="000000"/>
        </w:rPr>
        <w:t xml:space="preserve">only </w:t>
      </w:r>
      <w:r w:rsidR="003769F4">
        <w:rPr>
          <w:color w:val="000000"/>
        </w:rPr>
        <w:t>when</w:t>
      </w:r>
      <w:r w:rsidR="00770A31" w:rsidRPr="0037512E">
        <w:rPr>
          <w:color w:val="000000"/>
        </w:rPr>
        <w:t xml:space="preserve"> appli</w:t>
      </w:r>
      <w:r w:rsidR="0026229D">
        <w:rPr>
          <w:color w:val="000000"/>
        </w:rPr>
        <w:t>cable</w:t>
      </w:r>
      <w:r w:rsidR="007D1132" w:rsidRPr="0037512E">
        <w:rPr>
          <w:color w:val="000000"/>
        </w:rPr>
        <w:t>.  T</w:t>
      </w:r>
      <w:r w:rsidRPr="0037512E">
        <w:rPr>
          <w:color w:val="000000"/>
        </w:rPr>
        <w:t>heory is separate</w:t>
      </w:r>
      <w:r w:rsidR="00770A31" w:rsidRPr="0037512E">
        <w:rPr>
          <w:color w:val="000000"/>
        </w:rPr>
        <w:t xml:space="preserve"> and is generally found only in the </w:t>
      </w:r>
      <w:r w:rsidR="003769F4" w:rsidRPr="007566C7">
        <w:t>Technology and Engineering Education</w:t>
      </w:r>
      <w:r w:rsidR="00656B7F" w:rsidRPr="005C0309">
        <w:t xml:space="preserve"> </w:t>
      </w:r>
      <w:r w:rsidR="00770A31" w:rsidRPr="0037512E">
        <w:rPr>
          <w:color w:val="000000"/>
        </w:rPr>
        <w:t>literature</w:t>
      </w:r>
      <w:r w:rsidRPr="0037512E">
        <w:rPr>
          <w:color w:val="000000"/>
        </w:rPr>
        <w:t xml:space="preserve">.    </w:t>
      </w:r>
    </w:p>
    <w:p w14:paraId="5ABE72FC" w14:textId="77777777" w:rsidR="00BF23BF" w:rsidRPr="0037512E" w:rsidRDefault="00BF23BF" w:rsidP="00BF23BF">
      <w:pPr>
        <w:ind w:left="720" w:hanging="720"/>
        <w:rPr>
          <w:color w:val="000000"/>
        </w:rPr>
      </w:pPr>
      <w:r w:rsidRPr="0037512E">
        <w:rPr>
          <w:color w:val="000000"/>
        </w:rPr>
        <w:tab/>
        <w:t>B)</w:t>
      </w:r>
      <w:r w:rsidRPr="0037512E">
        <w:rPr>
          <w:color w:val="000000"/>
        </w:rPr>
        <w:tab/>
        <w:t>Cooperative resources and programs</w:t>
      </w:r>
    </w:p>
    <w:p w14:paraId="574E1506" w14:textId="77777777" w:rsidR="00E465D0" w:rsidRPr="0037512E" w:rsidRDefault="00BF23BF" w:rsidP="00BF23BF">
      <w:pPr>
        <w:ind w:left="1440"/>
        <w:rPr>
          <w:color w:val="000000"/>
        </w:rPr>
      </w:pPr>
      <w:r w:rsidRPr="0037512E">
        <w:rPr>
          <w:color w:val="000000"/>
        </w:rPr>
        <w:t xml:space="preserve">Various consortia arrangements on a library wide scale have been entered into to ensure full text availability of periodicals </w:t>
      </w:r>
      <w:r w:rsidR="007D1132" w:rsidRPr="0037512E">
        <w:rPr>
          <w:color w:val="000000"/>
        </w:rPr>
        <w:t xml:space="preserve">and </w:t>
      </w:r>
      <w:r w:rsidR="00CD2E59">
        <w:rPr>
          <w:color w:val="000000"/>
        </w:rPr>
        <w:t xml:space="preserve">other collections. </w:t>
      </w:r>
    </w:p>
    <w:p w14:paraId="69895B19" w14:textId="77777777" w:rsidR="00BF23BF" w:rsidRPr="0037512E" w:rsidRDefault="00E465D0" w:rsidP="00E465D0">
      <w:pPr>
        <w:rPr>
          <w:color w:val="000000"/>
        </w:rPr>
      </w:pPr>
      <w:r w:rsidRPr="0037512E">
        <w:rPr>
          <w:color w:val="000000"/>
        </w:rPr>
        <w:br w:type="page"/>
      </w:r>
      <w:r w:rsidR="00BF23BF" w:rsidRPr="0037512E">
        <w:rPr>
          <w:color w:val="000000"/>
        </w:rPr>
        <w:lastRenderedPageBreak/>
        <w:t>V.</w:t>
      </w:r>
      <w:r w:rsidR="00BF23BF" w:rsidRPr="0037512E">
        <w:rPr>
          <w:color w:val="000000"/>
        </w:rPr>
        <w:tab/>
        <w:t>Classed Analysis</w:t>
      </w:r>
    </w:p>
    <w:p w14:paraId="5578B8B4" w14:textId="77777777" w:rsidR="0072756E" w:rsidRPr="0037512E" w:rsidRDefault="0072756E">
      <w:pPr>
        <w:rPr>
          <w:color w:val="000000"/>
        </w:rPr>
      </w:pPr>
    </w:p>
    <w:p w14:paraId="1352BD71" w14:textId="77777777" w:rsidR="00352CD3" w:rsidRPr="00F11AFA" w:rsidRDefault="00352CD3" w:rsidP="002260A1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color w:val="000000"/>
        </w:rPr>
      </w:pPr>
      <w:r w:rsidRPr="0037512E">
        <w:rPr>
          <w:rFonts w:ascii="CG Times" w:hAnsi="CG Times" w:cs="CG Times"/>
          <w:color w:val="000000"/>
        </w:rPr>
        <w:tab/>
      </w:r>
      <w:r w:rsidR="001326D3">
        <w:rPr>
          <w:b/>
        </w:rPr>
        <w:t>Technology and Engineering Education</w:t>
      </w:r>
      <w:r w:rsidR="00F11AFA" w:rsidRPr="00F11AFA">
        <w:rPr>
          <w:b/>
        </w:rPr>
        <w:t xml:space="preserve"> Technology</w:t>
      </w:r>
    </w:p>
    <w:p w14:paraId="683A48AD" w14:textId="77777777" w:rsidR="00352CD3" w:rsidRPr="0037512E" w:rsidRDefault="00352CD3" w:rsidP="00352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/>
        </w:rPr>
      </w:pPr>
    </w:p>
    <w:p w14:paraId="1F0310A2" w14:textId="77777777" w:rsidR="00106E32" w:rsidRDefault="00352CD3" w:rsidP="002260A1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utlineLvl w:val="0"/>
        <w:rPr>
          <w:b/>
          <w:bCs/>
          <w:color w:val="000000"/>
        </w:rPr>
      </w:pPr>
      <w:r w:rsidRPr="0037512E">
        <w:rPr>
          <w:color w:val="000000"/>
        </w:rPr>
        <w:tab/>
      </w:r>
      <w:r w:rsidRPr="0037512E">
        <w:rPr>
          <w:b/>
          <w:bCs/>
          <w:color w:val="000000"/>
        </w:rPr>
        <w:t>Classed Analysis</w:t>
      </w:r>
    </w:p>
    <w:p w14:paraId="53A1CD06" w14:textId="77777777" w:rsidR="00EA0258" w:rsidRDefault="00EA0258" w:rsidP="00352CD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/>
        </w:rPr>
      </w:pPr>
    </w:p>
    <w:tbl>
      <w:tblPr>
        <w:tblW w:w="8440" w:type="dxa"/>
        <w:tblInd w:w="108" w:type="dxa"/>
        <w:tblLook w:val="04A0" w:firstRow="1" w:lastRow="0" w:firstColumn="1" w:lastColumn="0" w:noHBand="0" w:noVBand="1"/>
      </w:tblPr>
      <w:tblGrid>
        <w:gridCol w:w="1940"/>
        <w:gridCol w:w="4640"/>
        <w:gridCol w:w="1860"/>
      </w:tblGrid>
      <w:tr w:rsidR="00EA0258" w14:paraId="42F09E10" w14:textId="77777777" w:rsidTr="00EA0258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4589" w14:textId="77777777" w:rsidR="00EA0258" w:rsidRDefault="00EA025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LC Classification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50E5" w14:textId="77777777" w:rsidR="00EA0258" w:rsidRDefault="00EA025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Subject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F168C" w14:textId="77777777" w:rsidR="00EA0258" w:rsidRDefault="00EA025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Collecting Level</w:t>
            </w:r>
          </w:p>
        </w:tc>
      </w:tr>
      <w:tr w:rsidR="00EA0258" w14:paraId="3C14222C" w14:textId="77777777" w:rsidTr="00EA0258">
        <w:trPr>
          <w:trHeight w:val="37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998D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 xml:space="preserve">T61-173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8E30" w14:textId="77777777" w:rsidR="00EA0258" w:rsidRDefault="00EA025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Technical Education.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AAAB9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A0258" w14:paraId="0E1015B1" w14:textId="77777777" w:rsidTr="00EA0258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B6D7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 xml:space="preserve">T61-173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65389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Technical education. Technical schools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F8B4E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</w:tr>
      <w:tr w:rsidR="00EA0258" w14:paraId="5629660F" w14:textId="77777777" w:rsidTr="00EA0258">
        <w:trPr>
          <w:trHeight w:val="18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DF6D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40DF2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Engineering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7E357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Rely on Engineering (ME, ECEn, etc.) Collection Development Policies</w:t>
            </w:r>
          </w:p>
        </w:tc>
      </w:tr>
      <w:tr w:rsidR="00EA0258" w14:paraId="5CB60A71" w14:textId="77777777" w:rsidTr="00EA0258">
        <w:trPr>
          <w:trHeight w:val="12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2532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8972C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Education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730A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Rely on Education Collection Development Policy</w:t>
            </w:r>
          </w:p>
        </w:tc>
      </w:tr>
      <w:tr w:rsidR="00EA0258" w14:paraId="1EFE2A00" w14:textId="77777777" w:rsidTr="00EA0258">
        <w:trPr>
          <w:trHeight w:val="12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79A6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 xml:space="preserve">LC1041-1048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6C507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Vocational education (General)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4A5A" w14:textId="77777777" w:rsidR="00EA0258" w:rsidRDefault="00EA0258">
            <w:pPr>
              <w:rPr>
                <w:color w:val="000000"/>
              </w:rPr>
            </w:pPr>
            <w:r>
              <w:rPr>
                <w:color w:val="000000"/>
              </w:rPr>
              <w:t>Rely on Education Collection Development Policy</w:t>
            </w:r>
          </w:p>
        </w:tc>
      </w:tr>
    </w:tbl>
    <w:p w14:paraId="179E0A89" w14:textId="77777777" w:rsidR="00956CE7" w:rsidRDefault="00956CE7" w:rsidP="00352CD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/>
        </w:rPr>
      </w:pPr>
    </w:p>
    <w:p w14:paraId="2506D6A7" w14:textId="77777777" w:rsidR="00956CE7" w:rsidRDefault="00956CE7" w:rsidP="00352CD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/>
        </w:rPr>
      </w:pPr>
    </w:p>
    <w:p w14:paraId="126596F1" w14:textId="77777777" w:rsidR="00113CE3" w:rsidRPr="0037512E" w:rsidRDefault="00113CE3" w:rsidP="00352CD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/>
        </w:rPr>
      </w:pPr>
    </w:p>
    <w:p w14:paraId="5E5C5FF5" w14:textId="77777777" w:rsidR="00106E32" w:rsidRPr="0037512E" w:rsidRDefault="00106E32" w:rsidP="00352CD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/>
        </w:rPr>
      </w:pPr>
    </w:p>
    <w:p w14:paraId="18DA33FD" w14:textId="77777777" w:rsidR="00352CD3" w:rsidRPr="0037512E" w:rsidRDefault="00106E32" w:rsidP="00352CD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/>
        </w:rPr>
      </w:pPr>
      <w:r w:rsidRPr="00106E32">
        <w:rPr>
          <w:b/>
          <w:bCs/>
          <w:color w:val="000000"/>
          <w:u w:val="single"/>
        </w:rPr>
        <w:t xml:space="preserve"> </w:t>
      </w:r>
      <w:r w:rsidR="00352CD3" w:rsidRPr="0037512E">
        <w:rPr>
          <w:b/>
          <w:bCs/>
          <w:color w:val="000000"/>
          <w:u w:val="single"/>
        </w:rPr>
        <w:fldChar w:fldCharType="begin"/>
      </w:r>
      <w:r w:rsidR="00352CD3" w:rsidRPr="0037512E">
        <w:rPr>
          <w:b/>
          <w:bCs/>
          <w:color w:val="000000"/>
          <w:u w:val="single"/>
        </w:rPr>
        <w:instrText>tc \l2 "</w:instrText>
      </w:r>
      <w:r w:rsidR="00352CD3" w:rsidRPr="0037512E">
        <w:rPr>
          <w:b/>
          <w:bCs/>
          <w:color w:val="000000"/>
        </w:rPr>
        <w:instrText>Classed Analysis</w:instrText>
      </w:r>
      <w:r w:rsidR="00352CD3" w:rsidRPr="0037512E">
        <w:rPr>
          <w:b/>
          <w:bCs/>
          <w:color w:val="000000"/>
          <w:u w:val="single"/>
        </w:rPr>
        <w:fldChar w:fldCharType="end"/>
      </w:r>
    </w:p>
    <w:p w14:paraId="06093FAA" w14:textId="77777777" w:rsidR="00352CD3" w:rsidRDefault="00352CD3" w:rsidP="00352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BDC0C90" w14:textId="77777777" w:rsidR="00352CD3" w:rsidRDefault="00352CD3" w:rsidP="00352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3600"/>
      </w:pPr>
    </w:p>
    <w:p w14:paraId="33DAC5CF" w14:textId="77777777" w:rsidR="00106E32" w:rsidRDefault="00106E32" w:rsidP="00352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3600"/>
      </w:pPr>
    </w:p>
    <w:p w14:paraId="6AE35357" w14:textId="77777777" w:rsidR="00352CD3" w:rsidRPr="002146AB" w:rsidRDefault="00352CD3"/>
    <w:sectPr w:rsidR="00352CD3" w:rsidRPr="002146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C115B" w14:textId="77777777" w:rsidR="0004369C" w:rsidRDefault="0004369C" w:rsidP="00AE26B1">
      <w:r>
        <w:separator/>
      </w:r>
    </w:p>
  </w:endnote>
  <w:endnote w:type="continuationSeparator" w:id="0">
    <w:p w14:paraId="1BE2FAE7" w14:textId="77777777" w:rsidR="0004369C" w:rsidRDefault="0004369C" w:rsidP="00AE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BAAB2" w14:textId="77777777" w:rsidR="00E16BE1" w:rsidRDefault="00E16B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81CB4" w14:textId="77777777" w:rsidR="00AE26B1" w:rsidRPr="00AE26B1" w:rsidRDefault="007566C7">
    <w:pPr>
      <w:pStyle w:val="Footer"/>
      <w:rPr>
        <w:sz w:val="20"/>
        <w:szCs w:val="20"/>
      </w:rPr>
    </w:pPr>
    <w:r w:rsidRPr="007566C7">
      <w:rPr>
        <w:sz w:val="20"/>
        <w:szCs w:val="20"/>
      </w:rPr>
      <w:t>Technology and Engineering Education</w:t>
    </w:r>
    <w:r>
      <w:t xml:space="preserve"> </w:t>
    </w:r>
    <w:r w:rsidR="00AE26B1" w:rsidRPr="00E16BE1">
      <w:rPr>
        <w:sz w:val="20"/>
        <w:szCs w:val="20"/>
      </w:rPr>
      <w:t>201</w:t>
    </w:r>
    <w:r w:rsidR="00F80CED">
      <w:rPr>
        <w:sz w:val="20"/>
        <w:szCs w:val="20"/>
      </w:rPr>
      <w:t>6</w:t>
    </w:r>
    <w:r w:rsidR="00AE26B1" w:rsidRPr="00E16BE1">
      <w:rPr>
        <w:sz w:val="20"/>
        <w:szCs w:val="20"/>
      </w:rPr>
      <w:t>.docx</w:t>
    </w:r>
    <w:r w:rsidR="00AE26B1" w:rsidRPr="00AE26B1">
      <w:rPr>
        <w:sz w:val="20"/>
        <w:szCs w:val="20"/>
      </w:rPr>
      <w:tab/>
    </w:r>
    <w:r w:rsidR="00F80CED">
      <w:rPr>
        <w:sz w:val="20"/>
        <w:szCs w:val="20"/>
      </w:rPr>
      <w:t xml:space="preserve">          </w:t>
    </w:r>
    <w:r w:rsidR="00F80CED" w:rsidRPr="00AE26B1">
      <w:rPr>
        <w:sz w:val="20"/>
        <w:szCs w:val="20"/>
      </w:rPr>
      <w:t>2</w:t>
    </w:r>
    <w:r w:rsidR="00F80CED">
      <w:rPr>
        <w:sz w:val="20"/>
        <w:szCs w:val="20"/>
      </w:rPr>
      <w:t>0</w:t>
    </w:r>
    <w:r w:rsidR="00F80CED" w:rsidRPr="00AE26B1">
      <w:rPr>
        <w:sz w:val="20"/>
        <w:szCs w:val="20"/>
      </w:rPr>
      <w:t xml:space="preserve"> </w:t>
    </w:r>
    <w:r w:rsidR="00F80CED">
      <w:rPr>
        <w:sz w:val="20"/>
        <w:szCs w:val="20"/>
      </w:rPr>
      <w:t>September</w:t>
    </w:r>
    <w:r w:rsidR="00F80CED" w:rsidRPr="00AE26B1">
      <w:rPr>
        <w:sz w:val="20"/>
        <w:szCs w:val="20"/>
      </w:rPr>
      <w:t xml:space="preserve"> 201</w:t>
    </w:r>
    <w:r w:rsidR="00F80CED">
      <w:rPr>
        <w:sz w:val="20"/>
        <w:szCs w:val="20"/>
      </w:rPr>
      <w:t>6</w:t>
    </w:r>
    <w:r w:rsidR="00AE26B1">
      <w:rPr>
        <w:sz w:val="20"/>
        <w:szCs w:val="20"/>
      </w:rPr>
      <w:tab/>
      <w:t>Zuber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CD308" w14:textId="77777777" w:rsidR="00E16BE1" w:rsidRDefault="00E16B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3ECFD" w14:textId="77777777" w:rsidR="0004369C" w:rsidRDefault="0004369C" w:rsidP="00AE26B1">
      <w:r>
        <w:separator/>
      </w:r>
    </w:p>
  </w:footnote>
  <w:footnote w:type="continuationSeparator" w:id="0">
    <w:p w14:paraId="4FC78176" w14:textId="77777777" w:rsidR="0004369C" w:rsidRDefault="0004369C" w:rsidP="00AE26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3C99" w14:textId="77777777" w:rsidR="00E16BE1" w:rsidRDefault="00E16B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10F7" w14:textId="77777777" w:rsidR="00E16BE1" w:rsidRDefault="00E16BE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D759B" w14:textId="77777777" w:rsidR="00E16BE1" w:rsidRDefault="00E16B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5BCC"/>
    <w:multiLevelType w:val="multilevel"/>
    <w:tmpl w:val="E47E4F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>
    <w:nsid w:val="356363D4"/>
    <w:multiLevelType w:val="multilevel"/>
    <w:tmpl w:val="30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145E84"/>
    <w:multiLevelType w:val="multilevel"/>
    <w:tmpl w:val="83527D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AB"/>
    <w:rsid w:val="00002B4D"/>
    <w:rsid w:val="00010D32"/>
    <w:rsid w:val="00015D2A"/>
    <w:rsid w:val="00022C08"/>
    <w:rsid w:val="0003124D"/>
    <w:rsid w:val="00034325"/>
    <w:rsid w:val="000378E7"/>
    <w:rsid w:val="00040DAE"/>
    <w:rsid w:val="0004369C"/>
    <w:rsid w:val="000475B4"/>
    <w:rsid w:val="00047D4F"/>
    <w:rsid w:val="000714EC"/>
    <w:rsid w:val="000742C9"/>
    <w:rsid w:val="00080C3E"/>
    <w:rsid w:val="00091E04"/>
    <w:rsid w:val="00092B11"/>
    <w:rsid w:val="0009495B"/>
    <w:rsid w:val="000970A7"/>
    <w:rsid w:val="000A2308"/>
    <w:rsid w:val="000A3F2F"/>
    <w:rsid w:val="000B34A5"/>
    <w:rsid w:val="000B3C6C"/>
    <w:rsid w:val="000C48FC"/>
    <w:rsid w:val="000C5873"/>
    <w:rsid w:val="000D6F48"/>
    <w:rsid w:val="000E5297"/>
    <w:rsid w:val="000F05CE"/>
    <w:rsid w:val="000F0E86"/>
    <w:rsid w:val="000F1041"/>
    <w:rsid w:val="000F1D5B"/>
    <w:rsid w:val="000F39C3"/>
    <w:rsid w:val="00106E32"/>
    <w:rsid w:val="00111680"/>
    <w:rsid w:val="00113952"/>
    <w:rsid w:val="00113CE3"/>
    <w:rsid w:val="00116CBD"/>
    <w:rsid w:val="0011763A"/>
    <w:rsid w:val="00121EC4"/>
    <w:rsid w:val="0012254F"/>
    <w:rsid w:val="001326D3"/>
    <w:rsid w:val="00132EF3"/>
    <w:rsid w:val="00135113"/>
    <w:rsid w:val="00135222"/>
    <w:rsid w:val="00137357"/>
    <w:rsid w:val="001520E7"/>
    <w:rsid w:val="00152900"/>
    <w:rsid w:val="00164296"/>
    <w:rsid w:val="00167D47"/>
    <w:rsid w:val="00190CAB"/>
    <w:rsid w:val="001968F3"/>
    <w:rsid w:val="001A34E5"/>
    <w:rsid w:val="001A5AD0"/>
    <w:rsid w:val="001B583F"/>
    <w:rsid w:val="001C1CA1"/>
    <w:rsid w:val="001C7721"/>
    <w:rsid w:val="001D0888"/>
    <w:rsid w:val="001D5F56"/>
    <w:rsid w:val="001E1D9D"/>
    <w:rsid w:val="001E3F45"/>
    <w:rsid w:val="001E5A81"/>
    <w:rsid w:val="001E701F"/>
    <w:rsid w:val="001E70BC"/>
    <w:rsid w:val="001F7960"/>
    <w:rsid w:val="002075E0"/>
    <w:rsid w:val="00210229"/>
    <w:rsid w:val="002139A9"/>
    <w:rsid w:val="002146AB"/>
    <w:rsid w:val="00217F42"/>
    <w:rsid w:val="0022289C"/>
    <w:rsid w:val="00223751"/>
    <w:rsid w:val="002254EF"/>
    <w:rsid w:val="002260A1"/>
    <w:rsid w:val="00231ACD"/>
    <w:rsid w:val="00244B42"/>
    <w:rsid w:val="00253E8A"/>
    <w:rsid w:val="002562A1"/>
    <w:rsid w:val="00260645"/>
    <w:rsid w:val="0026229D"/>
    <w:rsid w:val="002739E2"/>
    <w:rsid w:val="00276304"/>
    <w:rsid w:val="0027679C"/>
    <w:rsid w:val="00280153"/>
    <w:rsid w:val="00286BA9"/>
    <w:rsid w:val="00287F49"/>
    <w:rsid w:val="002909C7"/>
    <w:rsid w:val="00290D04"/>
    <w:rsid w:val="002975F6"/>
    <w:rsid w:val="002A351A"/>
    <w:rsid w:val="002A35C5"/>
    <w:rsid w:val="002A3AB2"/>
    <w:rsid w:val="002A6586"/>
    <w:rsid w:val="002B2E1F"/>
    <w:rsid w:val="002B3665"/>
    <w:rsid w:val="002B46A1"/>
    <w:rsid w:val="002B5C6F"/>
    <w:rsid w:val="002C1861"/>
    <w:rsid w:val="002C6822"/>
    <w:rsid w:val="002C7594"/>
    <w:rsid w:val="002D33F8"/>
    <w:rsid w:val="002E1A7C"/>
    <w:rsid w:val="002E550F"/>
    <w:rsid w:val="002F2F8D"/>
    <w:rsid w:val="002F5011"/>
    <w:rsid w:val="002F5EA2"/>
    <w:rsid w:val="00300CFB"/>
    <w:rsid w:val="00303C21"/>
    <w:rsid w:val="00306982"/>
    <w:rsid w:val="00313DDD"/>
    <w:rsid w:val="003150EC"/>
    <w:rsid w:val="003158DC"/>
    <w:rsid w:val="0031603F"/>
    <w:rsid w:val="00316340"/>
    <w:rsid w:val="0033411E"/>
    <w:rsid w:val="00336462"/>
    <w:rsid w:val="00340BFC"/>
    <w:rsid w:val="0034306E"/>
    <w:rsid w:val="0034467A"/>
    <w:rsid w:val="00344E48"/>
    <w:rsid w:val="003460B2"/>
    <w:rsid w:val="00346855"/>
    <w:rsid w:val="0035280E"/>
    <w:rsid w:val="00352CD3"/>
    <w:rsid w:val="00356037"/>
    <w:rsid w:val="00363ACC"/>
    <w:rsid w:val="0037144A"/>
    <w:rsid w:val="003726AB"/>
    <w:rsid w:val="00374D52"/>
    <w:rsid w:val="0037512E"/>
    <w:rsid w:val="003767C7"/>
    <w:rsid w:val="003769F4"/>
    <w:rsid w:val="003813D5"/>
    <w:rsid w:val="00381DA3"/>
    <w:rsid w:val="00385BDF"/>
    <w:rsid w:val="00393189"/>
    <w:rsid w:val="00393B72"/>
    <w:rsid w:val="003969E4"/>
    <w:rsid w:val="00397D31"/>
    <w:rsid w:val="003A050D"/>
    <w:rsid w:val="003A400A"/>
    <w:rsid w:val="003A7980"/>
    <w:rsid w:val="003B0F87"/>
    <w:rsid w:val="003B3C14"/>
    <w:rsid w:val="003C061A"/>
    <w:rsid w:val="003C116A"/>
    <w:rsid w:val="003E2A05"/>
    <w:rsid w:val="003F7654"/>
    <w:rsid w:val="00403051"/>
    <w:rsid w:val="00413380"/>
    <w:rsid w:val="00413757"/>
    <w:rsid w:val="00413F72"/>
    <w:rsid w:val="004151DE"/>
    <w:rsid w:val="0041670B"/>
    <w:rsid w:val="004275CF"/>
    <w:rsid w:val="00436F9D"/>
    <w:rsid w:val="004632E5"/>
    <w:rsid w:val="00464234"/>
    <w:rsid w:val="004670B9"/>
    <w:rsid w:val="00467CBB"/>
    <w:rsid w:val="00475CF5"/>
    <w:rsid w:val="00477F85"/>
    <w:rsid w:val="00492D2A"/>
    <w:rsid w:val="00493F97"/>
    <w:rsid w:val="004966A7"/>
    <w:rsid w:val="004A51B1"/>
    <w:rsid w:val="004B0F1A"/>
    <w:rsid w:val="004B53F3"/>
    <w:rsid w:val="004C2FD9"/>
    <w:rsid w:val="004D65BC"/>
    <w:rsid w:val="004E74CF"/>
    <w:rsid w:val="004F616C"/>
    <w:rsid w:val="004F75FA"/>
    <w:rsid w:val="0050212F"/>
    <w:rsid w:val="00502FAA"/>
    <w:rsid w:val="00503342"/>
    <w:rsid w:val="005045DB"/>
    <w:rsid w:val="00511477"/>
    <w:rsid w:val="00515FAF"/>
    <w:rsid w:val="00522504"/>
    <w:rsid w:val="00530C7A"/>
    <w:rsid w:val="00545F8F"/>
    <w:rsid w:val="00550178"/>
    <w:rsid w:val="005513BE"/>
    <w:rsid w:val="00556918"/>
    <w:rsid w:val="005569CD"/>
    <w:rsid w:val="0057374D"/>
    <w:rsid w:val="00577825"/>
    <w:rsid w:val="005906E0"/>
    <w:rsid w:val="005918BC"/>
    <w:rsid w:val="00592329"/>
    <w:rsid w:val="00595A75"/>
    <w:rsid w:val="00596135"/>
    <w:rsid w:val="005A05FE"/>
    <w:rsid w:val="005A677D"/>
    <w:rsid w:val="005B3884"/>
    <w:rsid w:val="005C0309"/>
    <w:rsid w:val="005C0CD4"/>
    <w:rsid w:val="005C6AFA"/>
    <w:rsid w:val="005D2E4F"/>
    <w:rsid w:val="005D5F61"/>
    <w:rsid w:val="005D7B94"/>
    <w:rsid w:val="005D7DA3"/>
    <w:rsid w:val="005E06C1"/>
    <w:rsid w:val="005E2DDA"/>
    <w:rsid w:val="005E3DD1"/>
    <w:rsid w:val="005F605E"/>
    <w:rsid w:val="00607BE9"/>
    <w:rsid w:val="006107D6"/>
    <w:rsid w:val="00610ECA"/>
    <w:rsid w:val="00614490"/>
    <w:rsid w:val="00621753"/>
    <w:rsid w:val="00624228"/>
    <w:rsid w:val="006244BA"/>
    <w:rsid w:val="0062471F"/>
    <w:rsid w:val="006326EE"/>
    <w:rsid w:val="00633E85"/>
    <w:rsid w:val="00646F96"/>
    <w:rsid w:val="00647037"/>
    <w:rsid w:val="0065172C"/>
    <w:rsid w:val="00651F07"/>
    <w:rsid w:val="00652E07"/>
    <w:rsid w:val="00656B7F"/>
    <w:rsid w:val="006660A4"/>
    <w:rsid w:val="006742E2"/>
    <w:rsid w:val="0067489E"/>
    <w:rsid w:val="00685F1F"/>
    <w:rsid w:val="006878B6"/>
    <w:rsid w:val="0069250A"/>
    <w:rsid w:val="006947E5"/>
    <w:rsid w:val="00696635"/>
    <w:rsid w:val="006A23D3"/>
    <w:rsid w:val="006A3F03"/>
    <w:rsid w:val="006A7AE7"/>
    <w:rsid w:val="006B073F"/>
    <w:rsid w:val="006C0DC5"/>
    <w:rsid w:val="006C147E"/>
    <w:rsid w:val="006C240B"/>
    <w:rsid w:val="006D6F37"/>
    <w:rsid w:val="006F5378"/>
    <w:rsid w:val="0070019B"/>
    <w:rsid w:val="007032C7"/>
    <w:rsid w:val="007034B6"/>
    <w:rsid w:val="007108F0"/>
    <w:rsid w:val="00713263"/>
    <w:rsid w:val="007170EB"/>
    <w:rsid w:val="00723D18"/>
    <w:rsid w:val="0072409D"/>
    <w:rsid w:val="00725CD6"/>
    <w:rsid w:val="00726176"/>
    <w:rsid w:val="0072756E"/>
    <w:rsid w:val="00735791"/>
    <w:rsid w:val="0073579F"/>
    <w:rsid w:val="0074134E"/>
    <w:rsid w:val="007418D9"/>
    <w:rsid w:val="00741D48"/>
    <w:rsid w:val="007428BF"/>
    <w:rsid w:val="007513AE"/>
    <w:rsid w:val="0075175F"/>
    <w:rsid w:val="007566C7"/>
    <w:rsid w:val="00756784"/>
    <w:rsid w:val="00757331"/>
    <w:rsid w:val="0076014F"/>
    <w:rsid w:val="00761D10"/>
    <w:rsid w:val="00770A31"/>
    <w:rsid w:val="00776584"/>
    <w:rsid w:val="0077732D"/>
    <w:rsid w:val="007844EF"/>
    <w:rsid w:val="007954EA"/>
    <w:rsid w:val="007A46E2"/>
    <w:rsid w:val="007A6A81"/>
    <w:rsid w:val="007B016F"/>
    <w:rsid w:val="007B2A52"/>
    <w:rsid w:val="007B451B"/>
    <w:rsid w:val="007C063C"/>
    <w:rsid w:val="007C0E83"/>
    <w:rsid w:val="007D1132"/>
    <w:rsid w:val="007D2485"/>
    <w:rsid w:val="007E05A5"/>
    <w:rsid w:val="007E364A"/>
    <w:rsid w:val="007E79E3"/>
    <w:rsid w:val="007F4615"/>
    <w:rsid w:val="00800EE9"/>
    <w:rsid w:val="008035C7"/>
    <w:rsid w:val="008059A1"/>
    <w:rsid w:val="008147A6"/>
    <w:rsid w:val="00815506"/>
    <w:rsid w:val="008214E9"/>
    <w:rsid w:val="00830BE2"/>
    <w:rsid w:val="00832EE8"/>
    <w:rsid w:val="00835156"/>
    <w:rsid w:val="00841565"/>
    <w:rsid w:val="00845A08"/>
    <w:rsid w:val="00854044"/>
    <w:rsid w:val="00854802"/>
    <w:rsid w:val="00856C87"/>
    <w:rsid w:val="00863630"/>
    <w:rsid w:val="00871C82"/>
    <w:rsid w:val="00881EE7"/>
    <w:rsid w:val="0088571A"/>
    <w:rsid w:val="0089445E"/>
    <w:rsid w:val="00894847"/>
    <w:rsid w:val="00894F76"/>
    <w:rsid w:val="008A3279"/>
    <w:rsid w:val="008B02FE"/>
    <w:rsid w:val="008B049C"/>
    <w:rsid w:val="008B1B3F"/>
    <w:rsid w:val="008C0C67"/>
    <w:rsid w:val="008C1A95"/>
    <w:rsid w:val="008D2E21"/>
    <w:rsid w:val="008D72E0"/>
    <w:rsid w:val="008D7A44"/>
    <w:rsid w:val="008E2EE7"/>
    <w:rsid w:val="008E3CC8"/>
    <w:rsid w:val="008E5BAD"/>
    <w:rsid w:val="008E68FC"/>
    <w:rsid w:val="00901747"/>
    <w:rsid w:val="00914133"/>
    <w:rsid w:val="00916816"/>
    <w:rsid w:val="00927BA6"/>
    <w:rsid w:val="00934BAA"/>
    <w:rsid w:val="00942739"/>
    <w:rsid w:val="009443D0"/>
    <w:rsid w:val="00956BCC"/>
    <w:rsid w:val="00956CE7"/>
    <w:rsid w:val="00960F4F"/>
    <w:rsid w:val="00963B37"/>
    <w:rsid w:val="009673AF"/>
    <w:rsid w:val="00970A72"/>
    <w:rsid w:val="00977012"/>
    <w:rsid w:val="00977053"/>
    <w:rsid w:val="009868C5"/>
    <w:rsid w:val="00995AB2"/>
    <w:rsid w:val="009A2132"/>
    <w:rsid w:val="009A3874"/>
    <w:rsid w:val="009A3A48"/>
    <w:rsid w:val="009B16B1"/>
    <w:rsid w:val="009C129C"/>
    <w:rsid w:val="009C21EC"/>
    <w:rsid w:val="009C28D7"/>
    <w:rsid w:val="009D11B4"/>
    <w:rsid w:val="009D4084"/>
    <w:rsid w:val="009E38FA"/>
    <w:rsid w:val="009E54AE"/>
    <w:rsid w:val="009F00F2"/>
    <w:rsid w:val="009F054E"/>
    <w:rsid w:val="009F794A"/>
    <w:rsid w:val="00A022C6"/>
    <w:rsid w:val="00A028F0"/>
    <w:rsid w:val="00A07BC8"/>
    <w:rsid w:val="00A1026A"/>
    <w:rsid w:val="00A129D6"/>
    <w:rsid w:val="00A138A1"/>
    <w:rsid w:val="00A15210"/>
    <w:rsid w:val="00A15B4E"/>
    <w:rsid w:val="00A2507E"/>
    <w:rsid w:val="00A25C09"/>
    <w:rsid w:val="00A30B95"/>
    <w:rsid w:val="00A37356"/>
    <w:rsid w:val="00A63044"/>
    <w:rsid w:val="00A72712"/>
    <w:rsid w:val="00A73C1F"/>
    <w:rsid w:val="00A74570"/>
    <w:rsid w:val="00A7509D"/>
    <w:rsid w:val="00A7553C"/>
    <w:rsid w:val="00A90430"/>
    <w:rsid w:val="00A963D0"/>
    <w:rsid w:val="00A96E81"/>
    <w:rsid w:val="00AA17E6"/>
    <w:rsid w:val="00AA1A03"/>
    <w:rsid w:val="00AA389D"/>
    <w:rsid w:val="00AA6F72"/>
    <w:rsid w:val="00AA76DB"/>
    <w:rsid w:val="00AB2620"/>
    <w:rsid w:val="00AB2AF0"/>
    <w:rsid w:val="00AC06B7"/>
    <w:rsid w:val="00AC077B"/>
    <w:rsid w:val="00AC7C5D"/>
    <w:rsid w:val="00AD1026"/>
    <w:rsid w:val="00AD6819"/>
    <w:rsid w:val="00AE26B1"/>
    <w:rsid w:val="00AE6556"/>
    <w:rsid w:val="00AF3447"/>
    <w:rsid w:val="00AF6A85"/>
    <w:rsid w:val="00B00D29"/>
    <w:rsid w:val="00B02ED8"/>
    <w:rsid w:val="00B16E49"/>
    <w:rsid w:val="00B27CF2"/>
    <w:rsid w:val="00B31065"/>
    <w:rsid w:val="00B47036"/>
    <w:rsid w:val="00B50972"/>
    <w:rsid w:val="00B50BAB"/>
    <w:rsid w:val="00B5609F"/>
    <w:rsid w:val="00B6377F"/>
    <w:rsid w:val="00B65965"/>
    <w:rsid w:val="00B80AFF"/>
    <w:rsid w:val="00B81AD1"/>
    <w:rsid w:val="00B8507F"/>
    <w:rsid w:val="00B85627"/>
    <w:rsid w:val="00B9271C"/>
    <w:rsid w:val="00B92BF4"/>
    <w:rsid w:val="00B94EFF"/>
    <w:rsid w:val="00B961CB"/>
    <w:rsid w:val="00B96D69"/>
    <w:rsid w:val="00B97D00"/>
    <w:rsid w:val="00BA4618"/>
    <w:rsid w:val="00BB1129"/>
    <w:rsid w:val="00BC5D9C"/>
    <w:rsid w:val="00BD0192"/>
    <w:rsid w:val="00BE01B7"/>
    <w:rsid w:val="00BE188B"/>
    <w:rsid w:val="00BF1112"/>
    <w:rsid w:val="00BF2326"/>
    <w:rsid w:val="00BF23BF"/>
    <w:rsid w:val="00BF5FF6"/>
    <w:rsid w:val="00C026F2"/>
    <w:rsid w:val="00C02734"/>
    <w:rsid w:val="00C14D91"/>
    <w:rsid w:val="00C253E8"/>
    <w:rsid w:val="00C3185B"/>
    <w:rsid w:val="00C31B15"/>
    <w:rsid w:val="00C325A8"/>
    <w:rsid w:val="00C65E53"/>
    <w:rsid w:val="00C6797B"/>
    <w:rsid w:val="00C7370C"/>
    <w:rsid w:val="00C73C61"/>
    <w:rsid w:val="00C816BA"/>
    <w:rsid w:val="00C81F81"/>
    <w:rsid w:val="00C86D84"/>
    <w:rsid w:val="00C87A0A"/>
    <w:rsid w:val="00C91902"/>
    <w:rsid w:val="00CA0AB2"/>
    <w:rsid w:val="00CA17F3"/>
    <w:rsid w:val="00CC7451"/>
    <w:rsid w:val="00CD2E59"/>
    <w:rsid w:val="00CD74D9"/>
    <w:rsid w:val="00CE0B20"/>
    <w:rsid w:val="00CE146C"/>
    <w:rsid w:val="00CE174D"/>
    <w:rsid w:val="00D058A3"/>
    <w:rsid w:val="00D14B65"/>
    <w:rsid w:val="00D2003F"/>
    <w:rsid w:val="00D20FED"/>
    <w:rsid w:val="00D233AB"/>
    <w:rsid w:val="00D27186"/>
    <w:rsid w:val="00D31380"/>
    <w:rsid w:val="00D351C0"/>
    <w:rsid w:val="00D35753"/>
    <w:rsid w:val="00D42BE7"/>
    <w:rsid w:val="00D43C6B"/>
    <w:rsid w:val="00D57A6B"/>
    <w:rsid w:val="00D663BB"/>
    <w:rsid w:val="00D67487"/>
    <w:rsid w:val="00D764FA"/>
    <w:rsid w:val="00D8254F"/>
    <w:rsid w:val="00D86ABF"/>
    <w:rsid w:val="00D949EA"/>
    <w:rsid w:val="00DA069D"/>
    <w:rsid w:val="00DA31D9"/>
    <w:rsid w:val="00DA632E"/>
    <w:rsid w:val="00DA7C00"/>
    <w:rsid w:val="00DC1862"/>
    <w:rsid w:val="00DC1F71"/>
    <w:rsid w:val="00DC5A15"/>
    <w:rsid w:val="00DD18BF"/>
    <w:rsid w:val="00DD2422"/>
    <w:rsid w:val="00DD4FE1"/>
    <w:rsid w:val="00DF50B8"/>
    <w:rsid w:val="00E068BA"/>
    <w:rsid w:val="00E07041"/>
    <w:rsid w:val="00E12252"/>
    <w:rsid w:val="00E13DD1"/>
    <w:rsid w:val="00E16369"/>
    <w:rsid w:val="00E16BE1"/>
    <w:rsid w:val="00E21DDA"/>
    <w:rsid w:val="00E26F8C"/>
    <w:rsid w:val="00E3365E"/>
    <w:rsid w:val="00E346EF"/>
    <w:rsid w:val="00E35DCA"/>
    <w:rsid w:val="00E36EDC"/>
    <w:rsid w:val="00E42AB5"/>
    <w:rsid w:val="00E465D0"/>
    <w:rsid w:val="00E56AE4"/>
    <w:rsid w:val="00E57A4D"/>
    <w:rsid w:val="00E57AD3"/>
    <w:rsid w:val="00E625F4"/>
    <w:rsid w:val="00E720E0"/>
    <w:rsid w:val="00E73485"/>
    <w:rsid w:val="00E75088"/>
    <w:rsid w:val="00E76642"/>
    <w:rsid w:val="00E76F43"/>
    <w:rsid w:val="00E779CD"/>
    <w:rsid w:val="00E81C8C"/>
    <w:rsid w:val="00E86B19"/>
    <w:rsid w:val="00E90ED8"/>
    <w:rsid w:val="00E92F2A"/>
    <w:rsid w:val="00E942FF"/>
    <w:rsid w:val="00E966BC"/>
    <w:rsid w:val="00EA0258"/>
    <w:rsid w:val="00EA051B"/>
    <w:rsid w:val="00EA1D85"/>
    <w:rsid w:val="00EA69FE"/>
    <w:rsid w:val="00EA7AFD"/>
    <w:rsid w:val="00EB1CD0"/>
    <w:rsid w:val="00EB3D9D"/>
    <w:rsid w:val="00ED46F3"/>
    <w:rsid w:val="00EE2BE1"/>
    <w:rsid w:val="00F00D20"/>
    <w:rsid w:val="00F02E2E"/>
    <w:rsid w:val="00F1005B"/>
    <w:rsid w:val="00F11AFA"/>
    <w:rsid w:val="00F21C9C"/>
    <w:rsid w:val="00F24C4A"/>
    <w:rsid w:val="00F24D3E"/>
    <w:rsid w:val="00F348F7"/>
    <w:rsid w:val="00F37F84"/>
    <w:rsid w:val="00F423FD"/>
    <w:rsid w:val="00F446FB"/>
    <w:rsid w:val="00F63103"/>
    <w:rsid w:val="00F74058"/>
    <w:rsid w:val="00F77CB1"/>
    <w:rsid w:val="00F8043A"/>
    <w:rsid w:val="00F80CED"/>
    <w:rsid w:val="00F813FC"/>
    <w:rsid w:val="00F8279C"/>
    <w:rsid w:val="00F97D9B"/>
    <w:rsid w:val="00FA06F9"/>
    <w:rsid w:val="00FA522A"/>
    <w:rsid w:val="00FA6B9B"/>
    <w:rsid w:val="00FA7013"/>
    <w:rsid w:val="00FA7044"/>
    <w:rsid w:val="00FB0ECE"/>
    <w:rsid w:val="00FB289D"/>
    <w:rsid w:val="00FB408C"/>
    <w:rsid w:val="00FC1D15"/>
    <w:rsid w:val="00FC6C91"/>
    <w:rsid w:val="00FD4C23"/>
    <w:rsid w:val="00FE5B7C"/>
    <w:rsid w:val="00FF2724"/>
    <w:rsid w:val="00FF4409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3A9C2"/>
  <w15:chartTrackingRefBased/>
  <w15:docId w15:val="{018EDB26-B748-4D28-95F8-57FB81F0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03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6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26B1"/>
    <w:rPr>
      <w:sz w:val="24"/>
      <w:szCs w:val="24"/>
    </w:rPr>
  </w:style>
  <w:style w:type="paragraph" w:styleId="Footer">
    <w:name w:val="footer"/>
    <w:basedOn w:val="Normal"/>
    <w:link w:val="FooterChar"/>
    <w:rsid w:val="00AE26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26B1"/>
    <w:rPr>
      <w:sz w:val="24"/>
      <w:szCs w:val="24"/>
    </w:rPr>
  </w:style>
  <w:style w:type="paragraph" w:styleId="NormalWeb">
    <w:name w:val="Normal (Web)"/>
    <w:basedOn w:val="Normal"/>
    <w:rsid w:val="0026229D"/>
  </w:style>
  <w:style w:type="character" w:customStyle="1" w:styleId="Heading1Char">
    <w:name w:val="Heading 1 Char"/>
    <w:link w:val="Heading1"/>
    <w:rsid w:val="005C030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DocumentMap">
    <w:name w:val="Document Map"/>
    <w:basedOn w:val="Normal"/>
    <w:link w:val="DocumentMapChar"/>
    <w:rsid w:val="002260A1"/>
  </w:style>
  <w:style w:type="character" w:customStyle="1" w:styleId="DocumentMapChar">
    <w:name w:val="Document Map Char"/>
    <w:basedOn w:val="DefaultParagraphFont"/>
    <w:link w:val="DocumentMap"/>
    <w:rsid w:val="002260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0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8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85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34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</vt:lpstr>
    </vt:vector>
  </TitlesOfParts>
  <Company>Brigham Young University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subject/>
  <dc:creator>joc2</dc:creator>
  <cp:keywords/>
  <dc:description/>
  <cp:lastModifiedBy>Jared Howland</cp:lastModifiedBy>
  <cp:revision>2</cp:revision>
  <dcterms:created xsi:type="dcterms:W3CDTF">2016-09-21T14:08:00Z</dcterms:created>
  <dcterms:modified xsi:type="dcterms:W3CDTF">2016-09-21T14:08:00Z</dcterms:modified>
</cp:coreProperties>
</file>