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47C96" w14:textId="77777777" w:rsidR="007A46E2" w:rsidRPr="002146AB" w:rsidRDefault="00671CE9" w:rsidP="002540C3">
      <w:pPr>
        <w:jc w:val="center"/>
        <w:outlineLvl w:val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Electrical</w:t>
      </w:r>
      <w:r w:rsidR="0033411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and Computer </w:t>
      </w:r>
      <w:r w:rsidR="0033411E">
        <w:rPr>
          <w:b/>
          <w:sz w:val="32"/>
          <w:szCs w:val="32"/>
        </w:rPr>
        <w:t>Engineering</w:t>
      </w:r>
    </w:p>
    <w:p w14:paraId="41EC65BA" w14:textId="77777777" w:rsidR="002146AB" w:rsidRDefault="002146AB" w:rsidP="002146AB">
      <w:pPr>
        <w:jc w:val="center"/>
        <w:rPr>
          <w:b/>
          <w:sz w:val="28"/>
          <w:szCs w:val="28"/>
        </w:rPr>
      </w:pPr>
    </w:p>
    <w:p w14:paraId="2507653E" w14:textId="77777777" w:rsidR="002146AB" w:rsidRDefault="002146AB" w:rsidP="002540C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Collection Development Policy Statement</w:t>
      </w:r>
    </w:p>
    <w:p w14:paraId="27C3B8BE" w14:textId="77777777" w:rsidR="002146AB" w:rsidRDefault="002146AB" w:rsidP="002146AB">
      <w:pPr>
        <w:jc w:val="center"/>
        <w:rPr>
          <w:sz w:val="28"/>
          <w:szCs w:val="28"/>
        </w:rPr>
      </w:pPr>
    </w:p>
    <w:p w14:paraId="1A9313DD" w14:textId="77777777" w:rsidR="00F423FD" w:rsidRDefault="002146AB" w:rsidP="00F423FD">
      <w:pPr>
        <w:ind w:left="720" w:hanging="720"/>
      </w:pPr>
      <w:r>
        <w:t>I.</w:t>
      </w:r>
      <w:r>
        <w:tab/>
        <w:t xml:space="preserve">This policy covers the </w:t>
      </w:r>
      <w:r w:rsidR="00671CE9">
        <w:t>Electrical</w:t>
      </w:r>
      <w:r w:rsidR="0033411E">
        <w:t xml:space="preserve"> Engineering </w:t>
      </w:r>
      <w:r>
        <w:t xml:space="preserve">Department within the </w:t>
      </w:r>
      <w:r w:rsidR="0033411E">
        <w:t xml:space="preserve">Ira A. Fulton </w:t>
      </w:r>
      <w:r w:rsidR="0027679C">
        <w:t xml:space="preserve">College of </w:t>
      </w:r>
      <w:r w:rsidR="0033411E">
        <w:t>Engineering and Technology</w:t>
      </w:r>
      <w:r w:rsidR="0027679C">
        <w:t xml:space="preserve">.  The Harold B. Lee Library supports the curricular and research needs of the department through </w:t>
      </w:r>
      <w:r w:rsidR="0033411E">
        <w:t xml:space="preserve">monographic purchases and periodical and database </w:t>
      </w:r>
      <w:r w:rsidR="00F423FD">
        <w:t>subscriptions.</w:t>
      </w:r>
    </w:p>
    <w:p w14:paraId="176DB9AA" w14:textId="77777777" w:rsidR="00F423FD" w:rsidRDefault="00F423FD" w:rsidP="00F423FD">
      <w:pPr>
        <w:ind w:left="720" w:hanging="720"/>
      </w:pPr>
    </w:p>
    <w:p w14:paraId="677860F5" w14:textId="77777777" w:rsidR="00F423FD" w:rsidRDefault="00F423FD" w:rsidP="00F423FD">
      <w:pPr>
        <w:ind w:left="720" w:hanging="720"/>
      </w:pPr>
      <w:r>
        <w:t>II.</w:t>
      </w:r>
      <w:r>
        <w:tab/>
        <w:t>Curriculum and Research</w:t>
      </w:r>
    </w:p>
    <w:p w14:paraId="102C8BAC" w14:textId="77777777" w:rsidR="00AF6A85" w:rsidRDefault="00F423FD" w:rsidP="00AF6A85">
      <w:pPr>
        <w:ind w:left="1440" w:hanging="720"/>
      </w:pPr>
      <w:r>
        <w:t>A)</w:t>
      </w:r>
      <w:r w:rsidR="00AF6A85">
        <w:tab/>
        <w:t>Curriculum</w:t>
      </w:r>
    </w:p>
    <w:p w14:paraId="17F6F1D8" w14:textId="77777777" w:rsidR="00F423FD" w:rsidRDefault="00671CE9" w:rsidP="00AF6A85">
      <w:pPr>
        <w:ind w:left="1440"/>
      </w:pPr>
      <w:r>
        <w:t xml:space="preserve">Electrical </w:t>
      </w:r>
      <w:r w:rsidR="0033411E">
        <w:t>Engineering</w:t>
      </w:r>
      <w:r w:rsidR="009C129C">
        <w:t xml:space="preserve"> students approach complex problems from a background in</w:t>
      </w:r>
      <w:r w:rsidR="0033411E">
        <w:t>cluding a wide distribution of selective emphasis in</w:t>
      </w:r>
      <w:r w:rsidR="009C129C">
        <w:t xml:space="preserve"> </w:t>
      </w:r>
      <w:r>
        <w:t>electrical design, electronics</w:t>
      </w:r>
      <w:r w:rsidR="009C129C">
        <w:t xml:space="preserve">, </w:t>
      </w:r>
      <w:r>
        <w:t>computer engineering and design, software programming</w:t>
      </w:r>
      <w:r w:rsidR="0033411E">
        <w:t>, st</w:t>
      </w:r>
      <w:r w:rsidR="009C129C">
        <w:t>atistic</w:t>
      </w:r>
      <w:r w:rsidR="0033411E">
        <w:t>s and mathematics.</w:t>
      </w:r>
      <w:r w:rsidR="009C129C">
        <w:t xml:space="preserve"> The </w:t>
      </w:r>
      <w:r w:rsidR="0033411E">
        <w:t>abilities</w:t>
      </w:r>
      <w:r w:rsidR="009C129C">
        <w:t xml:space="preserve"> they develop at BYU include problem solving </w:t>
      </w:r>
      <w:r w:rsidR="0033411E">
        <w:t xml:space="preserve">through comparative analysis, </w:t>
      </w:r>
      <w:r w:rsidR="009C129C">
        <w:t xml:space="preserve">mathematical and computational modeling, </w:t>
      </w:r>
      <w:r w:rsidR="0033411E">
        <w:t xml:space="preserve">and </w:t>
      </w:r>
      <w:r w:rsidR="009C129C">
        <w:t>experimental discovery and analysis.  All students gain profess</w:t>
      </w:r>
      <w:r>
        <w:t xml:space="preserve">ional experience in a research </w:t>
      </w:r>
      <w:r w:rsidR="009C129C">
        <w:t xml:space="preserve">or internship project, usually in close association with faculty.  Together these experiences provide excellent preparation for employment or for graduate studies in </w:t>
      </w:r>
      <w:r w:rsidRPr="00671CE9">
        <w:t>analog circuits, biomedical imaging and devices, communication, computer architecture, configurable computing, micro air vehicles, microfabricated devices, optics, radio astronomy, remote sensing, robotics, signal processing, and telemetry</w:t>
      </w:r>
      <w:r w:rsidR="009C129C">
        <w:t>.</w:t>
      </w:r>
      <w:r w:rsidR="00121EC4">
        <w:t xml:space="preserve"> </w:t>
      </w:r>
      <w:r w:rsidR="0033411E">
        <w:t xml:space="preserve">The department aims to produce creative, skilled problem solvers who are technically sound researchers that are able to innovate and move ideas into viable products and processes. </w:t>
      </w:r>
      <w:r w:rsidR="00F423FD">
        <w:t xml:space="preserve">The department offers a BS in </w:t>
      </w:r>
      <w:r>
        <w:t>Electrical</w:t>
      </w:r>
      <w:r w:rsidR="0033411E">
        <w:t xml:space="preserve"> Engineering</w:t>
      </w:r>
      <w:r>
        <w:t>, a BS in</w:t>
      </w:r>
      <w:r w:rsidR="0033411E">
        <w:t xml:space="preserve"> </w:t>
      </w:r>
      <w:r>
        <w:t xml:space="preserve">Computer Engineering, </w:t>
      </w:r>
      <w:r w:rsidR="0033411E">
        <w:t>a</w:t>
      </w:r>
      <w:r>
        <w:t xml:space="preserve"> MS in </w:t>
      </w:r>
      <w:r w:rsidRPr="00671CE9">
        <w:t>Electrical and Computer Engineering</w:t>
      </w:r>
      <w:r>
        <w:t xml:space="preserve">, and a PhD in </w:t>
      </w:r>
      <w:r w:rsidRPr="00671CE9">
        <w:t>Electrical and Computer Engineering</w:t>
      </w:r>
      <w:r>
        <w:t xml:space="preserve">. </w:t>
      </w:r>
      <w:r w:rsidR="00AF6A85">
        <w:t xml:space="preserve">There are </w:t>
      </w:r>
      <w:r w:rsidR="0033411E">
        <w:t>2</w:t>
      </w:r>
      <w:r w:rsidR="009812C0">
        <w:t>4</w:t>
      </w:r>
      <w:r w:rsidR="00AF6A85">
        <w:t xml:space="preserve"> full-time</w:t>
      </w:r>
      <w:r w:rsidR="0033411E">
        <w:t>, 5 adjunct and 2 Emeritus faculty</w:t>
      </w:r>
      <w:r w:rsidR="00AF6A85">
        <w:t xml:space="preserve"> in the department.  </w:t>
      </w:r>
    </w:p>
    <w:p w14:paraId="77A8B352" w14:textId="77777777" w:rsidR="00AF6A85" w:rsidRDefault="00AF6A85" w:rsidP="00AF6A85">
      <w:pPr>
        <w:ind w:left="1440" w:hanging="720"/>
      </w:pPr>
      <w:r>
        <w:t>B)</w:t>
      </w:r>
      <w:r>
        <w:tab/>
        <w:t>Research</w:t>
      </w:r>
    </w:p>
    <w:p w14:paraId="1DF45869" w14:textId="77777777" w:rsidR="009812C0" w:rsidRDefault="00AF6A85" w:rsidP="00E465D0">
      <w:pPr>
        <w:ind w:left="1440" w:hanging="720"/>
      </w:pPr>
      <w:r>
        <w:tab/>
        <w:t xml:space="preserve">The department </w:t>
      </w:r>
      <w:r w:rsidR="009812C0">
        <w:t>sponsors research groups and labs in the following areas:</w:t>
      </w:r>
    </w:p>
    <w:p w14:paraId="41F0854B" w14:textId="77777777" w:rsidR="009812C0" w:rsidRDefault="009812C0" w:rsidP="00667200">
      <w:pPr>
        <w:ind w:left="1440"/>
      </w:pPr>
      <w:r>
        <w:t>Analog Circuits, Biomedical Imaging, CERS (Center for Remote Sensing), Clean Room</w:t>
      </w:r>
      <w:r w:rsidR="00DB2C9B">
        <w:t xml:space="preserve"> (</w:t>
      </w:r>
      <w:r w:rsidR="00DB2C9B" w:rsidRPr="00DB2C9B">
        <w:t>Integrated Microfabrication Lab</w:t>
      </w:r>
      <w:r w:rsidR="00DB2C9B">
        <w:t>)</w:t>
      </w:r>
      <w:r>
        <w:t xml:space="preserve">, Computer Architecture, Configurable Computing Lab, CSAS (Smart Antenna Systems lab), Differential Forms in Electromagnetic Theory, Electro-Holography, Electromagnetic Measurement Group, Immerse (student paper and presentation support group), MAGICC, MERS, Photonics, Radio Astronomy, Robotic Vision, Scatterometer Climate Record Pathfinder, and Telemetry. </w:t>
      </w:r>
    </w:p>
    <w:p w14:paraId="43365D38" w14:textId="77777777" w:rsidR="006C0DC5" w:rsidRDefault="006C0DC5" w:rsidP="006C0DC5">
      <w:pPr>
        <w:ind w:left="720" w:hanging="720"/>
      </w:pPr>
      <w:r>
        <w:t>III.</w:t>
      </w:r>
      <w:r>
        <w:tab/>
        <w:t>Subject and Formats</w:t>
      </w:r>
    </w:p>
    <w:p w14:paraId="17A3186B" w14:textId="77777777" w:rsidR="006C0DC5" w:rsidRDefault="006C0DC5" w:rsidP="006C0DC5">
      <w:pPr>
        <w:ind w:left="720" w:hanging="720"/>
      </w:pPr>
      <w:r>
        <w:tab/>
        <w:t>A)</w:t>
      </w:r>
      <w:r>
        <w:tab/>
        <w:t>Scope</w:t>
      </w:r>
    </w:p>
    <w:p w14:paraId="66EC8A00" w14:textId="77777777" w:rsidR="006C0DC5" w:rsidRDefault="00113952" w:rsidP="00113952">
      <w:pPr>
        <w:ind w:left="1440"/>
      </w:pPr>
      <w:r>
        <w:t xml:space="preserve">The library collects </w:t>
      </w:r>
      <w:r w:rsidR="00954959">
        <w:t>electrical</w:t>
      </w:r>
      <w:r w:rsidR="0076014F">
        <w:t xml:space="preserve"> engineering </w:t>
      </w:r>
      <w:r>
        <w:t>monographs</w:t>
      </w:r>
      <w:r w:rsidR="00B96D69">
        <w:t xml:space="preserve"> and periodicals</w:t>
      </w:r>
      <w:r>
        <w:t xml:space="preserve"> on theory and practice at a level  </w:t>
      </w:r>
      <w:r w:rsidR="00E57A4D">
        <w:t>4</w:t>
      </w:r>
      <w:r>
        <w:t xml:space="preserve"> (research) to support the faculty and graduate students and common texts on a level 2 (selective)</w:t>
      </w:r>
      <w:r w:rsidR="00B96D69">
        <w:t xml:space="preserve"> to support demand</w:t>
      </w:r>
      <w:r>
        <w:t xml:space="preserve">.  </w:t>
      </w:r>
      <w:r w:rsidR="0076014F">
        <w:t>O</w:t>
      </w:r>
      <w:r>
        <w:t>ther subject area</w:t>
      </w:r>
      <w:r w:rsidR="00276304">
        <w:t xml:space="preserve">s </w:t>
      </w:r>
      <w:r w:rsidR="0076014F">
        <w:t>are</w:t>
      </w:r>
      <w:r w:rsidR="00276304">
        <w:t xml:space="preserve"> also collected on a level 3</w:t>
      </w:r>
      <w:r>
        <w:t xml:space="preserve"> (</w:t>
      </w:r>
      <w:r w:rsidR="00276304">
        <w:t>curricular</w:t>
      </w:r>
      <w:r>
        <w:t>).</w:t>
      </w:r>
    </w:p>
    <w:p w14:paraId="1B7706A2" w14:textId="77777777" w:rsidR="00B96D69" w:rsidRDefault="00B96D69" w:rsidP="00B96D69">
      <w:pPr>
        <w:ind w:left="720"/>
      </w:pPr>
      <w:r>
        <w:lastRenderedPageBreak/>
        <w:t>B)</w:t>
      </w:r>
      <w:r>
        <w:tab/>
        <w:t>Type</w:t>
      </w:r>
    </w:p>
    <w:p w14:paraId="40462628" w14:textId="77777777" w:rsidR="00B96D69" w:rsidRPr="0037512E" w:rsidRDefault="00B96D69" w:rsidP="005F1117">
      <w:pPr>
        <w:ind w:left="1440" w:hanging="720"/>
        <w:rPr>
          <w:color w:val="000000"/>
        </w:rPr>
      </w:pPr>
      <w:r>
        <w:tab/>
        <w:t xml:space="preserve">Original research, abstracts, reference works are collected extensively.  </w:t>
      </w:r>
      <w:r w:rsidR="0076014F">
        <w:t>Compendex, t</w:t>
      </w:r>
      <w:r w:rsidR="0072756E">
        <w:t xml:space="preserve">he search engine </w:t>
      </w:r>
      <w:r w:rsidR="0076014F">
        <w:t xml:space="preserve">representing the collective indexing work of the Engineering </w:t>
      </w:r>
      <w:r w:rsidR="0076014F" w:rsidRPr="0076014F">
        <w:t>Index</w:t>
      </w:r>
      <w:r w:rsidR="0076014F">
        <w:t>®</w:t>
      </w:r>
      <w:r w:rsidR="0076014F" w:rsidRPr="0076014F">
        <w:t xml:space="preserve"> </w:t>
      </w:r>
      <w:r>
        <w:t>is the preferred index for periodical literature</w:t>
      </w:r>
      <w:r w:rsidR="00276304">
        <w:t xml:space="preserve">, however </w:t>
      </w:r>
      <w:r w:rsidR="0072756E">
        <w:t xml:space="preserve">a number of </w:t>
      </w:r>
      <w:r w:rsidR="00276304">
        <w:t>other databases</w:t>
      </w:r>
      <w:r w:rsidR="0072756E">
        <w:t xml:space="preserve"> provide excellent entries into the literature including </w:t>
      </w:r>
      <w:r w:rsidR="005F1117">
        <w:t>IEEEXplore, ProQuest Research Library: Science and Technology, ACM Digital Library, Computers and Applied Sciences Complete (EBSCO) and A</w:t>
      </w:r>
      <w:r w:rsidR="005F1117" w:rsidRPr="005F1117">
        <w:t>udio Engineering Society Electronic Library</w:t>
      </w:r>
      <w:r w:rsidR="005F1117">
        <w:t xml:space="preserve">. </w:t>
      </w:r>
      <w:r w:rsidR="007D1132" w:rsidRPr="0037512E">
        <w:rPr>
          <w:color w:val="000000"/>
        </w:rPr>
        <w:t>P</w:t>
      </w:r>
      <w:r w:rsidR="00374D52" w:rsidRPr="0037512E">
        <w:rPr>
          <w:color w:val="000000"/>
        </w:rPr>
        <w:t>opular treatments, textbooks, and course materi</w:t>
      </w:r>
      <w:r w:rsidR="005F1117">
        <w:rPr>
          <w:color w:val="000000"/>
        </w:rPr>
        <w:t xml:space="preserve">als are collected selectively. </w:t>
      </w:r>
      <w:r w:rsidR="00374D52" w:rsidRPr="0037512E">
        <w:rPr>
          <w:color w:val="000000"/>
        </w:rPr>
        <w:t>Other types are generally not collected</w:t>
      </w:r>
      <w:r w:rsidR="005F1117">
        <w:rPr>
          <w:color w:val="000000"/>
        </w:rPr>
        <w:t>.</w:t>
      </w:r>
    </w:p>
    <w:p w14:paraId="5E3293F0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C)</w:t>
      </w:r>
      <w:r w:rsidRPr="0037512E">
        <w:rPr>
          <w:color w:val="000000"/>
        </w:rPr>
        <w:tab/>
        <w:t>Format</w:t>
      </w:r>
    </w:p>
    <w:p w14:paraId="55623BFF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ab/>
        <w:t xml:space="preserve">Monographs, serials </w:t>
      </w:r>
      <w:r w:rsidR="007D1132" w:rsidRPr="0037512E">
        <w:rPr>
          <w:color w:val="000000"/>
        </w:rPr>
        <w:t xml:space="preserve">in </w:t>
      </w:r>
      <w:r w:rsidRPr="0037512E">
        <w:rPr>
          <w:color w:val="000000"/>
        </w:rPr>
        <w:t xml:space="preserve">electronic </w:t>
      </w:r>
      <w:r w:rsidR="007D1132" w:rsidRPr="0037512E">
        <w:rPr>
          <w:color w:val="000000"/>
        </w:rPr>
        <w:t>form</w:t>
      </w:r>
      <w:r w:rsidRPr="0037512E">
        <w:rPr>
          <w:color w:val="000000"/>
        </w:rPr>
        <w:t xml:space="preserve"> are collected </w:t>
      </w:r>
      <w:r w:rsidR="007D1132" w:rsidRPr="0037512E">
        <w:rPr>
          <w:color w:val="000000"/>
        </w:rPr>
        <w:t>preferentially</w:t>
      </w:r>
      <w:r w:rsidRPr="0037512E">
        <w:rPr>
          <w:color w:val="000000"/>
        </w:rPr>
        <w:t>.  Audiovisual materials are collected selectively.  Microforms and manuscripts are generally not collected.</w:t>
      </w:r>
    </w:p>
    <w:p w14:paraId="34A48F5D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D)</w:t>
      </w:r>
      <w:r w:rsidRPr="0037512E">
        <w:rPr>
          <w:color w:val="000000"/>
        </w:rPr>
        <w:tab/>
        <w:t xml:space="preserve">Materials published during the last </w:t>
      </w:r>
      <w:r w:rsidR="007D1132" w:rsidRPr="0037512E">
        <w:rPr>
          <w:color w:val="000000"/>
        </w:rPr>
        <w:t>1</w:t>
      </w:r>
      <w:r w:rsidRPr="0037512E">
        <w:rPr>
          <w:color w:val="000000"/>
        </w:rPr>
        <w:t xml:space="preserve">0 years are collected extensively.  Materials published during the previous </w:t>
      </w:r>
      <w:r w:rsidR="007D1132" w:rsidRPr="0037512E">
        <w:rPr>
          <w:color w:val="000000"/>
        </w:rPr>
        <w:t>20-</w:t>
      </w:r>
      <w:r w:rsidRPr="0037512E">
        <w:rPr>
          <w:color w:val="000000"/>
        </w:rPr>
        <w:t xml:space="preserve">30 years are collected </w:t>
      </w:r>
      <w:r w:rsidR="0072756E" w:rsidRPr="0037512E">
        <w:rPr>
          <w:color w:val="000000"/>
        </w:rPr>
        <w:t xml:space="preserve">very </w:t>
      </w:r>
      <w:r w:rsidRPr="0037512E">
        <w:rPr>
          <w:color w:val="000000"/>
        </w:rPr>
        <w:t>selectively.  Materials published prior to 1950 are</w:t>
      </w:r>
      <w:r w:rsidR="0072756E" w:rsidRPr="0037512E">
        <w:rPr>
          <w:color w:val="000000"/>
        </w:rPr>
        <w:t xml:space="preserve"> generally not </w:t>
      </w:r>
      <w:r w:rsidRPr="0037512E">
        <w:rPr>
          <w:color w:val="000000"/>
        </w:rPr>
        <w:t>collected.</w:t>
      </w:r>
    </w:p>
    <w:p w14:paraId="281CA194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E)</w:t>
      </w:r>
      <w:r w:rsidRPr="0037512E">
        <w:rPr>
          <w:color w:val="000000"/>
        </w:rPr>
        <w:tab/>
        <w:t>English is the preferred language and is collected extensively.  Other languages are generally excluded or collected very selectively based on unique content that has not been translated into English</w:t>
      </w:r>
    </w:p>
    <w:p w14:paraId="6D6F667B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F)</w:t>
      </w:r>
      <w:r w:rsidRPr="0037512E">
        <w:rPr>
          <w:color w:val="000000"/>
        </w:rPr>
        <w:tab/>
        <w:t>Geographic Focus</w:t>
      </w:r>
    </w:p>
    <w:p w14:paraId="65BB73F8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ab/>
        <w:t>No particular area of the World is favo</w:t>
      </w:r>
      <w:r w:rsidR="008C0C67">
        <w:rPr>
          <w:color w:val="000000"/>
        </w:rPr>
        <w:t>red however most materials come</w:t>
      </w:r>
      <w:r w:rsidRPr="0037512E">
        <w:rPr>
          <w:color w:val="000000"/>
        </w:rPr>
        <w:t xml:space="preserve"> from North America and Europe</w:t>
      </w:r>
    </w:p>
    <w:p w14:paraId="635CD186" w14:textId="77777777" w:rsidR="00E465D0" w:rsidRPr="0037512E" w:rsidRDefault="00E465D0" w:rsidP="00B96D69">
      <w:pPr>
        <w:ind w:left="1440" w:hanging="720"/>
        <w:rPr>
          <w:color w:val="000000"/>
        </w:rPr>
      </w:pPr>
    </w:p>
    <w:p w14:paraId="7ADEF91D" w14:textId="77777777" w:rsidR="00374D52" w:rsidRPr="0037512E" w:rsidRDefault="00BF23BF" w:rsidP="00374D52">
      <w:pPr>
        <w:rPr>
          <w:color w:val="000000"/>
        </w:rPr>
      </w:pPr>
      <w:r w:rsidRPr="0037512E">
        <w:rPr>
          <w:color w:val="000000"/>
        </w:rPr>
        <w:t>IV.</w:t>
      </w:r>
      <w:r w:rsidRPr="0037512E">
        <w:rPr>
          <w:color w:val="000000"/>
        </w:rPr>
        <w:tab/>
        <w:t>Other</w:t>
      </w:r>
    </w:p>
    <w:p w14:paraId="5707BBE7" w14:textId="77777777" w:rsidR="00BF23BF" w:rsidRPr="0037512E" w:rsidRDefault="00BF23BF" w:rsidP="00BF23BF">
      <w:pPr>
        <w:ind w:left="720"/>
        <w:rPr>
          <w:color w:val="000000"/>
        </w:rPr>
      </w:pPr>
      <w:r w:rsidRPr="0037512E">
        <w:rPr>
          <w:color w:val="000000"/>
        </w:rPr>
        <w:t>A)</w:t>
      </w:r>
      <w:r w:rsidRPr="0037512E">
        <w:rPr>
          <w:color w:val="000000"/>
        </w:rPr>
        <w:tab/>
        <w:t>Related Collections and Overlap</w:t>
      </w:r>
    </w:p>
    <w:p w14:paraId="5EC07C2F" w14:textId="77777777" w:rsidR="00BF23BF" w:rsidRPr="0037512E" w:rsidRDefault="00BF23BF" w:rsidP="00BF23BF">
      <w:pPr>
        <w:ind w:left="1440"/>
        <w:rPr>
          <w:color w:val="000000"/>
        </w:rPr>
      </w:pPr>
      <w:r w:rsidRPr="0037512E">
        <w:rPr>
          <w:color w:val="000000"/>
        </w:rPr>
        <w:t>There is overlap</w:t>
      </w:r>
      <w:r w:rsidR="00770A31" w:rsidRPr="0037512E">
        <w:rPr>
          <w:color w:val="000000"/>
        </w:rPr>
        <w:t xml:space="preserve"> in other areas</w:t>
      </w:r>
      <w:r w:rsidR="00AE3C0A">
        <w:rPr>
          <w:color w:val="000000"/>
        </w:rPr>
        <w:t xml:space="preserve"> such as computer science,</w:t>
      </w:r>
      <w:r w:rsidR="00770A31" w:rsidRPr="0037512E">
        <w:rPr>
          <w:color w:val="000000"/>
        </w:rPr>
        <w:t xml:space="preserve"> but only as </w:t>
      </w:r>
      <w:r w:rsidR="00AE3C0A">
        <w:rPr>
          <w:color w:val="000000"/>
        </w:rPr>
        <w:t>electrical and computer</w:t>
      </w:r>
      <w:r w:rsidR="007D1132" w:rsidRPr="0037512E">
        <w:rPr>
          <w:color w:val="000000"/>
        </w:rPr>
        <w:t xml:space="preserve"> engineering</w:t>
      </w:r>
      <w:r w:rsidR="00770A31" w:rsidRPr="0037512E">
        <w:rPr>
          <w:color w:val="000000"/>
        </w:rPr>
        <w:t xml:space="preserve"> is applied to those areas</w:t>
      </w:r>
      <w:r w:rsidR="007D1132" w:rsidRPr="0037512E">
        <w:rPr>
          <w:color w:val="000000"/>
        </w:rPr>
        <w:t>.  T</w:t>
      </w:r>
      <w:r w:rsidRPr="0037512E">
        <w:rPr>
          <w:color w:val="000000"/>
        </w:rPr>
        <w:t>heory is separate</w:t>
      </w:r>
      <w:r w:rsidR="00770A31" w:rsidRPr="0037512E">
        <w:rPr>
          <w:color w:val="000000"/>
        </w:rPr>
        <w:t xml:space="preserve"> and is generally found only in the </w:t>
      </w:r>
      <w:r w:rsidR="007D1132" w:rsidRPr="0037512E">
        <w:rPr>
          <w:color w:val="000000"/>
        </w:rPr>
        <w:t>engineering</w:t>
      </w:r>
      <w:r w:rsidR="00770A31" w:rsidRPr="0037512E">
        <w:rPr>
          <w:color w:val="000000"/>
        </w:rPr>
        <w:t xml:space="preserve"> literature</w:t>
      </w:r>
      <w:r w:rsidRPr="0037512E">
        <w:rPr>
          <w:color w:val="000000"/>
        </w:rPr>
        <w:t>.</w:t>
      </w:r>
      <w:r w:rsidR="00AE3C0A">
        <w:rPr>
          <w:color w:val="000000"/>
        </w:rPr>
        <w:t xml:space="preserve"> Collection policy concerning computer hardware, QA75.5-76.95, is left to the collection development policy for Physical and Mathematical Sciences.</w:t>
      </w:r>
      <w:r w:rsidRPr="0037512E">
        <w:rPr>
          <w:color w:val="000000"/>
        </w:rPr>
        <w:t xml:space="preserve">    </w:t>
      </w:r>
    </w:p>
    <w:p w14:paraId="19690D2A" w14:textId="77777777" w:rsidR="00BF23BF" w:rsidRPr="0037512E" w:rsidRDefault="00BF23BF" w:rsidP="00BF23BF">
      <w:pPr>
        <w:ind w:left="720" w:hanging="720"/>
        <w:rPr>
          <w:color w:val="000000"/>
        </w:rPr>
      </w:pPr>
      <w:r w:rsidRPr="0037512E">
        <w:rPr>
          <w:color w:val="000000"/>
        </w:rPr>
        <w:tab/>
        <w:t>B)</w:t>
      </w:r>
      <w:r w:rsidRPr="0037512E">
        <w:rPr>
          <w:color w:val="000000"/>
        </w:rPr>
        <w:tab/>
        <w:t>Cooperative resources and programs</w:t>
      </w:r>
    </w:p>
    <w:p w14:paraId="6E2AC1EC" w14:textId="77777777" w:rsidR="00E465D0" w:rsidRPr="0037512E" w:rsidRDefault="00BF23BF" w:rsidP="00BF23BF">
      <w:pPr>
        <w:ind w:left="1440"/>
        <w:rPr>
          <w:color w:val="000000"/>
        </w:rPr>
      </w:pPr>
      <w:r w:rsidRPr="0037512E">
        <w:rPr>
          <w:color w:val="000000"/>
        </w:rPr>
        <w:t xml:space="preserve">Various consortia arrangements on a library wide scale have been entered into to ensure full text availability of periodicals </w:t>
      </w:r>
      <w:r w:rsidR="007D1132" w:rsidRPr="0037512E">
        <w:rPr>
          <w:color w:val="000000"/>
        </w:rPr>
        <w:t>and access to normally very ex</w:t>
      </w:r>
      <w:r w:rsidR="00AE3C0A">
        <w:rPr>
          <w:color w:val="000000"/>
        </w:rPr>
        <w:t>pensive collections such as IEEEXplore (IEL), IEEE</w:t>
      </w:r>
      <w:r w:rsidR="007D1132" w:rsidRPr="0037512E">
        <w:rPr>
          <w:color w:val="000000"/>
        </w:rPr>
        <w:t xml:space="preserve"> standards</w:t>
      </w:r>
      <w:r w:rsidR="00AE3C0A">
        <w:rPr>
          <w:color w:val="000000"/>
        </w:rPr>
        <w:t>, and the NESC Handbook</w:t>
      </w:r>
      <w:r w:rsidR="007D1132" w:rsidRPr="0037512E">
        <w:rPr>
          <w:color w:val="000000"/>
        </w:rPr>
        <w:t xml:space="preserve"> online.</w:t>
      </w:r>
    </w:p>
    <w:p w14:paraId="795E6761" w14:textId="77777777" w:rsidR="00BF23BF" w:rsidRPr="0037512E" w:rsidRDefault="00E465D0" w:rsidP="00E465D0">
      <w:pPr>
        <w:rPr>
          <w:color w:val="000000"/>
        </w:rPr>
      </w:pPr>
      <w:r w:rsidRPr="0037512E">
        <w:rPr>
          <w:color w:val="000000"/>
        </w:rPr>
        <w:br w:type="page"/>
      </w:r>
      <w:r w:rsidR="00BF23BF" w:rsidRPr="0037512E">
        <w:rPr>
          <w:color w:val="000000"/>
        </w:rPr>
        <w:lastRenderedPageBreak/>
        <w:t>V.</w:t>
      </w:r>
      <w:r w:rsidR="00BF23BF" w:rsidRPr="0037512E">
        <w:rPr>
          <w:color w:val="000000"/>
        </w:rPr>
        <w:tab/>
        <w:t>Classed Analysis</w:t>
      </w:r>
    </w:p>
    <w:p w14:paraId="35B0DCC4" w14:textId="77777777" w:rsidR="0072756E" w:rsidRPr="0037512E" w:rsidRDefault="0072756E">
      <w:pPr>
        <w:rPr>
          <w:color w:val="000000"/>
        </w:rPr>
      </w:pPr>
    </w:p>
    <w:p w14:paraId="5D120DAA" w14:textId="77777777" w:rsidR="00352CD3" w:rsidRPr="0037512E" w:rsidRDefault="00352CD3" w:rsidP="002540C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color w:val="000000"/>
        </w:rPr>
      </w:pPr>
      <w:r w:rsidRPr="0037512E">
        <w:rPr>
          <w:rFonts w:ascii="CG Times" w:hAnsi="CG Times" w:cs="CG Times"/>
          <w:color w:val="000000"/>
        </w:rPr>
        <w:tab/>
      </w:r>
      <w:r w:rsidR="003D5AD3">
        <w:rPr>
          <w:rFonts w:ascii="CG Times" w:hAnsi="CG Times" w:cs="CG Times"/>
          <w:b/>
          <w:color w:val="000000"/>
        </w:rPr>
        <w:t>Electrical and Computer</w:t>
      </w:r>
      <w:r w:rsidR="007D1132" w:rsidRPr="0037512E">
        <w:rPr>
          <w:rFonts w:ascii="CG Times" w:hAnsi="CG Times" w:cs="CG Times"/>
          <w:b/>
          <w:color w:val="000000"/>
        </w:rPr>
        <w:t xml:space="preserve"> Engineering</w:t>
      </w:r>
    </w:p>
    <w:p w14:paraId="18A31105" w14:textId="77777777" w:rsidR="00352CD3" w:rsidRPr="0037512E" w:rsidRDefault="00352CD3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</w:rPr>
      </w:pPr>
    </w:p>
    <w:p w14:paraId="42D0B3A0" w14:textId="77777777" w:rsidR="00106E32" w:rsidRDefault="00352CD3" w:rsidP="002540C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bCs/>
          <w:color w:val="000000"/>
        </w:rPr>
      </w:pPr>
      <w:r w:rsidRPr="0037512E">
        <w:rPr>
          <w:color w:val="000000"/>
        </w:rPr>
        <w:tab/>
      </w:r>
      <w:r w:rsidRPr="0037512E">
        <w:rPr>
          <w:b/>
          <w:bCs/>
          <w:color w:val="000000"/>
        </w:rPr>
        <w:t>Classed Analysis</w:t>
      </w:r>
    </w:p>
    <w:p w14:paraId="5B87CD8D" w14:textId="77777777" w:rsidR="003D5AD3" w:rsidRDefault="003D5AD3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tbl>
      <w:tblPr>
        <w:tblW w:w="8440" w:type="dxa"/>
        <w:tblInd w:w="108" w:type="dxa"/>
        <w:tblLook w:val="04A0" w:firstRow="1" w:lastRow="0" w:firstColumn="1" w:lastColumn="0" w:noHBand="0" w:noVBand="1"/>
      </w:tblPr>
      <w:tblGrid>
        <w:gridCol w:w="1940"/>
        <w:gridCol w:w="4640"/>
        <w:gridCol w:w="1860"/>
      </w:tblGrid>
      <w:tr w:rsidR="003D5AD3" w14:paraId="6340DC4C" w14:textId="77777777" w:rsidTr="003D5AD3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7E8E" w14:textId="77777777" w:rsidR="003D5AD3" w:rsidRDefault="003D5AD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LC Classification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C962" w14:textId="77777777" w:rsidR="003D5AD3" w:rsidRDefault="003D5AD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6622" w14:textId="77777777" w:rsidR="003D5AD3" w:rsidRDefault="003D5AD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Collecting Level</w:t>
            </w:r>
          </w:p>
        </w:tc>
      </w:tr>
      <w:tr w:rsidR="003D5AD3" w14:paraId="5D973063" w14:textId="77777777" w:rsidTr="003D5AD3">
        <w:trPr>
          <w:trHeight w:val="81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476C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TK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D5BA" w14:textId="77777777" w:rsidR="003D5AD3" w:rsidRDefault="003D5AD3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Electrical engineering. Electronics. Nuclear engineering.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3EBBA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D5AD3" w14:paraId="362EB180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1C70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TK301-399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79953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Electric meters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FE89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Teaching</w:t>
            </w:r>
          </w:p>
        </w:tc>
      </w:tr>
      <w:tr w:rsidR="003D5AD3" w14:paraId="6E49F5C3" w14:textId="77777777" w:rsidTr="003D5AD3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4C46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TK452-454.4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6EBED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Electric apparatus and materials. Electric circuits. Electric networks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BC6B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6E4BFE02" w14:textId="77777777" w:rsidTr="003D5AD3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3014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TK1001-1841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4668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Production of electric energy or power. Powerplants. Central stations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E723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6015F631" w14:textId="77777777" w:rsidTr="003D5AD3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79D3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TK2000-2891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A9176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Dynamoelectric machinery and auxiliaries (Including generators, motors, transformers)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B0E73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5933A307" w14:textId="77777777" w:rsidTr="003D5AD3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9A48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TK2896-2985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59CE4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Production of electricity by direct energy conversion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9D69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1BDDEC5C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343D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TK3001-3521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AC2D4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Distribution or transmission of electric power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2178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06272A33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5153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TK4001-4102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B711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Applications of electric power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DFD1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704F0734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8EC4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TK4125-4399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3BD70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Electric lighting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2910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7A6C35E9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3F2B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TK4601-4661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100A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Electric heating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2B0B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3ED186D7" w14:textId="77777777" w:rsidTr="003D5AD3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2195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TK5101-6720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2760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Telecommunication (Including telegraphy, telephone, radio, radar, television)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43FA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0E62B30E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8B7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TK7885-7895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6C975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Computer engineering. Computer hardware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B5117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672E8221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CF70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TK8300-8360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1F419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Photoelectronic devices (General)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3907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316A146E" w14:textId="77777777" w:rsidTr="003D5AD3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1BDA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TK9001-9401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081AA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Nuclear engineering. Atomic power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402F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3D5AD3" w14:paraId="7CDD828E" w14:textId="77777777" w:rsidTr="003D5AD3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9321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TK9900-9971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F4AA7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 xml:space="preserve">Electricity for amateurs. Amateur constructors' manuals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FD790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Representative</w:t>
            </w:r>
          </w:p>
        </w:tc>
      </w:tr>
      <w:tr w:rsidR="003D5AD3" w14:paraId="2902C3D9" w14:textId="77777777" w:rsidTr="003D5AD3">
        <w:trPr>
          <w:trHeight w:val="94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7A38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QA75.5-76.95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BA145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Electronic computers.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8F43" w14:textId="77777777" w:rsidR="003D5AD3" w:rsidRDefault="003D5AD3">
            <w:pPr>
              <w:rPr>
                <w:color w:val="000000"/>
              </w:rPr>
            </w:pPr>
            <w:r>
              <w:rPr>
                <w:color w:val="000000"/>
              </w:rPr>
              <w:t>Rely on Physical Sciences collection policy</w:t>
            </w:r>
          </w:p>
        </w:tc>
      </w:tr>
    </w:tbl>
    <w:p w14:paraId="6A2032BF" w14:textId="77777777" w:rsidR="003D5AD3" w:rsidRPr="0037512E" w:rsidRDefault="003D5AD3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p w14:paraId="7047BE33" w14:textId="77777777" w:rsidR="00106E32" w:rsidRPr="0037512E" w:rsidRDefault="00106E32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p w14:paraId="0B588B30" w14:textId="77777777" w:rsidR="00352CD3" w:rsidRPr="0037512E" w:rsidRDefault="00106E32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</w:rPr>
      </w:pPr>
      <w:r w:rsidRPr="00106E32">
        <w:rPr>
          <w:b/>
          <w:bCs/>
          <w:color w:val="000000"/>
          <w:u w:val="single"/>
        </w:rPr>
        <w:t xml:space="preserve"> </w:t>
      </w:r>
      <w:r w:rsidR="00352CD3" w:rsidRPr="0037512E">
        <w:rPr>
          <w:b/>
          <w:bCs/>
          <w:color w:val="000000"/>
          <w:u w:val="single"/>
        </w:rPr>
        <w:fldChar w:fldCharType="begin"/>
      </w:r>
      <w:r w:rsidR="00352CD3" w:rsidRPr="0037512E">
        <w:rPr>
          <w:b/>
          <w:bCs/>
          <w:color w:val="000000"/>
          <w:u w:val="single"/>
        </w:rPr>
        <w:instrText>tc \l2 "</w:instrText>
      </w:r>
      <w:r w:rsidR="00352CD3" w:rsidRPr="0037512E">
        <w:rPr>
          <w:b/>
          <w:bCs/>
          <w:color w:val="000000"/>
        </w:rPr>
        <w:instrText>Classed Analysis</w:instrText>
      </w:r>
      <w:r w:rsidR="00352CD3" w:rsidRPr="0037512E">
        <w:rPr>
          <w:b/>
          <w:bCs/>
          <w:color w:val="000000"/>
          <w:u w:val="single"/>
        </w:rPr>
        <w:fldChar w:fldCharType="end"/>
      </w:r>
    </w:p>
    <w:p w14:paraId="5EE07033" w14:textId="77777777" w:rsidR="00352CD3" w:rsidRDefault="00352CD3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633D4478" w14:textId="77777777" w:rsidR="00352CD3" w:rsidRDefault="00352CD3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3600"/>
      </w:pPr>
    </w:p>
    <w:p w14:paraId="407897AB" w14:textId="77777777" w:rsidR="00106E32" w:rsidRDefault="00106E32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3600"/>
      </w:pPr>
    </w:p>
    <w:p w14:paraId="6D5F606C" w14:textId="77777777" w:rsidR="00352CD3" w:rsidRPr="002146AB" w:rsidRDefault="00352CD3"/>
    <w:sectPr w:rsidR="00352CD3" w:rsidRPr="002146A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096C2" w14:textId="77777777" w:rsidR="00BC2C06" w:rsidRDefault="00BC2C06" w:rsidP="00AE26B1">
      <w:r>
        <w:separator/>
      </w:r>
    </w:p>
  </w:endnote>
  <w:endnote w:type="continuationSeparator" w:id="0">
    <w:p w14:paraId="367732C2" w14:textId="77777777" w:rsidR="00BC2C06" w:rsidRDefault="00BC2C06" w:rsidP="00AE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BF035" w14:textId="77777777" w:rsidR="003D5AD3" w:rsidRDefault="003D5AD3">
    <w:pPr>
      <w:pStyle w:val="Footer"/>
      <w:rPr>
        <w:sz w:val="20"/>
        <w:szCs w:val="20"/>
      </w:rPr>
    </w:pPr>
    <w:r>
      <w:rPr>
        <w:sz w:val="20"/>
        <w:szCs w:val="20"/>
      </w:rPr>
      <w:t>Electrical and Computer</w:t>
    </w:r>
  </w:p>
  <w:p w14:paraId="361B0908" w14:textId="77777777" w:rsidR="00AE26B1" w:rsidRPr="00AE26B1" w:rsidRDefault="00AE26B1">
    <w:pPr>
      <w:pStyle w:val="Footer"/>
      <w:rPr>
        <w:sz w:val="20"/>
        <w:szCs w:val="20"/>
      </w:rPr>
    </w:pPr>
    <w:r>
      <w:rPr>
        <w:sz w:val="20"/>
        <w:szCs w:val="20"/>
      </w:rPr>
      <w:t xml:space="preserve"> Engineering 201</w:t>
    </w:r>
    <w:r w:rsidR="00202626">
      <w:rPr>
        <w:sz w:val="20"/>
        <w:szCs w:val="20"/>
      </w:rPr>
      <w:t>6</w:t>
    </w:r>
    <w:r>
      <w:rPr>
        <w:sz w:val="20"/>
        <w:szCs w:val="20"/>
      </w:rPr>
      <w:t>.docx</w:t>
    </w:r>
    <w:r w:rsidRPr="00AE26B1">
      <w:rPr>
        <w:sz w:val="20"/>
        <w:szCs w:val="20"/>
      </w:rPr>
      <w:tab/>
      <w:t>2</w:t>
    </w:r>
    <w:r w:rsidR="00202626">
      <w:rPr>
        <w:sz w:val="20"/>
        <w:szCs w:val="20"/>
      </w:rPr>
      <w:t>0</w:t>
    </w:r>
    <w:r w:rsidRPr="00AE26B1">
      <w:rPr>
        <w:sz w:val="20"/>
        <w:szCs w:val="20"/>
      </w:rPr>
      <w:t xml:space="preserve"> </w:t>
    </w:r>
    <w:r w:rsidR="00202626">
      <w:rPr>
        <w:sz w:val="20"/>
        <w:szCs w:val="20"/>
      </w:rPr>
      <w:t>September</w:t>
    </w:r>
    <w:r w:rsidRPr="00AE26B1">
      <w:rPr>
        <w:sz w:val="20"/>
        <w:szCs w:val="20"/>
      </w:rPr>
      <w:t xml:space="preserve"> 201</w:t>
    </w:r>
    <w:r w:rsidR="00202626">
      <w:rPr>
        <w:sz w:val="20"/>
        <w:szCs w:val="20"/>
      </w:rPr>
      <w:t>6</w:t>
    </w:r>
    <w:r>
      <w:rPr>
        <w:sz w:val="20"/>
        <w:szCs w:val="20"/>
      </w:rPr>
      <w:tab/>
      <w:t>Zuber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F8EC5" w14:textId="77777777" w:rsidR="00BC2C06" w:rsidRDefault="00BC2C06" w:rsidP="00AE26B1">
      <w:r>
        <w:separator/>
      </w:r>
    </w:p>
  </w:footnote>
  <w:footnote w:type="continuationSeparator" w:id="0">
    <w:p w14:paraId="1C2DF131" w14:textId="77777777" w:rsidR="00BC2C06" w:rsidRDefault="00BC2C06" w:rsidP="00AE2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AB"/>
    <w:rsid w:val="00002B4D"/>
    <w:rsid w:val="00010D32"/>
    <w:rsid w:val="00015D2A"/>
    <w:rsid w:val="00022C08"/>
    <w:rsid w:val="00034325"/>
    <w:rsid w:val="000378E7"/>
    <w:rsid w:val="00040DAE"/>
    <w:rsid w:val="000475B4"/>
    <w:rsid w:val="00047D4F"/>
    <w:rsid w:val="000714EC"/>
    <w:rsid w:val="000742C9"/>
    <w:rsid w:val="00080C3E"/>
    <w:rsid w:val="00091E04"/>
    <w:rsid w:val="00092B11"/>
    <w:rsid w:val="0009495B"/>
    <w:rsid w:val="000970A7"/>
    <w:rsid w:val="000A3F2F"/>
    <w:rsid w:val="000B34A5"/>
    <w:rsid w:val="000B3C6C"/>
    <w:rsid w:val="000C48FC"/>
    <w:rsid w:val="000C5873"/>
    <w:rsid w:val="000D6F48"/>
    <w:rsid w:val="000E5297"/>
    <w:rsid w:val="000F05CE"/>
    <w:rsid w:val="000F0E86"/>
    <w:rsid w:val="000F1041"/>
    <w:rsid w:val="000F1D5B"/>
    <w:rsid w:val="000F39C3"/>
    <w:rsid w:val="00106E32"/>
    <w:rsid w:val="00111680"/>
    <w:rsid w:val="00113952"/>
    <w:rsid w:val="00116CBD"/>
    <w:rsid w:val="0011763A"/>
    <w:rsid w:val="00121EC4"/>
    <w:rsid w:val="0012254F"/>
    <w:rsid w:val="00132EF3"/>
    <w:rsid w:val="00135113"/>
    <w:rsid w:val="00135222"/>
    <w:rsid w:val="00137357"/>
    <w:rsid w:val="001520E7"/>
    <w:rsid w:val="00152900"/>
    <w:rsid w:val="00164296"/>
    <w:rsid w:val="00167D47"/>
    <w:rsid w:val="00190CAB"/>
    <w:rsid w:val="001968F3"/>
    <w:rsid w:val="001A34E5"/>
    <w:rsid w:val="001A5AD0"/>
    <w:rsid w:val="001B583F"/>
    <w:rsid w:val="001B7F56"/>
    <w:rsid w:val="001C1CA1"/>
    <w:rsid w:val="001C7721"/>
    <w:rsid w:val="001D0888"/>
    <w:rsid w:val="001D5F56"/>
    <w:rsid w:val="001E1D9D"/>
    <w:rsid w:val="001E3F45"/>
    <w:rsid w:val="001E5A81"/>
    <w:rsid w:val="001E701F"/>
    <w:rsid w:val="001E70BC"/>
    <w:rsid w:val="001F7960"/>
    <w:rsid w:val="00202626"/>
    <w:rsid w:val="002075E0"/>
    <w:rsid w:val="00210229"/>
    <w:rsid w:val="002139A9"/>
    <w:rsid w:val="002146AB"/>
    <w:rsid w:val="00217F42"/>
    <w:rsid w:val="0022289C"/>
    <w:rsid w:val="00223751"/>
    <w:rsid w:val="002254EF"/>
    <w:rsid w:val="00231ACD"/>
    <w:rsid w:val="00244B42"/>
    <w:rsid w:val="00253E8A"/>
    <w:rsid w:val="002540C3"/>
    <w:rsid w:val="002562A1"/>
    <w:rsid w:val="00260645"/>
    <w:rsid w:val="002739E2"/>
    <w:rsid w:val="00276304"/>
    <w:rsid w:val="0027679C"/>
    <w:rsid w:val="00280153"/>
    <w:rsid w:val="00286BA9"/>
    <w:rsid w:val="00287F49"/>
    <w:rsid w:val="002909C7"/>
    <w:rsid w:val="00290D04"/>
    <w:rsid w:val="002975F6"/>
    <w:rsid w:val="002A351A"/>
    <w:rsid w:val="002A35C5"/>
    <w:rsid w:val="002A3AB2"/>
    <w:rsid w:val="002A6586"/>
    <w:rsid w:val="002B2E1F"/>
    <w:rsid w:val="002B3665"/>
    <w:rsid w:val="002B46A1"/>
    <w:rsid w:val="002B5C6F"/>
    <w:rsid w:val="002C6822"/>
    <w:rsid w:val="002C7594"/>
    <w:rsid w:val="002D33F8"/>
    <w:rsid w:val="002E550F"/>
    <w:rsid w:val="002F2F8D"/>
    <w:rsid w:val="002F5011"/>
    <w:rsid w:val="002F5EA2"/>
    <w:rsid w:val="00300CFB"/>
    <w:rsid w:val="00303C21"/>
    <w:rsid w:val="00306982"/>
    <w:rsid w:val="00313DDD"/>
    <w:rsid w:val="003150EC"/>
    <w:rsid w:val="003158DC"/>
    <w:rsid w:val="0031603F"/>
    <w:rsid w:val="00316340"/>
    <w:rsid w:val="0033411E"/>
    <w:rsid w:val="00336462"/>
    <w:rsid w:val="00340BFC"/>
    <w:rsid w:val="0034306E"/>
    <w:rsid w:val="0034467A"/>
    <w:rsid w:val="00344E48"/>
    <w:rsid w:val="003460B2"/>
    <w:rsid w:val="00346855"/>
    <w:rsid w:val="0035280E"/>
    <w:rsid w:val="00352CD3"/>
    <w:rsid w:val="00356037"/>
    <w:rsid w:val="00363ACC"/>
    <w:rsid w:val="0037144A"/>
    <w:rsid w:val="003726AB"/>
    <w:rsid w:val="00374D52"/>
    <w:rsid w:val="0037512E"/>
    <w:rsid w:val="003767C7"/>
    <w:rsid w:val="003813D5"/>
    <w:rsid w:val="00381DA3"/>
    <w:rsid w:val="00385BDF"/>
    <w:rsid w:val="00393189"/>
    <w:rsid w:val="00393B72"/>
    <w:rsid w:val="003969E4"/>
    <w:rsid w:val="00397D31"/>
    <w:rsid w:val="003A050D"/>
    <w:rsid w:val="003A400A"/>
    <w:rsid w:val="003A7980"/>
    <w:rsid w:val="003B0F87"/>
    <w:rsid w:val="003B3C14"/>
    <w:rsid w:val="003C061A"/>
    <w:rsid w:val="003C116A"/>
    <w:rsid w:val="003D5AD3"/>
    <w:rsid w:val="003E2A05"/>
    <w:rsid w:val="003F7654"/>
    <w:rsid w:val="00403051"/>
    <w:rsid w:val="00413380"/>
    <w:rsid w:val="00413757"/>
    <w:rsid w:val="00413F72"/>
    <w:rsid w:val="004151DE"/>
    <w:rsid w:val="004275CF"/>
    <w:rsid w:val="00436F9D"/>
    <w:rsid w:val="004632E5"/>
    <w:rsid w:val="00464234"/>
    <w:rsid w:val="004670B9"/>
    <w:rsid w:val="00467CBB"/>
    <w:rsid w:val="00475CF5"/>
    <w:rsid w:val="00477F85"/>
    <w:rsid w:val="00492D2A"/>
    <w:rsid w:val="00493F97"/>
    <w:rsid w:val="004966A7"/>
    <w:rsid w:val="004A51B1"/>
    <w:rsid w:val="004B0F1A"/>
    <w:rsid w:val="004B53F3"/>
    <w:rsid w:val="004C2FD9"/>
    <w:rsid w:val="004D65BC"/>
    <w:rsid w:val="004E74CF"/>
    <w:rsid w:val="004F616C"/>
    <w:rsid w:val="004F75FA"/>
    <w:rsid w:val="0050212F"/>
    <w:rsid w:val="00502FAA"/>
    <w:rsid w:val="00503342"/>
    <w:rsid w:val="005045DB"/>
    <w:rsid w:val="00511477"/>
    <w:rsid w:val="00515FAF"/>
    <w:rsid w:val="00522504"/>
    <w:rsid w:val="00530C7A"/>
    <w:rsid w:val="00545F8F"/>
    <w:rsid w:val="00550178"/>
    <w:rsid w:val="005513BE"/>
    <w:rsid w:val="00556918"/>
    <w:rsid w:val="005569CD"/>
    <w:rsid w:val="0057374D"/>
    <w:rsid w:val="00577825"/>
    <w:rsid w:val="005906E0"/>
    <w:rsid w:val="005918BC"/>
    <w:rsid w:val="00592329"/>
    <w:rsid w:val="00595A75"/>
    <w:rsid w:val="00596135"/>
    <w:rsid w:val="005A05FE"/>
    <w:rsid w:val="005A677D"/>
    <w:rsid w:val="005B3884"/>
    <w:rsid w:val="005C0CD4"/>
    <w:rsid w:val="005C6AFA"/>
    <w:rsid w:val="005D2E4F"/>
    <w:rsid w:val="005D5F61"/>
    <w:rsid w:val="005D7B94"/>
    <w:rsid w:val="005D7DA3"/>
    <w:rsid w:val="005E06C1"/>
    <w:rsid w:val="005E2DDA"/>
    <w:rsid w:val="005E3DD1"/>
    <w:rsid w:val="005E4B04"/>
    <w:rsid w:val="005F1117"/>
    <w:rsid w:val="005F605E"/>
    <w:rsid w:val="00607BE9"/>
    <w:rsid w:val="006107D6"/>
    <w:rsid w:val="00610ECA"/>
    <w:rsid w:val="00614490"/>
    <w:rsid w:val="00621753"/>
    <w:rsid w:val="00624228"/>
    <w:rsid w:val="006244BA"/>
    <w:rsid w:val="0062471F"/>
    <w:rsid w:val="006326EE"/>
    <w:rsid w:val="00633E85"/>
    <w:rsid w:val="00646F96"/>
    <w:rsid w:val="00647037"/>
    <w:rsid w:val="0065172C"/>
    <w:rsid w:val="00651F07"/>
    <w:rsid w:val="00652E07"/>
    <w:rsid w:val="006660A4"/>
    <w:rsid w:val="00667200"/>
    <w:rsid w:val="00671CE9"/>
    <w:rsid w:val="006742E2"/>
    <w:rsid w:val="0067489E"/>
    <w:rsid w:val="00685F1F"/>
    <w:rsid w:val="006878B6"/>
    <w:rsid w:val="0069250A"/>
    <w:rsid w:val="006947E5"/>
    <w:rsid w:val="00696635"/>
    <w:rsid w:val="006A23D3"/>
    <w:rsid w:val="006A3F03"/>
    <w:rsid w:val="006A7AE7"/>
    <w:rsid w:val="006B073F"/>
    <w:rsid w:val="006C0DC5"/>
    <w:rsid w:val="006C147E"/>
    <w:rsid w:val="006C240B"/>
    <w:rsid w:val="006D6F37"/>
    <w:rsid w:val="006F5378"/>
    <w:rsid w:val="0070019B"/>
    <w:rsid w:val="007032C7"/>
    <w:rsid w:val="007034B6"/>
    <w:rsid w:val="007108F0"/>
    <w:rsid w:val="00713263"/>
    <w:rsid w:val="007170EB"/>
    <w:rsid w:val="00723D18"/>
    <w:rsid w:val="0072409D"/>
    <w:rsid w:val="00725CD6"/>
    <w:rsid w:val="00726176"/>
    <w:rsid w:val="0072756E"/>
    <w:rsid w:val="00735791"/>
    <w:rsid w:val="0073579F"/>
    <w:rsid w:val="0074134E"/>
    <w:rsid w:val="007418D9"/>
    <w:rsid w:val="00741D48"/>
    <w:rsid w:val="007428BF"/>
    <w:rsid w:val="007513AE"/>
    <w:rsid w:val="0075175F"/>
    <w:rsid w:val="00756784"/>
    <w:rsid w:val="00757331"/>
    <w:rsid w:val="0076014F"/>
    <w:rsid w:val="00761D10"/>
    <w:rsid w:val="00770A31"/>
    <w:rsid w:val="00776584"/>
    <w:rsid w:val="0077732D"/>
    <w:rsid w:val="007844EF"/>
    <w:rsid w:val="007954EA"/>
    <w:rsid w:val="007A46E2"/>
    <w:rsid w:val="007A6A81"/>
    <w:rsid w:val="007B016F"/>
    <w:rsid w:val="007B2A52"/>
    <w:rsid w:val="007B451B"/>
    <w:rsid w:val="007B4939"/>
    <w:rsid w:val="007C063C"/>
    <w:rsid w:val="007C0E83"/>
    <w:rsid w:val="007D1132"/>
    <w:rsid w:val="007D2485"/>
    <w:rsid w:val="007E05A5"/>
    <w:rsid w:val="007E364A"/>
    <w:rsid w:val="007E79E3"/>
    <w:rsid w:val="007F26FB"/>
    <w:rsid w:val="007F4615"/>
    <w:rsid w:val="00800EE9"/>
    <w:rsid w:val="008035C7"/>
    <w:rsid w:val="008059A1"/>
    <w:rsid w:val="008147A6"/>
    <w:rsid w:val="00815506"/>
    <w:rsid w:val="008214E9"/>
    <w:rsid w:val="00830BE2"/>
    <w:rsid w:val="00832EE8"/>
    <w:rsid w:val="00835156"/>
    <w:rsid w:val="00841565"/>
    <w:rsid w:val="00845A08"/>
    <w:rsid w:val="00854044"/>
    <w:rsid w:val="00854802"/>
    <w:rsid w:val="00856C87"/>
    <w:rsid w:val="00863630"/>
    <w:rsid w:val="00871C82"/>
    <w:rsid w:val="00881EE7"/>
    <w:rsid w:val="0088571A"/>
    <w:rsid w:val="0089445E"/>
    <w:rsid w:val="00894F76"/>
    <w:rsid w:val="008A3279"/>
    <w:rsid w:val="008B02FE"/>
    <w:rsid w:val="008B1B3F"/>
    <w:rsid w:val="008C0C67"/>
    <w:rsid w:val="008C1A95"/>
    <w:rsid w:val="008D2E21"/>
    <w:rsid w:val="008D72E0"/>
    <w:rsid w:val="008D7A44"/>
    <w:rsid w:val="008E2EE7"/>
    <w:rsid w:val="008E3CC8"/>
    <w:rsid w:val="008E5BAD"/>
    <w:rsid w:val="008E68FC"/>
    <w:rsid w:val="00901747"/>
    <w:rsid w:val="00914133"/>
    <w:rsid w:val="00916816"/>
    <w:rsid w:val="00927BA6"/>
    <w:rsid w:val="00934BAA"/>
    <w:rsid w:val="00942739"/>
    <w:rsid w:val="009443D0"/>
    <w:rsid w:val="00954959"/>
    <w:rsid w:val="00956BCC"/>
    <w:rsid w:val="00960F4F"/>
    <w:rsid w:val="00963B37"/>
    <w:rsid w:val="009673AF"/>
    <w:rsid w:val="00970A72"/>
    <w:rsid w:val="00977012"/>
    <w:rsid w:val="00977053"/>
    <w:rsid w:val="009812C0"/>
    <w:rsid w:val="009868C5"/>
    <w:rsid w:val="00995AB2"/>
    <w:rsid w:val="009A2132"/>
    <w:rsid w:val="009A3874"/>
    <w:rsid w:val="009A3A48"/>
    <w:rsid w:val="009B16B1"/>
    <w:rsid w:val="009C129C"/>
    <w:rsid w:val="009C21EC"/>
    <w:rsid w:val="009D11B4"/>
    <w:rsid w:val="009D4084"/>
    <w:rsid w:val="009E38FA"/>
    <w:rsid w:val="009E54AE"/>
    <w:rsid w:val="009F00F2"/>
    <w:rsid w:val="009F054E"/>
    <w:rsid w:val="009F794A"/>
    <w:rsid w:val="00A022C6"/>
    <w:rsid w:val="00A028F0"/>
    <w:rsid w:val="00A07BC8"/>
    <w:rsid w:val="00A1026A"/>
    <w:rsid w:val="00A129D6"/>
    <w:rsid w:val="00A138A1"/>
    <w:rsid w:val="00A15210"/>
    <w:rsid w:val="00A15B4E"/>
    <w:rsid w:val="00A25C09"/>
    <w:rsid w:val="00A30B95"/>
    <w:rsid w:val="00A37356"/>
    <w:rsid w:val="00A72712"/>
    <w:rsid w:val="00A73C1F"/>
    <w:rsid w:val="00A74570"/>
    <w:rsid w:val="00A7509D"/>
    <w:rsid w:val="00A7553C"/>
    <w:rsid w:val="00A90430"/>
    <w:rsid w:val="00A963D0"/>
    <w:rsid w:val="00A96E81"/>
    <w:rsid w:val="00AA17E6"/>
    <w:rsid w:val="00AA1A03"/>
    <w:rsid w:val="00AA6F72"/>
    <w:rsid w:val="00AA76DB"/>
    <w:rsid w:val="00AB2620"/>
    <w:rsid w:val="00AB2AF0"/>
    <w:rsid w:val="00AC06B7"/>
    <w:rsid w:val="00AC077B"/>
    <w:rsid w:val="00AC7C5D"/>
    <w:rsid w:val="00AD1026"/>
    <w:rsid w:val="00AD6819"/>
    <w:rsid w:val="00AE26B1"/>
    <w:rsid w:val="00AE3C0A"/>
    <w:rsid w:val="00AE6556"/>
    <w:rsid w:val="00AF3447"/>
    <w:rsid w:val="00AF6A85"/>
    <w:rsid w:val="00B00D29"/>
    <w:rsid w:val="00B02ED8"/>
    <w:rsid w:val="00B16E49"/>
    <w:rsid w:val="00B27CF2"/>
    <w:rsid w:val="00B31065"/>
    <w:rsid w:val="00B47036"/>
    <w:rsid w:val="00B50972"/>
    <w:rsid w:val="00B50BAB"/>
    <w:rsid w:val="00B5609F"/>
    <w:rsid w:val="00B6377F"/>
    <w:rsid w:val="00B65965"/>
    <w:rsid w:val="00B80AFF"/>
    <w:rsid w:val="00B81AD1"/>
    <w:rsid w:val="00B8507F"/>
    <w:rsid w:val="00B85627"/>
    <w:rsid w:val="00B9271C"/>
    <w:rsid w:val="00B92BF4"/>
    <w:rsid w:val="00B94EFF"/>
    <w:rsid w:val="00B961CB"/>
    <w:rsid w:val="00B96D69"/>
    <w:rsid w:val="00B97D00"/>
    <w:rsid w:val="00BA4618"/>
    <w:rsid w:val="00BB1129"/>
    <w:rsid w:val="00BC2C06"/>
    <w:rsid w:val="00BC5D9C"/>
    <w:rsid w:val="00BD0192"/>
    <w:rsid w:val="00BE01B7"/>
    <w:rsid w:val="00BE188B"/>
    <w:rsid w:val="00BF1112"/>
    <w:rsid w:val="00BF2326"/>
    <w:rsid w:val="00BF23BF"/>
    <w:rsid w:val="00BF5FF6"/>
    <w:rsid w:val="00C026F2"/>
    <w:rsid w:val="00C02734"/>
    <w:rsid w:val="00C14D91"/>
    <w:rsid w:val="00C253E8"/>
    <w:rsid w:val="00C3185B"/>
    <w:rsid w:val="00C31B15"/>
    <w:rsid w:val="00C325A8"/>
    <w:rsid w:val="00C65E53"/>
    <w:rsid w:val="00C6797B"/>
    <w:rsid w:val="00C7370C"/>
    <w:rsid w:val="00C73C61"/>
    <w:rsid w:val="00C816BA"/>
    <w:rsid w:val="00C81F81"/>
    <w:rsid w:val="00C86D84"/>
    <w:rsid w:val="00C87A0A"/>
    <w:rsid w:val="00C91902"/>
    <w:rsid w:val="00CA0AB2"/>
    <w:rsid w:val="00CA17F3"/>
    <w:rsid w:val="00CC7451"/>
    <w:rsid w:val="00CD74D9"/>
    <w:rsid w:val="00CE0B20"/>
    <w:rsid w:val="00CE146C"/>
    <w:rsid w:val="00CE174D"/>
    <w:rsid w:val="00D058A3"/>
    <w:rsid w:val="00D14B65"/>
    <w:rsid w:val="00D2003F"/>
    <w:rsid w:val="00D20FED"/>
    <w:rsid w:val="00D233AB"/>
    <w:rsid w:val="00D27186"/>
    <w:rsid w:val="00D31380"/>
    <w:rsid w:val="00D351C0"/>
    <w:rsid w:val="00D35753"/>
    <w:rsid w:val="00D42BE7"/>
    <w:rsid w:val="00D43C6B"/>
    <w:rsid w:val="00D57A6B"/>
    <w:rsid w:val="00D67487"/>
    <w:rsid w:val="00D764FA"/>
    <w:rsid w:val="00D8254F"/>
    <w:rsid w:val="00D86ABF"/>
    <w:rsid w:val="00D949EA"/>
    <w:rsid w:val="00DA069D"/>
    <w:rsid w:val="00DA31D9"/>
    <w:rsid w:val="00DA7C00"/>
    <w:rsid w:val="00DB2C9B"/>
    <w:rsid w:val="00DC1862"/>
    <w:rsid w:val="00DC1F71"/>
    <w:rsid w:val="00DC5A15"/>
    <w:rsid w:val="00DD18BF"/>
    <w:rsid w:val="00DD2422"/>
    <w:rsid w:val="00DD4FE1"/>
    <w:rsid w:val="00DF50B8"/>
    <w:rsid w:val="00E068BA"/>
    <w:rsid w:val="00E07041"/>
    <w:rsid w:val="00E12252"/>
    <w:rsid w:val="00E13DD1"/>
    <w:rsid w:val="00E16369"/>
    <w:rsid w:val="00E21DDA"/>
    <w:rsid w:val="00E26F8C"/>
    <w:rsid w:val="00E3365E"/>
    <w:rsid w:val="00E346EF"/>
    <w:rsid w:val="00E35DCA"/>
    <w:rsid w:val="00E36EDC"/>
    <w:rsid w:val="00E42AB5"/>
    <w:rsid w:val="00E465D0"/>
    <w:rsid w:val="00E56AE4"/>
    <w:rsid w:val="00E57A4D"/>
    <w:rsid w:val="00E57AD3"/>
    <w:rsid w:val="00E625F4"/>
    <w:rsid w:val="00E720E0"/>
    <w:rsid w:val="00E73485"/>
    <w:rsid w:val="00E75088"/>
    <w:rsid w:val="00E76642"/>
    <w:rsid w:val="00E76F43"/>
    <w:rsid w:val="00E779CD"/>
    <w:rsid w:val="00E81C8C"/>
    <w:rsid w:val="00E86B19"/>
    <w:rsid w:val="00E90ED8"/>
    <w:rsid w:val="00E92F2A"/>
    <w:rsid w:val="00E942FF"/>
    <w:rsid w:val="00E966BC"/>
    <w:rsid w:val="00EA051B"/>
    <w:rsid w:val="00EA1D85"/>
    <w:rsid w:val="00EA69FE"/>
    <w:rsid w:val="00EA7AFD"/>
    <w:rsid w:val="00EB1CD0"/>
    <w:rsid w:val="00EB3D9D"/>
    <w:rsid w:val="00ED46F3"/>
    <w:rsid w:val="00EE2BE1"/>
    <w:rsid w:val="00F00D20"/>
    <w:rsid w:val="00F02E2E"/>
    <w:rsid w:val="00F1005B"/>
    <w:rsid w:val="00F21C9C"/>
    <w:rsid w:val="00F24C4A"/>
    <w:rsid w:val="00F24D3E"/>
    <w:rsid w:val="00F348F7"/>
    <w:rsid w:val="00F37F84"/>
    <w:rsid w:val="00F423FD"/>
    <w:rsid w:val="00F446FB"/>
    <w:rsid w:val="00F63103"/>
    <w:rsid w:val="00F74058"/>
    <w:rsid w:val="00F77CB1"/>
    <w:rsid w:val="00F8043A"/>
    <w:rsid w:val="00F813FC"/>
    <w:rsid w:val="00F8279C"/>
    <w:rsid w:val="00F97D9B"/>
    <w:rsid w:val="00FA06F9"/>
    <w:rsid w:val="00FA522A"/>
    <w:rsid w:val="00FA6B9B"/>
    <w:rsid w:val="00FA7013"/>
    <w:rsid w:val="00FA7044"/>
    <w:rsid w:val="00FB0ECE"/>
    <w:rsid w:val="00FB289D"/>
    <w:rsid w:val="00FC1D15"/>
    <w:rsid w:val="00FC6C91"/>
    <w:rsid w:val="00FD4C23"/>
    <w:rsid w:val="00FE5B7C"/>
    <w:rsid w:val="00FF2724"/>
    <w:rsid w:val="00FF4409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E6FED"/>
  <w15:chartTrackingRefBased/>
  <w15:docId w15:val="{018EDB26-B748-4D28-95F8-57FB81F0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6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26B1"/>
    <w:rPr>
      <w:sz w:val="24"/>
      <w:szCs w:val="24"/>
    </w:rPr>
  </w:style>
  <w:style w:type="paragraph" w:styleId="Footer">
    <w:name w:val="footer"/>
    <w:basedOn w:val="Normal"/>
    <w:link w:val="FooterChar"/>
    <w:rsid w:val="00AE26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26B1"/>
    <w:rPr>
      <w:sz w:val="24"/>
      <w:szCs w:val="24"/>
    </w:rPr>
  </w:style>
  <w:style w:type="paragraph" w:styleId="DocumentMap">
    <w:name w:val="Document Map"/>
    <w:basedOn w:val="Normal"/>
    <w:link w:val="DocumentMapChar"/>
    <w:rsid w:val="002540C3"/>
  </w:style>
  <w:style w:type="character" w:customStyle="1" w:styleId="DocumentMapChar">
    <w:name w:val="Document Map Char"/>
    <w:basedOn w:val="DefaultParagraphFont"/>
    <w:link w:val="DocumentMap"/>
    <w:rsid w:val="002540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47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97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5056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</vt:lpstr>
    </vt:vector>
  </TitlesOfParts>
  <Company>Brigham Young University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subject/>
  <dc:creator>joc2</dc:creator>
  <cp:keywords/>
  <dc:description/>
  <cp:lastModifiedBy>Jared Howland</cp:lastModifiedBy>
  <cp:revision>2</cp:revision>
  <dcterms:created xsi:type="dcterms:W3CDTF">2016-09-21T17:34:00Z</dcterms:created>
  <dcterms:modified xsi:type="dcterms:W3CDTF">2016-09-21T17:34:00Z</dcterms:modified>
</cp:coreProperties>
</file>