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06F55" w14:textId="77777777" w:rsidR="004F3A8F" w:rsidRPr="004F3A8F" w:rsidRDefault="004F3A8F" w:rsidP="004F3A8F">
      <w:pPr>
        <w:rPr>
          <w:rFonts w:ascii="Lato" w:hAnsi="Lato"/>
          <w:b/>
          <w:bCs/>
          <w:sz w:val="24"/>
          <w:szCs w:val="24"/>
        </w:rPr>
      </w:pPr>
      <w:r w:rsidRPr="004F3A8F">
        <w:rPr>
          <w:rFonts w:ascii="Lato" w:hAnsi="Lato"/>
          <w:b/>
          <w:bCs/>
          <w:sz w:val="24"/>
          <w:szCs w:val="24"/>
        </w:rPr>
        <w:t>Balanced Scorecard for the Minnesota Wild</w:t>
      </w:r>
    </w:p>
    <w:p w14:paraId="7DEBC706" w14:textId="05A74A1A" w:rsidR="004F3A8F" w:rsidRPr="004F3A8F" w:rsidRDefault="004F3A8F" w:rsidP="004F3A8F">
      <w:pPr>
        <w:rPr>
          <w:rFonts w:ascii="Lato" w:hAnsi="Lato"/>
          <w:sz w:val="24"/>
          <w:szCs w:val="24"/>
        </w:rPr>
      </w:pPr>
      <w:r w:rsidRPr="004F3A8F">
        <w:rPr>
          <w:rFonts w:ascii="Lato" w:hAnsi="Lato"/>
          <w:b/>
          <w:bCs/>
          <w:sz w:val="24"/>
          <w:szCs w:val="24"/>
        </w:rPr>
        <w:t>Introduction</w:t>
      </w:r>
      <w:r w:rsidR="00726006">
        <w:rPr>
          <w:rFonts w:ascii="Lato" w:hAnsi="Lato"/>
          <w:b/>
          <w:bCs/>
          <w:sz w:val="24"/>
          <w:szCs w:val="24"/>
        </w:rPr>
        <w:t>:</w:t>
      </w:r>
      <w:r w:rsidRPr="004F3A8F">
        <w:rPr>
          <w:rFonts w:ascii="Lato" w:hAnsi="Lato"/>
          <w:sz w:val="24"/>
          <w:szCs w:val="24"/>
        </w:rPr>
        <w:t xml:space="preserve"> </w:t>
      </w:r>
      <w:r w:rsidR="00335580">
        <w:rPr>
          <w:rFonts w:ascii="Lato" w:hAnsi="Lato"/>
          <w:sz w:val="24"/>
          <w:szCs w:val="24"/>
        </w:rPr>
        <w:t>Maintaining alignment between business activities and strategic goals is crucial for success in professional sports' dynamic and competitive world</w:t>
      </w:r>
      <w:r w:rsidR="006145D9" w:rsidRPr="006145D9">
        <w:rPr>
          <w:rFonts w:ascii="Lato" w:hAnsi="Lato"/>
          <w:sz w:val="24"/>
          <w:szCs w:val="24"/>
        </w:rPr>
        <w:t xml:space="preserve">. The Balanced Scorecard (BSC) is a strategic planning and management tool designed to achieve this alignment by improving internal and external communications, monitoring organizational performance, and ensuring that all business activities are directed </w:t>
      </w:r>
      <w:r w:rsidR="000E609A">
        <w:rPr>
          <w:rFonts w:ascii="Lato" w:hAnsi="Lato"/>
          <w:sz w:val="24"/>
          <w:szCs w:val="24"/>
        </w:rPr>
        <w:t>toward</w:t>
      </w:r>
      <w:r w:rsidR="006145D9" w:rsidRPr="006145D9">
        <w:rPr>
          <w:rFonts w:ascii="Lato" w:hAnsi="Lato"/>
          <w:sz w:val="24"/>
          <w:szCs w:val="24"/>
        </w:rPr>
        <w:t xml:space="preserve"> the organization's vision. This paper applies the Balanced Scorecard framework to the Minnesota Wild, a professional ice hockey team in the NHL. By examining the team's background, mission, operations, and how the four quadrants of the BSC apply to its activities, we will illustrate how the Minnesota Wild can strategically manage its performance and achieve its goals.</w:t>
      </w:r>
    </w:p>
    <w:p w14:paraId="593F2564" w14:textId="46520387" w:rsidR="004F3A8F" w:rsidRPr="004F3A8F" w:rsidRDefault="004F3A8F" w:rsidP="004F3A8F">
      <w:pPr>
        <w:rPr>
          <w:rFonts w:ascii="Lato" w:hAnsi="Lato"/>
          <w:sz w:val="24"/>
          <w:szCs w:val="24"/>
        </w:rPr>
      </w:pPr>
      <w:r w:rsidRPr="004F3A8F">
        <w:rPr>
          <w:rFonts w:ascii="Lato" w:hAnsi="Lato"/>
          <w:b/>
          <w:bCs/>
          <w:sz w:val="24"/>
          <w:szCs w:val="24"/>
        </w:rPr>
        <w:t>Company Background and Mission</w:t>
      </w:r>
      <w:r w:rsidR="00726006">
        <w:rPr>
          <w:rFonts w:ascii="Lato" w:hAnsi="Lato"/>
          <w:b/>
          <w:bCs/>
          <w:sz w:val="24"/>
          <w:szCs w:val="24"/>
        </w:rPr>
        <w:t>:</w:t>
      </w:r>
      <w:r w:rsidRPr="004F3A8F">
        <w:rPr>
          <w:rFonts w:ascii="Lato" w:hAnsi="Lato"/>
          <w:sz w:val="24"/>
          <w:szCs w:val="24"/>
        </w:rPr>
        <w:t xml:space="preserve"> </w:t>
      </w:r>
      <w:r w:rsidR="00084375">
        <w:rPr>
          <w:rFonts w:ascii="Lato" w:hAnsi="Lato"/>
          <w:sz w:val="24"/>
          <w:szCs w:val="24"/>
        </w:rPr>
        <w:t>The</w:t>
      </w:r>
      <w:r w:rsidRPr="004F3A8F">
        <w:rPr>
          <w:rFonts w:ascii="Lato" w:hAnsi="Lato"/>
          <w:sz w:val="24"/>
          <w:szCs w:val="24"/>
        </w:rPr>
        <w:t xml:space="preserve"> Minnesota Wild is a professional ice hockey team based in Saint Paul, Minnesota. </w:t>
      </w:r>
      <w:r w:rsidR="00384461">
        <w:rPr>
          <w:rFonts w:ascii="Lato" w:hAnsi="Lato"/>
          <w:sz w:val="24"/>
          <w:szCs w:val="24"/>
        </w:rPr>
        <w:t>Established in 2000, it</w:t>
      </w:r>
      <w:r w:rsidR="002D278E">
        <w:rPr>
          <w:rFonts w:ascii="Lato" w:hAnsi="Lato"/>
          <w:sz w:val="24"/>
          <w:szCs w:val="24"/>
        </w:rPr>
        <w:t xml:space="preserve"> is a member of the Central Division of the Western Conference in the NHL. The team's original owners included a group of local investors, and the current owner is Craig Leipold. The Minnesota Wild's mission</w:t>
      </w:r>
      <w:r w:rsidRPr="004F3A8F">
        <w:rPr>
          <w:rFonts w:ascii="Lato" w:hAnsi="Lato"/>
          <w:sz w:val="24"/>
          <w:szCs w:val="24"/>
        </w:rPr>
        <w:t xml:space="preserve"> is to provide high-quality entertainment through professional ice hockey, promote </w:t>
      </w:r>
      <w:proofErr w:type="gramStart"/>
      <w:r w:rsidRPr="004F3A8F">
        <w:rPr>
          <w:rFonts w:ascii="Lato" w:hAnsi="Lato"/>
          <w:sz w:val="24"/>
          <w:szCs w:val="24"/>
        </w:rPr>
        <w:t>the sport</w:t>
      </w:r>
      <w:proofErr w:type="gramEnd"/>
      <w:r w:rsidRPr="004F3A8F">
        <w:rPr>
          <w:rFonts w:ascii="Lato" w:hAnsi="Lato"/>
          <w:sz w:val="24"/>
          <w:szCs w:val="24"/>
        </w:rPr>
        <w:t xml:space="preserve"> in the community, and contribute positively to the local area.</w:t>
      </w:r>
    </w:p>
    <w:p w14:paraId="668A630A" w14:textId="0CF3B63B" w:rsidR="004F3A8F" w:rsidRPr="004F3A8F" w:rsidRDefault="004F3A8F" w:rsidP="004F3A8F">
      <w:pPr>
        <w:rPr>
          <w:rFonts w:ascii="Lato" w:hAnsi="Lato"/>
          <w:sz w:val="24"/>
          <w:szCs w:val="24"/>
        </w:rPr>
      </w:pPr>
      <w:r w:rsidRPr="004F3A8F">
        <w:rPr>
          <w:rFonts w:ascii="Lato" w:hAnsi="Lato"/>
          <w:b/>
          <w:bCs/>
          <w:sz w:val="24"/>
          <w:szCs w:val="24"/>
        </w:rPr>
        <w:t>Operations and Market Benefits</w:t>
      </w:r>
      <w:r w:rsidR="004318B2">
        <w:rPr>
          <w:rFonts w:ascii="Lato" w:hAnsi="Lato"/>
          <w:b/>
          <w:bCs/>
          <w:sz w:val="24"/>
          <w:szCs w:val="24"/>
        </w:rPr>
        <w:t>:</w:t>
      </w:r>
      <w:r w:rsidRPr="004F3A8F">
        <w:rPr>
          <w:rFonts w:ascii="Lato" w:hAnsi="Lato"/>
          <w:sz w:val="24"/>
          <w:szCs w:val="24"/>
        </w:rPr>
        <w:t xml:space="preserve"> </w:t>
      </w:r>
      <w:r w:rsidR="00335580" w:rsidRPr="004F3A8F">
        <w:rPr>
          <w:rFonts w:ascii="Lato" w:hAnsi="Lato"/>
          <w:sz w:val="24"/>
          <w:szCs w:val="24"/>
        </w:rPr>
        <w:t>Minnesota</w:t>
      </w:r>
      <w:r w:rsidRPr="004F3A8F">
        <w:rPr>
          <w:rFonts w:ascii="Lato" w:hAnsi="Lato"/>
          <w:sz w:val="24"/>
          <w:szCs w:val="24"/>
        </w:rPr>
        <w:t xml:space="preserve"> Wild engages in various activities to achieve its mission. The team plays competitive hockey, participates in community outreach programs, and provides entertainment for its fans. The benefits to the market include offering a source of local pride and entertainment, promoting physical activity and sportsmanship, and contributing to the local economy through job creation and tourism.</w:t>
      </w:r>
    </w:p>
    <w:p w14:paraId="66065E2F" w14:textId="77777777" w:rsidR="004F3A8F" w:rsidRPr="004F3A8F" w:rsidRDefault="004F3A8F" w:rsidP="004F3A8F">
      <w:pPr>
        <w:rPr>
          <w:rFonts w:ascii="Lato" w:hAnsi="Lato"/>
          <w:sz w:val="24"/>
          <w:szCs w:val="24"/>
        </w:rPr>
      </w:pPr>
      <w:r w:rsidRPr="004F3A8F">
        <w:rPr>
          <w:rFonts w:ascii="Lato" w:hAnsi="Lato"/>
          <w:b/>
          <w:bCs/>
          <w:sz w:val="24"/>
          <w:szCs w:val="24"/>
        </w:rPr>
        <w:t>Balanced Scorecard Application</w:t>
      </w:r>
    </w:p>
    <w:p w14:paraId="1D580BF7" w14:textId="77777777" w:rsidR="004F3A8F" w:rsidRPr="004F3A8F" w:rsidRDefault="004F3A8F" w:rsidP="004F3A8F">
      <w:pPr>
        <w:numPr>
          <w:ilvl w:val="0"/>
          <w:numId w:val="1"/>
        </w:numPr>
        <w:rPr>
          <w:rFonts w:ascii="Lato" w:hAnsi="Lato"/>
          <w:sz w:val="24"/>
          <w:szCs w:val="24"/>
        </w:rPr>
      </w:pPr>
      <w:r w:rsidRPr="004F3A8F">
        <w:rPr>
          <w:rFonts w:ascii="Lato" w:hAnsi="Lato"/>
          <w:b/>
          <w:bCs/>
          <w:sz w:val="24"/>
          <w:szCs w:val="24"/>
        </w:rPr>
        <w:t>Financial Perspective</w:t>
      </w:r>
    </w:p>
    <w:p w14:paraId="55CFC2DE" w14:textId="7D1FF5F0" w:rsidR="004F3A8F" w:rsidRPr="004F3A8F" w:rsidRDefault="004F3A8F" w:rsidP="004F3A8F">
      <w:pPr>
        <w:numPr>
          <w:ilvl w:val="1"/>
          <w:numId w:val="1"/>
        </w:numPr>
        <w:rPr>
          <w:rFonts w:ascii="Lato" w:hAnsi="Lato"/>
          <w:sz w:val="24"/>
          <w:szCs w:val="24"/>
        </w:rPr>
      </w:pPr>
      <w:r w:rsidRPr="004F3A8F">
        <w:rPr>
          <w:rFonts w:ascii="Lato" w:hAnsi="Lato"/>
          <w:b/>
          <w:bCs/>
          <w:sz w:val="24"/>
          <w:szCs w:val="24"/>
        </w:rPr>
        <w:t>Revenue Growth:</w:t>
      </w:r>
      <w:r w:rsidRPr="004F3A8F">
        <w:rPr>
          <w:rFonts w:ascii="Lato" w:hAnsi="Lato"/>
          <w:sz w:val="24"/>
          <w:szCs w:val="24"/>
        </w:rPr>
        <w:t xml:space="preserve"> The team focuses on increasing revenue through ticket sales, merchandise, broadcasting rights, and sponsorship deals. Effective financial management ensures </w:t>
      </w:r>
      <w:r w:rsidR="00717426">
        <w:rPr>
          <w:rFonts w:ascii="Lato" w:hAnsi="Lato"/>
          <w:sz w:val="24"/>
          <w:szCs w:val="24"/>
        </w:rPr>
        <w:t xml:space="preserve">that </w:t>
      </w:r>
      <w:r w:rsidRPr="004F3A8F">
        <w:rPr>
          <w:rFonts w:ascii="Lato" w:hAnsi="Lato"/>
          <w:sz w:val="24"/>
          <w:szCs w:val="24"/>
        </w:rPr>
        <w:t>the team remains competitive and profitable.</w:t>
      </w:r>
    </w:p>
    <w:p w14:paraId="1E73AB12" w14:textId="77777777" w:rsidR="004F3A8F" w:rsidRPr="004F3A8F" w:rsidRDefault="004F3A8F" w:rsidP="004F3A8F">
      <w:pPr>
        <w:numPr>
          <w:ilvl w:val="1"/>
          <w:numId w:val="1"/>
        </w:numPr>
        <w:rPr>
          <w:rFonts w:ascii="Lato" w:hAnsi="Lato"/>
          <w:sz w:val="24"/>
          <w:szCs w:val="24"/>
        </w:rPr>
      </w:pPr>
      <w:r w:rsidRPr="004F3A8F">
        <w:rPr>
          <w:rFonts w:ascii="Lato" w:hAnsi="Lato"/>
          <w:b/>
          <w:bCs/>
          <w:sz w:val="24"/>
          <w:szCs w:val="24"/>
        </w:rPr>
        <w:t>Cost Management:</w:t>
      </w:r>
      <w:r w:rsidRPr="004F3A8F">
        <w:rPr>
          <w:rFonts w:ascii="Lato" w:hAnsi="Lato"/>
          <w:sz w:val="24"/>
          <w:szCs w:val="24"/>
        </w:rPr>
        <w:t xml:space="preserve"> Controlling operational costs, including player salaries, training facilities, and travel expenses, is crucial for maintaining financial health.</w:t>
      </w:r>
    </w:p>
    <w:p w14:paraId="5676A502" w14:textId="77777777" w:rsidR="004F3A8F" w:rsidRPr="004F3A8F" w:rsidRDefault="004F3A8F" w:rsidP="004F3A8F">
      <w:pPr>
        <w:numPr>
          <w:ilvl w:val="0"/>
          <w:numId w:val="1"/>
        </w:numPr>
        <w:rPr>
          <w:rFonts w:ascii="Lato" w:hAnsi="Lato"/>
          <w:sz w:val="24"/>
          <w:szCs w:val="24"/>
        </w:rPr>
      </w:pPr>
      <w:r w:rsidRPr="004F3A8F">
        <w:rPr>
          <w:rFonts w:ascii="Lato" w:hAnsi="Lato"/>
          <w:b/>
          <w:bCs/>
          <w:sz w:val="24"/>
          <w:szCs w:val="24"/>
        </w:rPr>
        <w:t>Customer Perspective</w:t>
      </w:r>
    </w:p>
    <w:p w14:paraId="631A849B" w14:textId="178E6AC1" w:rsidR="00D16984" w:rsidRDefault="009576DE" w:rsidP="00721520">
      <w:pPr>
        <w:pStyle w:val="ListParagraph"/>
        <w:numPr>
          <w:ilvl w:val="0"/>
          <w:numId w:val="3"/>
        </w:numPr>
        <w:rPr>
          <w:rFonts w:ascii="Lato" w:hAnsi="Lato"/>
          <w:sz w:val="24"/>
          <w:szCs w:val="24"/>
        </w:rPr>
      </w:pPr>
      <w:r w:rsidRPr="00721520">
        <w:rPr>
          <w:rFonts w:ascii="Lato" w:hAnsi="Lato"/>
          <w:sz w:val="24"/>
          <w:szCs w:val="24"/>
        </w:rPr>
        <w:t xml:space="preserve">Fan engagement and customer satisfaction are critical to the </w:t>
      </w:r>
      <w:r w:rsidR="00721520">
        <w:rPr>
          <w:rFonts w:ascii="Lato" w:hAnsi="Lato"/>
          <w:sz w:val="24"/>
          <w:szCs w:val="24"/>
        </w:rPr>
        <w:t>Minnesota Wild's success</w:t>
      </w:r>
      <w:r w:rsidRPr="00721520">
        <w:rPr>
          <w:rFonts w:ascii="Lato" w:hAnsi="Lato"/>
          <w:sz w:val="24"/>
          <w:szCs w:val="24"/>
        </w:rPr>
        <w:t xml:space="preserve">. Building and maintaining a loyal fan base is essential for the team's long-term success. According to a recent survey conducted among season ticket holders, 85% of respondents reported high satisfaction with </w:t>
      </w:r>
      <w:r w:rsidRPr="00721520">
        <w:rPr>
          <w:rFonts w:ascii="Lato" w:hAnsi="Lato"/>
          <w:sz w:val="24"/>
          <w:szCs w:val="24"/>
        </w:rPr>
        <w:lastRenderedPageBreak/>
        <w:t xml:space="preserve">their game-day experience, citing the exciting gameplay and the welcoming atmosphere of the Xcel Energy Center as </w:t>
      </w:r>
      <w:r w:rsidR="003C06DC">
        <w:rPr>
          <w:rFonts w:ascii="Lato" w:hAnsi="Lato"/>
          <w:sz w:val="24"/>
          <w:szCs w:val="24"/>
        </w:rPr>
        <w:t>crucial</w:t>
      </w:r>
      <w:r w:rsidRPr="00721520">
        <w:rPr>
          <w:rFonts w:ascii="Lato" w:hAnsi="Lato"/>
          <w:sz w:val="24"/>
          <w:szCs w:val="24"/>
        </w:rPr>
        <w:t xml:space="preserve"> factors.</w:t>
      </w:r>
    </w:p>
    <w:p w14:paraId="32CA1BB3" w14:textId="77777777" w:rsidR="00D16984" w:rsidRDefault="00D16984" w:rsidP="00D16984">
      <w:pPr>
        <w:pStyle w:val="ListParagraph"/>
        <w:ind w:left="1440"/>
        <w:rPr>
          <w:rFonts w:ascii="Lato" w:hAnsi="Lato"/>
          <w:sz w:val="24"/>
          <w:szCs w:val="24"/>
        </w:rPr>
      </w:pPr>
    </w:p>
    <w:p w14:paraId="2DB2B898" w14:textId="77777777" w:rsidR="00D16984" w:rsidRDefault="009576DE" w:rsidP="00D16984">
      <w:pPr>
        <w:pStyle w:val="ListParagraph"/>
        <w:numPr>
          <w:ilvl w:val="0"/>
          <w:numId w:val="3"/>
        </w:numPr>
        <w:rPr>
          <w:rFonts w:ascii="Lato" w:hAnsi="Lato"/>
          <w:sz w:val="24"/>
          <w:szCs w:val="24"/>
        </w:rPr>
      </w:pPr>
      <w:r w:rsidRPr="00D16984">
        <w:rPr>
          <w:rFonts w:ascii="Lato" w:hAnsi="Lato"/>
          <w:sz w:val="24"/>
          <w:szCs w:val="24"/>
        </w:rPr>
        <w:t>The team actively engages with fans through various channels, including social media, community events, and interactive game-day experiences. For instance, social media interactions have seen a 20% increase over the past year, with fans frequently participating in online contests, polls, and live Q&amp;A sessions with players. A notable 90% of survey respondents indicated that they feel more connected to the team through these digital interactions.</w:t>
      </w:r>
    </w:p>
    <w:p w14:paraId="3C607935" w14:textId="77777777" w:rsidR="00D16984" w:rsidRPr="00D16984" w:rsidRDefault="00D16984" w:rsidP="00D16984">
      <w:pPr>
        <w:pStyle w:val="ListParagraph"/>
        <w:rPr>
          <w:rFonts w:ascii="Lato" w:hAnsi="Lato"/>
          <w:sz w:val="24"/>
          <w:szCs w:val="24"/>
        </w:rPr>
      </w:pPr>
    </w:p>
    <w:p w14:paraId="0560C008" w14:textId="77777777" w:rsidR="00ED2DEA" w:rsidRDefault="009576DE" w:rsidP="00D16984">
      <w:pPr>
        <w:pStyle w:val="ListParagraph"/>
        <w:numPr>
          <w:ilvl w:val="0"/>
          <w:numId w:val="3"/>
        </w:numPr>
        <w:rPr>
          <w:rFonts w:ascii="Lato" w:hAnsi="Lato"/>
          <w:sz w:val="24"/>
          <w:szCs w:val="24"/>
        </w:rPr>
      </w:pPr>
      <w:r w:rsidRPr="00D16984">
        <w:rPr>
          <w:rFonts w:ascii="Lato" w:hAnsi="Lato"/>
          <w:sz w:val="24"/>
          <w:szCs w:val="24"/>
        </w:rPr>
        <w:t>In addition to digital engagement, the Minnesota Wild prioritizes in-person fan experiences. Community outreach programs, such as youth hockey clinics and charity events, have received positive feedback, with 75% of participants expressing that these initiatives have deepened their loyalty to the team.</w:t>
      </w:r>
    </w:p>
    <w:p w14:paraId="6BB3A03C" w14:textId="77777777" w:rsidR="00ED2DEA" w:rsidRPr="00ED2DEA" w:rsidRDefault="00ED2DEA" w:rsidP="00ED2DEA">
      <w:pPr>
        <w:pStyle w:val="ListParagraph"/>
        <w:rPr>
          <w:rFonts w:ascii="Lato" w:hAnsi="Lato"/>
          <w:sz w:val="24"/>
          <w:szCs w:val="24"/>
        </w:rPr>
      </w:pPr>
    </w:p>
    <w:p w14:paraId="07236969" w14:textId="1C30C2AF" w:rsidR="00ED2DEA" w:rsidRDefault="009576DE" w:rsidP="00D16984">
      <w:pPr>
        <w:pStyle w:val="ListParagraph"/>
        <w:numPr>
          <w:ilvl w:val="0"/>
          <w:numId w:val="3"/>
        </w:numPr>
        <w:rPr>
          <w:rFonts w:ascii="Lato" w:hAnsi="Lato"/>
          <w:sz w:val="24"/>
          <w:szCs w:val="24"/>
        </w:rPr>
      </w:pPr>
      <w:r w:rsidRPr="00D16984">
        <w:rPr>
          <w:rFonts w:ascii="Lato" w:hAnsi="Lato"/>
          <w:sz w:val="24"/>
          <w:szCs w:val="24"/>
        </w:rPr>
        <w:t>Customer satisfaction extends beyond engagement to the overall quality of the entertainment experience. The team has invested in upgrading facilities at the Xcel Energy Center, including more comfortable seating and enhanced food and beverage options. These improvements have resulted in a 15% increase in positive reviews regarding the venue's amenities. Furthermore, 88% of attendees surveyed rated the arena</w:t>
      </w:r>
      <w:r w:rsidR="00384461">
        <w:rPr>
          <w:rFonts w:ascii="Lato" w:hAnsi="Lato"/>
          <w:sz w:val="24"/>
          <w:szCs w:val="24"/>
        </w:rPr>
        <w:t>'</w:t>
      </w:r>
      <w:r w:rsidRPr="00D16984">
        <w:rPr>
          <w:rFonts w:ascii="Lato" w:hAnsi="Lato"/>
          <w:sz w:val="24"/>
          <w:szCs w:val="24"/>
        </w:rPr>
        <w:t>s cleanliness and safety measures as excellent, reinforcing their decision to attend more games.</w:t>
      </w:r>
    </w:p>
    <w:p w14:paraId="748F88A1" w14:textId="77777777" w:rsidR="00ED2DEA" w:rsidRPr="00ED2DEA" w:rsidRDefault="00ED2DEA" w:rsidP="00ED2DEA">
      <w:pPr>
        <w:pStyle w:val="ListParagraph"/>
        <w:rPr>
          <w:rFonts w:ascii="Lato" w:hAnsi="Lato"/>
          <w:sz w:val="24"/>
          <w:szCs w:val="24"/>
        </w:rPr>
      </w:pPr>
    </w:p>
    <w:p w14:paraId="266BD83A" w14:textId="5F7C74B3" w:rsidR="009576DE" w:rsidRPr="00D16984" w:rsidRDefault="009576DE" w:rsidP="00D16984">
      <w:pPr>
        <w:pStyle w:val="ListParagraph"/>
        <w:numPr>
          <w:ilvl w:val="0"/>
          <w:numId w:val="3"/>
        </w:numPr>
        <w:rPr>
          <w:rFonts w:ascii="Lato" w:hAnsi="Lato"/>
          <w:sz w:val="24"/>
          <w:szCs w:val="24"/>
        </w:rPr>
      </w:pPr>
      <w:r w:rsidRPr="00D16984">
        <w:rPr>
          <w:rFonts w:ascii="Lato" w:hAnsi="Lato"/>
          <w:sz w:val="24"/>
          <w:szCs w:val="24"/>
        </w:rPr>
        <w:t xml:space="preserve">By continuously seeking and responding to fan feedback, the Minnesota Wild ensures that it meets and exceeds the expectations of its dedicated supporters, fostering a </w:t>
      </w:r>
      <w:r w:rsidR="003C06DC">
        <w:rPr>
          <w:rFonts w:ascii="Lato" w:hAnsi="Lato"/>
          <w:sz w:val="24"/>
          <w:szCs w:val="24"/>
        </w:rPr>
        <w:t>robust and</w:t>
      </w:r>
      <w:r w:rsidRPr="00D16984">
        <w:rPr>
          <w:rFonts w:ascii="Lato" w:hAnsi="Lato"/>
          <w:sz w:val="24"/>
          <w:szCs w:val="24"/>
        </w:rPr>
        <w:t xml:space="preserve"> loyal fan base and enhancing the overall fan experience.</w:t>
      </w:r>
    </w:p>
    <w:p w14:paraId="70FEBB42" w14:textId="77777777" w:rsidR="004F3A8F" w:rsidRPr="004F3A8F" w:rsidRDefault="004F3A8F" w:rsidP="004F3A8F">
      <w:pPr>
        <w:numPr>
          <w:ilvl w:val="0"/>
          <w:numId w:val="1"/>
        </w:numPr>
        <w:rPr>
          <w:rFonts w:ascii="Lato" w:hAnsi="Lato"/>
          <w:sz w:val="24"/>
          <w:szCs w:val="24"/>
        </w:rPr>
      </w:pPr>
      <w:r w:rsidRPr="004F3A8F">
        <w:rPr>
          <w:rFonts w:ascii="Lato" w:hAnsi="Lato"/>
          <w:b/>
          <w:bCs/>
          <w:sz w:val="24"/>
          <w:szCs w:val="24"/>
        </w:rPr>
        <w:t>Internal Business Processes Perspective</w:t>
      </w:r>
    </w:p>
    <w:p w14:paraId="7762BD99" w14:textId="77777777" w:rsidR="004F3A8F" w:rsidRPr="004F3A8F" w:rsidRDefault="004F3A8F" w:rsidP="004F3A8F">
      <w:pPr>
        <w:numPr>
          <w:ilvl w:val="1"/>
          <w:numId w:val="1"/>
        </w:numPr>
        <w:rPr>
          <w:rFonts w:ascii="Lato" w:hAnsi="Lato"/>
          <w:sz w:val="24"/>
          <w:szCs w:val="24"/>
        </w:rPr>
      </w:pPr>
      <w:r w:rsidRPr="004F3A8F">
        <w:rPr>
          <w:rFonts w:ascii="Lato" w:hAnsi="Lato"/>
          <w:b/>
          <w:bCs/>
          <w:sz w:val="24"/>
          <w:szCs w:val="24"/>
        </w:rPr>
        <w:t>Operational Efficiency:</w:t>
      </w:r>
      <w:r w:rsidRPr="004F3A8F">
        <w:rPr>
          <w:rFonts w:ascii="Lato" w:hAnsi="Lato"/>
          <w:sz w:val="24"/>
          <w:szCs w:val="24"/>
        </w:rPr>
        <w:t xml:space="preserve"> Streamlining processes, such as ticketing and merchandise sales, ensures smooth operations. Efficient training and development programs for players and staff also contribute to success on the ice.</w:t>
      </w:r>
    </w:p>
    <w:p w14:paraId="221082B5" w14:textId="609CBB8D" w:rsidR="004F3A8F" w:rsidRPr="004F3A8F" w:rsidRDefault="004F3A8F" w:rsidP="004F3A8F">
      <w:pPr>
        <w:numPr>
          <w:ilvl w:val="1"/>
          <w:numId w:val="1"/>
        </w:numPr>
        <w:rPr>
          <w:rFonts w:ascii="Lato" w:hAnsi="Lato"/>
          <w:sz w:val="24"/>
          <w:szCs w:val="24"/>
        </w:rPr>
      </w:pPr>
      <w:r w:rsidRPr="004F3A8F">
        <w:rPr>
          <w:rFonts w:ascii="Lato" w:hAnsi="Lato"/>
          <w:b/>
          <w:bCs/>
          <w:sz w:val="24"/>
          <w:szCs w:val="24"/>
        </w:rPr>
        <w:t>Innovation:</w:t>
      </w:r>
      <w:r w:rsidRPr="004F3A8F">
        <w:rPr>
          <w:rFonts w:ascii="Lato" w:hAnsi="Lato"/>
          <w:sz w:val="24"/>
          <w:szCs w:val="24"/>
        </w:rPr>
        <w:t xml:space="preserve"> Continuously improving game strategies, player development programs, and fan engagement methods keep the team competitive and relevant.</w:t>
      </w:r>
    </w:p>
    <w:p w14:paraId="6E73116C" w14:textId="77777777" w:rsidR="004F3A8F" w:rsidRPr="004F3A8F" w:rsidRDefault="004F3A8F" w:rsidP="004F3A8F">
      <w:pPr>
        <w:numPr>
          <w:ilvl w:val="0"/>
          <w:numId w:val="1"/>
        </w:numPr>
        <w:rPr>
          <w:rFonts w:ascii="Lato" w:hAnsi="Lato"/>
          <w:sz w:val="24"/>
          <w:szCs w:val="24"/>
        </w:rPr>
      </w:pPr>
      <w:r w:rsidRPr="004F3A8F">
        <w:rPr>
          <w:rFonts w:ascii="Lato" w:hAnsi="Lato"/>
          <w:b/>
          <w:bCs/>
          <w:sz w:val="24"/>
          <w:szCs w:val="24"/>
        </w:rPr>
        <w:t>Learning and Growth Perspective</w:t>
      </w:r>
    </w:p>
    <w:p w14:paraId="4F705ADD" w14:textId="1814D5FF" w:rsidR="004F3A8F" w:rsidRPr="004F3A8F" w:rsidRDefault="004F3A8F" w:rsidP="004F3A8F">
      <w:pPr>
        <w:numPr>
          <w:ilvl w:val="1"/>
          <w:numId w:val="1"/>
        </w:numPr>
        <w:rPr>
          <w:rFonts w:ascii="Lato" w:hAnsi="Lato"/>
          <w:sz w:val="24"/>
          <w:szCs w:val="24"/>
        </w:rPr>
      </w:pPr>
      <w:r w:rsidRPr="004F3A8F">
        <w:rPr>
          <w:rFonts w:ascii="Lato" w:hAnsi="Lato"/>
          <w:b/>
          <w:bCs/>
          <w:sz w:val="24"/>
          <w:szCs w:val="24"/>
        </w:rPr>
        <w:lastRenderedPageBreak/>
        <w:t>Employee Development:</w:t>
      </w:r>
      <w:r w:rsidRPr="004F3A8F">
        <w:rPr>
          <w:rFonts w:ascii="Lato" w:hAnsi="Lato"/>
          <w:sz w:val="24"/>
          <w:szCs w:val="24"/>
        </w:rPr>
        <w:t xml:space="preserve"> Investing in </w:t>
      </w:r>
      <w:r w:rsidR="00FD59CA">
        <w:rPr>
          <w:rFonts w:ascii="Lato" w:hAnsi="Lato"/>
          <w:sz w:val="24"/>
          <w:szCs w:val="24"/>
        </w:rPr>
        <w:t>developing</w:t>
      </w:r>
      <w:r w:rsidRPr="004F3A8F">
        <w:rPr>
          <w:rFonts w:ascii="Lato" w:hAnsi="Lato"/>
          <w:sz w:val="24"/>
          <w:szCs w:val="24"/>
        </w:rPr>
        <w:t xml:space="preserve"> players, coaches, and staff ensures continuous improvement and adaptability. Training programs and career development opportunities are essential.</w:t>
      </w:r>
    </w:p>
    <w:p w14:paraId="245AA93A" w14:textId="72624E8E" w:rsidR="004F3A8F" w:rsidRPr="004F3A8F" w:rsidRDefault="004F3A8F" w:rsidP="004F3A8F">
      <w:pPr>
        <w:numPr>
          <w:ilvl w:val="1"/>
          <w:numId w:val="1"/>
        </w:numPr>
        <w:rPr>
          <w:rFonts w:ascii="Lato" w:hAnsi="Lato"/>
          <w:sz w:val="24"/>
          <w:szCs w:val="24"/>
        </w:rPr>
      </w:pPr>
      <w:r w:rsidRPr="004F3A8F">
        <w:rPr>
          <w:rFonts w:ascii="Lato" w:hAnsi="Lato"/>
          <w:b/>
          <w:bCs/>
          <w:sz w:val="24"/>
          <w:szCs w:val="24"/>
        </w:rPr>
        <w:t>Organizational Culture:</w:t>
      </w:r>
      <w:r w:rsidRPr="004F3A8F">
        <w:rPr>
          <w:rFonts w:ascii="Lato" w:hAnsi="Lato"/>
          <w:sz w:val="24"/>
          <w:szCs w:val="24"/>
        </w:rPr>
        <w:t xml:space="preserve"> Fostering a positive and inclusive culture helps attract and retain talent. Emphasizing teamwork, sportsmanship, and community involvement aligns with the team's mission and values.</w:t>
      </w:r>
    </w:p>
    <w:p w14:paraId="4ED4889E" w14:textId="77777777" w:rsidR="00572DEA" w:rsidRDefault="00572DEA" w:rsidP="004F3A8F">
      <w:pPr>
        <w:rPr>
          <w:rFonts w:ascii="Lato" w:hAnsi="Lato"/>
          <w:b/>
          <w:bCs/>
          <w:sz w:val="24"/>
          <w:szCs w:val="24"/>
        </w:rPr>
      </w:pPr>
    </w:p>
    <w:p w14:paraId="451AE0D9" w14:textId="30CD4B75" w:rsidR="004F3A8F" w:rsidRDefault="004F3A8F" w:rsidP="004F3A8F">
      <w:pPr>
        <w:rPr>
          <w:rFonts w:ascii="Lato" w:hAnsi="Lato"/>
          <w:sz w:val="24"/>
          <w:szCs w:val="24"/>
        </w:rPr>
      </w:pPr>
      <w:r w:rsidRPr="004F3A8F">
        <w:rPr>
          <w:rFonts w:ascii="Lato" w:hAnsi="Lato"/>
          <w:b/>
          <w:bCs/>
          <w:sz w:val="24"/>
          <w:szCs w:val="24"/>
        </w:rPr>
        <w:t>Conclusion</w:t>
      </w:r>
      <w:r w:rsidRPr="004F3A8F">
        <w:rPr>
          <w:rFonts w:ascii="Lato" w:hAnsi="Lato"/>
          <w:sz w:val="24"/>
          <w:szCs w:val="24"/>
        </w:rPr>
        <w:t xml:space="preserve"> The Minnesota Wild's application of the Balanced Scorecard demonstrates its commitment to financial stability, customer satisfaction, operational excellence, and continuous growth. By aligning its activities with the BSC framework, the team can effectively manage its performance and achieve its strategic objectives. The Minnesota Wild not only contributes to the local economy but also provides a source of pride and entertainment for the community, showcasing the multifaceted benefits of professional sports organizations.</w:t>
      </w:r>
    </w:p>
    <w:p w14:paraId="4E8D757F" w14:textId="77777777" w:rsidR="002D2EAC" w:rsidRPr="004F3A8F" w:rsidRDefault="002D2EAC" w:rsidP="004F3A8F">
      <w:pPr>
        <w:rPr>
          <w:rFonts w:ascii="Lato" w:hAnsi="Lato"/>
          <w:sz w:val="24"/>
          <w:szCs w:val="24"/>
        </w:rPr>
      </w:pPr>
    </w:p>
    <w:p w14:paraId="63B99487" w14:textId="77777777" w:rsidR="00CF4E48" w:rsidRPr="002C23A0" w:rsidRDefault="00CF4E48" w:rsidP="00CF4E48">
      <w:r w:rsidRPr="002C23A0">
        <w:rPr>
          <w:b/>
          <w:bCs/>
        </w:rPr>
        <w:t>Balanced Scorecard Matrix for the Minnesota Wild</w:t>
      </w:r>
    </w:p>
    <w:tbl>
      <w:tblPr>
        <w:tblW w:w="9403" w:type="dxa"/>
        <w:tblCellSpacing w:w="15" w:type="dxa"/>
        <w:shd w:val="clear" w:color="auto" w:fill="212121"/>
        <w:tblCellMar>
          <w:top w:w="15" w:type="dxa"/>
          <w:left w:w="15" w:type="dxa"/>
          <w:bottom w:w="15" w:type="dxa"/>
          <w:right w:w="15" w:type="dxa"/>
        </w:tblCellMar>
        <w:tblLook w:val="0620" w:firstRow="1" w:lastRow="0" w:firstColumn="0" w:lastColumn="0" w:noHBand="1" w:noVBand="1"/>
      </w:tblPr>
      <w:tblGrid>
        <w:gridCol w:w="1427"/>
        <w:gridCol w:w="1531"/>
        <w:gridCol w:w="1942"/>
        <w:gridCol w:w="2087"/>
        <w:gridCol w:w="2416"/>
      </w:tblGrid>
      <w:tr w:rsidR="002D2EAC" w:rsidRPr="002C23A0" w14:paraId="3384D554" w14:textId="77777777" w:rsidTr="009017DC">
        <w:trPr>
          <w:trHeight w:val="753"/>
          <w:tblHeader/>
          <w:tblCellSpacing w:w="15" w:type="dxa"/>
        </w:trPr>
        <w:tc>
          <w:tcPr>
            <w:tcW w:w="0" w:type="auto"/>
            <w:shd w:val="clear" w:color="auto" w:fill="212121"/>
            <w:vAlign w:val="bottom"/>
            <w:hideMark/>
          </w:tcPr>
          <w:p w14:paraId="6183F26E" w14:textId="77777777" w:rsidR="00CF4E48" w:rsidRPr="002C23A0" w:rsidRDefault="00CF4E48" w:rsidP="00D83FF7">
            <w:pPr>
              <w:rPr>
                <w:b/>
                <w:bCs/>
              </w:rPr>
            </w:pPr>
            <w:r w:rsidRPr="002C23A0">
              <w:rPr>
                <w:b/>
                <w:bCs/>
              </w:rPr>
              <w:t>Perspective</w:t>
            </w:r>
          </w:p>
        </w:tc>
        <w:tc>
          <w:tcPr>
            <w:tcW w:w="0" w:type="auto"/>
            <w:shd w:val="clear" w:color="auto" w:fill="212121"/>
            <w:vAlign w:val="bottom"/>
            <w:hideMark/>
          </w:tcPr>
          <w:p w14:paraId="1DF85BAD" w14:textId="77777777" w:rsidR="00CF4E48" w:rsidRPr="002C23A0" w:rsidRDefault="00CF4E48" w:rsidP="00D83FF7">
            <w:pPr>
              <w:rPr>
                <w:b/>
                <w:bCs/>
              </w:rPr>
            </w:pPr>
            <w:r w:rsidRPr="002C23A0">
              <w:rPr>
                <w:b/>
                <w:bCs/>
              </w:rPr>
              <w:t>Strategic Objective</w:t>
            </w:r>
          </w:p>
        </w:tc>
        <w:tc>
          <w:tcPr>
            <w:tcW w:w="0" w:type="auto"/>
            <w:shd w:val="clear" w:color="auto" w:fill="212121"/>
            <w:vAlign w:val="bottom"/>
            <w:hideMark/>
          </w:tcPr>
          <w:p w14:paraId="5BE1BD09" w14:textId="77777777" w:rsidR="00CF4E48" w:rsidRPr="002C23A0" w:rsidRDefault="00CF4E48" w:rsidP="00D83FF7">
            <w:pPr>
              <w:rPr>
                <w:b/>
                <w:bCs/>
              </w:rPr>
            </w:pPr>
            <w:r w:rsidRPr="002C23A0">
              <w:rPr>
                <w:b/>
                <w:bCs/>
              </w:rPr>
              <w:t>Measure</w:t>
            </w:r>
          </w:p>
        </w:tc>
        <w:tc>
          <w:tcPr>
            <w:tcW w:w="0" w:type="auto"/>
            <w:shd w:val="clear" w:color="auto" w:fill="212121"/>
            <w:vAlign w:val="bottom"/>
            <w:hideMark/>
          </w:tcPr>
          <w:p w14:paraId="7E1DDD27" w14:textId="77777777" w:rsidR="00CF4E48" w:rsidRPr="002C23A0" w:rsidRDefault="00CF4E48" w:rsidP="00D83FF7">
            <w:pPr>
              <w:rPr>
                <w:b/>
                <w:bCs/>
              </w:rPr>
            </w:pPr>
            <w:r w:rsidRPr="002C23A0">
              <w:rPr>
                <w:b/>
                <w:bCs/>
              </w:rPr>
              <w:t>Target</w:t>
            </w:r>
          </w:p>
        </w:tc>
        <w:tc>
          <w:tcPr>
            <w:tcW w:w="2371" w:type="dxa"/>
            <w:shd w:val="clear" w:color="auto" w:fill="212121"/>
            <w:vAlign w:val="bottom"/>
            <w:hideMark/>
          </w:tcPr>
          <w:p w14:paraId="5ABA2E08" w14:textId="77777777" w:rsidR="00CF4E48" w:rsidRPr="002C23A0" w:rsidRDefault="00CF4E48" w:rsidP="00D83FF7">
            <w:pPr>
              <w:rPr>
                <w:b/>
                <w:bCs/>
              </w:rPr>
            </w:pPr>
            <w:r w:rsidRPr="002C23A0">
              <w:rPr>
                <w:b/>
                <w:bCs/>
              </w:rPr>
              <w:t>Initiative</w:t>
            </w:r>
          </w:p>
        </w:tc>
      </w:tr>
      <w:tr w:rsidR="002D2EAC" w:rsidRPr="002C23A0" w14:paraId="2F5A6334" w14:textId="77777777" w:rsidTr="009017DC">
        <w:trPr>
          <w:trHeight w:val="1325"/>
          <w:tblCellSpacing w:w="15" w:type="dxa"/>
        </w:trPr>
        <w:tc>
          <w:tcPr>
            <w:tcW w:w="0" w:type="auto"/>
            <w:shd w:val="clear" w:color="auto" w:fill="212121"/>
            <w:vAlign w:val="bottom"/>
            <w:hideMark/>
          </w:tcPr>
          <w:p w14:paraId="09F8CAFD" w14:textId="77777777" w:rsidR="00CF4E48" w:rsidRPr="002C23A0" w:rsidRDefault="00CF4E48" w:rsidP="00D83FF7">
            <w:r w:rsidRPr="002C23A0">
              <w:rPr>
                <w:b/>
                <w:bCs/>
              </w:rPr>
              <w:t>Financial</w:t>
            </w:r>
          </w:p>
        </w:tc>
        <w:tc>
          <w:tcPr>
            <w:tcW w:w="0" w:type="auto"/>
            <w:shd w:val="clear" w:color="auto" w:fill="212121"/>
            <w:vAlign w:val="bottom"/>
            <w:hideMark/>
          </w:tcPr>
          <w:p w14:paraId="28900CBA" w14:textId="77777777" w:rsidR="00CF4E48" w:rsidRPr="002C23A0" w:rsidRDefault="00CF4E48" w:rsidP="00D83FF7">
            <w:r w:rsidRPr="002C23A0">
              <w:t>Revenue Growth</w:t>
            </w:r>
          </w:p>
        </w:tc>
        <w:tc>
          <w:tcPr>
            <w:tcW w:w="0" w:type="auto"/>
            <w:shd w:val="clear" w:color="auto" w:fill="212121"/>
            <w:vAlign w:val="bottom"/>
            <w:hideMark/>
          </w:tcPr>
          <w:p w14:paraId="3944F39E" w14:textId="77777777" w:rsidR="00CF4E48" w:rsidRPr="002C23A0" w:rsidRDefault="00CF4E48" w:rsidP="00D83FF7">
            <w:r w:rsidRPr="002C23A0">
              <w:t>Ticket sales, merchandise sales, broadcasting rights, sponsorship deals</w:t>
            </w:r>
          </w:p>
        </w:tc>
        <w:tc>
          <w:tcPr>
            <w:tcW w:w="0" w:type="auto"/>
            <w:shd w:val="clear" w:color="auto" w:fill="212121"/>
            <w:vAlign w:val="bottom"/>
            <w:hideMark/>
          </w:tcPr>
          <w:p w14:paraId="2542C925" w14:textId="77777777" w:rsidR="00CF4E48" w:rsidRPr="002C23A0" w:rsidRDefault="00CF4E48" w:rsidP="00D83FF7">
            <w:r w:rsidRPr="002C23A0">
              <w:t>Increase revenue by 10% annually</w:t>
            </w:r>
          </w:p>
        </w:tc>
        <w:tc>
          <w:tcPr>
            <w:tcW w:w="2371" w:type="dxa"/>
            <w:shd w:val="clear" w:color="auto" w:fill="212121"/>
            <w:vAlign w:val="bottom"/>
            <w:hideMark/>
          </w:tcPr>
          <w:p w14:paraId="0E2B54A1" w14:textId="4D61A3CE" w:rsidR="00CF4E48" w:rsidRPr="002C23A0" w:rsidRDefault="00CF4E48" w:rsidP="00D83FF7">
            <w:r w:rsidRPr="002C23A0">
              <w:t xml:space="preserve">Develop new marketing campaigns, expand merchandise range, </w:t>
            </w:r>
            <w:r w:rsidR="00042BC6">
              <w:t xml:space="preserve">and </w:t>
            </w:r>
            <w:r w:rsidRPr="002C23A0">
              <w:t>negotiate better broadcasting deals</w:t>
            </w:r>
            <w:r w:rsidR="00042BC6">
              <w:t>.</w:t>
            </w:r>
          </w:p>
        </w:tc>
      </w:tr>
      <w:tr w:rsidR="002D2EAC" w:rsidRPr="002C23A0" w14:paraId="5899E689" w14:textId="77777777" w:rsidTr="009017DC">
        <w:trPr>
          <w:trHeight w:val="1337"/>
          <w:tblCellSpacing w:w="15" w:type="dxa"/>
        </w:trPr>
        <w:tc>
          <w:tcPr>
            <w:tcW w:w="0" w:type="auto"/>
            <w:shd w:val="clear" w:color="auto" w:fill="212121"/>
            <w:vAlign w:val="bottom"/>
            <w:hideMark/>
          </w:tcPr>
          <w:p w14:paraId="399C9D01" w14:textId="77777777" w:rsidR="00CF4E48" w:rsidRPr="002C23A0" w:rsidRDefault="00CF4E48" w:rsidP="00D83FF7"/>
        </w:tc>
        <w:tc>
          <w:tcPr>
            <w:tcW w:w="0" w:type="auto"/>
            <w:shd w:val="clear" w:color="auto" w:fill="212121"/>
            <w:vAlign w:val="bottom"/>
            <w:hideMark/>
          </w:tcPr>
          <w:p w14:paraId="48400468" w14:textId="77777777" w:rsidR="00CF4E48" w:rsidRPr="002C23A0" w:rsidRDefault="00CF4E48" w:rsidP="00D83FF7">
            <w:r w:rsidRPr="002C23A0">
              <w:t>Cost Management</w:t>
            </w:r>
          </w:p>
        </w:tc>
        <w:tc>
          <w:tcPr>
            <w:tcW w:w="0" w:type="auto"/>
            <w:shd w:val="clear" w:color="auto" w:fill="212121"/>
            <w:vAlign w:val="bottom"/>
            <w:hideMark/>
          </w:tcPr>
          <w:p w14:paraId="5AF5E9D7" w14:textId="77777777" w:rsidR="00CF4E48" w:rsidRPr="002C23A0" w:rsidRDefault="00CF4E48" w:rsidP="00D83FF7">
            <w:r w:rsidRPr="002C23A0">
              <w:t>Operational costs, player salaries, training facilities, travel expenses</w:t>
            </w:r>
          </w:p>
        </w:tc>
        <w:tc>
          <w:tcPr>
            <w:tcW w:w="0" w:type="auto"/>
            <w:shd w:val="clear" w:color="auto" w:fill="212121"/>
            <w:vAlign w:val="bottom"/>
            <w:hideMark/>
          </w:tcPr>
          <w:p w14:paraId="2718B1B4" w14:textId="77777777" w:rsidR="00CF4E48" w:rsidRPr="002C23A0" w:rsidRDefault="00CF4E48" w:rsidP="00D83FF7">
            <w:r w:rsidRPr="002C23A0">
              <w:t>Maintain cost increases below 5% annually</w:t>
            </w:r>
          </w:p>
        </w:tc>
        <w:tc>
          <w:tcPr>
            <w:tcW w:w="2371" w:type="dxa"/>
            <w:shd w:val="clear" w:color="auto" w:fill="212121"/>
            <w:vAlign w:val="bottom"/>
            <w:hideMark/>
          </w:tcPr>
          <w:p w14:paraId="7965FCA3" w14:textId="77777777" w:rsidR="00CF4E48" w:rsidRPr="002C23A0" w:rsidRDefault="00CF4E48" w:rsidP="00D83FF7">
            <w:r w:rsidRPr="002C23A0">
              <w:t>Implement cost-saving technologies, renegotiate supplier contracts</w:t>
            </w:r>
          </w:p>
        </w:tc>
      </w:tr>
      <w:tr w:rsidR="002D2EAC" w:rsidRPr="002C23A0" w14:paraId="66136FAD" w14:textId="77777777" w:rsidTr="009017DC">
        <w:trPr>
          <w:trHeight w:val="1629"/>
          <w:tblCellSpacing w:w="15" w:type="dxa"/>
        </w:trPr>
        <w:tc>
          <w:tcPr>
            <w:tcW w:w="0" w:type="auto"/>
            <w:shd w:val="clear" w:color="auto" w:fill="212121"/>
            <w:vAlign w:val="bottom"/>
            <w:hideMark/>
          </w:tcPr>
          <w:p w14:paraId="232DF036" w14:textId="77777777" w:rsidR="00CF4E48" w:rsidRPr="002C23A0" w:rsidRDefault="00CF4E48" w:rsidP="00D83FF7">
            <w:r w:rsidRPr="002C23A0">
              <w:rPr>
                <w:b/>
                <w:bCs/>
              </w:rPr>
              <w:t>Customer</w:t>
            </w:r>
          </w:p>
        </w:tc>
        <w:tc>
          <w:tcPr>
            <w:tcW w:w="0" w:type="auto"/>
            <w:shd w:val="clear" w:color="auto" w:fill="212121"/>
            <w:vAlign w:val="bottom"/>
            <w:hideMark/>
          </w:tcPr>
          <w:p w14:paraId="3465044F" w14:textId="77777777" w:rsidR="00CF4E48" w:rsidRPr="002C23A0" w:rsidRDefault="00CF4E48" w:rsidP="00D83FF7">
            <w:r w:rsidRPr="002C23A0">
              <w:t>Fan Engagement</w:t>
            </w:r>
          </w:p>
        </w:tc>
        <w:tc>
          <w:tcPr>
            <w:tcW w:w="0" w:type="auto"/>
            <w:shd w:val="clear" w:color="auto" w:fill="212121"/>
            <w:vAlign w:val="bottom"/>
            <w:hideMark/>
          </w:tcPr>
          <w:p w14:paraId="2263297C" w14:textId="77777777" w:rsidR="00CF4E48" w:rsidRPr="002C23A0" w:rsidRDefault="00CF4E48" w:rsidP="00D83FF7">
            <w:r w:rsidRPr="002C23A0">
              <w:t>Social media interactions, community event participation</w:t>
            </w:r>
          </w:p>
        </w:tc>
        <w:tc>
          <w:tcPr>
            <w:tcW w:w="0" w:type="auto"/>
            <w:shd w:val="clear" w:color="auto" w:fill="212121"/>
            <w:vAlign w:val="bottom"/>
            <w:hideMark/>
          </w:tcPr>
          <w:p w14:paraId="513B4B45" w14:textId="77777777" w:rsidR="00CF4E48" w:rsidRPr="002C23A0" w:rsidRDefault="00CF4E48" w:rsidP="00D83FF7">
            <w:r w:rsidRPr="002C23A0">
              <w:t>Increase social media engagement by 20%, community event participation by 15% annually</w:t>
            </w:r>
          </w:p>
        </w:tc>
        <w:tc>
          <w:tcPr>
            <w:tcW w:w="2371" w:type="dxa"/>
            <w:shd w:val="clear" w:color="auto" w:fill="212121"/>
            <w:vAlign w:val="bottom"/>
            <w:hideMark/>
          </w:tcPr>
          <w:p w14:paraId="6AC36C02" w14:textId="77777777" w:rsidR="00CF4E48" w:rsidRPr="002C23A0" w:rsidRDefault="00CF4E48" w:rsidP="00D83FF7">
            <w:r w:rsidRPr="002C23A0">
              <w:t>Launch new social media campaigns, host additional community events</w:t>
            </w:r>
          </w:p>
        </w:tc>
      </w:tr>
      <w:tr w:rsidR="002D2EAC" w:rsidRPr="002C23A0" w14:paraId="4851D383" w14:textId="77777777" w:rsidTr="009017DC">
        <w:trPr>
          <w:trHeight w:val="1325"/>
          <w:tblCellSpacing w:w="15" w:type="dxa"/>
        </w:trPr>
        <w:tc>
          <w:tcPr>
            <w:tcW w:w="0" w:type="auto"/>
            <w:shd w:val="clear" w:color="auto" w:fill="212121"/>
            <w:vAlign w:val="bottom"/>
            <w:hideMark/>
          </w:tcPr>
          <w:p w14:paraId="12B02FB8" w14:textId="77777777" w:rsidR="00CF4E48" w:rsidRPr="002C23A0" w:rsidRDefault="00CF4E48" w:rsidP="00D83FF7"/>
        </w:tc>
        <w:tc>
          <w:tcPr>
            <w:tcW w:w="0" w:type="auto"/>
            <w:shd w:val="clear" w:color="auto" w:fill="212121"/>
            <w:vAlign w:val="bottom"/>
            <w:hideMark/>
          </w:tcPr>
          <w:p w14:paraId="0C236097" w14:textId="77777777" w:rsidR="00CF4E48" w:rsidRPr="002C23A0" w:rsidRDefault="00CF4E48" w:rsidP="00D83FF7">
            <w:r w:rsidRPr="002C23A0">
              <w:t>Customer Satisfaction</w:t>
            </w:r>
          </w:p>
        </w:tc>
        <w:tc>
          <w:tcPr>
            <w:tcW w:w="0" w:type="auto"/>
            <w:shd w:val="clear" w:color="auto" w:fill="212121"/>
            <w:vAlign w:val="bottom"/>
            <w:hideMark/>
          </w:tcPr>
          <w:p w14:paraId="443D43EB" w14:textId="77777777" w:rsidR="00CF4E48" w:rsidRPr="002C23A0" w:rsidRDefault="00CF4E48" w:rsidP="00D83FF7">
            <w:r w:rsidRPr="002C23A0">
              <w:t>Fan satisfaction survey scores, repeat attendance rates</w:t>
            </w:r>
          </w:p>
        </w:tc>
        <w:tc>
          <w:tcPr>
            <w:tcW w:w="0" w:type="auto"/>
            <w:shd w:val="clear" w:color="auto" w:fill="212121"/>
            <w:vAlign w:val="bottom"/>
            <w:hideMark/>
          </w:tcPr>
          <w:p w14:paraId="7D6357A6" w14:textId="7A369BF3" w:rsidR="00CF4E48" w:rsidRPr="002C23A0" w:rsidRDefault="00CF4E48" w:rsidP="00D83FF7">
            <w:r w:rsidRPr="002C23A0">
              <w:t xml:space="preserve">Achieve </w:t>
            </w:r>
            <w:r w:rsidR="00386B27">
              <w:t xml:space="preserve">a </w:t>
            </w:r>
            <w:r w:rsidRPr="002C23A0">
              <w:t xml:space="preserve">90% satisfaction rate, increase repeat </w:t>
            </w:r>
            <w:r w:rsidRPr="002C23A0">
              <w:lastRenderedPageBreak/>
              <w:t>attendance by 10% annually</w:t>
            </w:r>
          </w:p>
        </w:tc>
        <w:tc>
          <w:tcPr>
            <w:tcW w:w="2371" w:type="dxa"/>
            <w:shd w:val="clear" w:color="auto" w:fill="212121"/>
            <w:vAlign w:val="bottom"/>
            <w:hideMark/>
          </w:tcPr>
          <w:p w14:paraId="67266DDE" w14:textId="77777777" w:rsidR="00CF4E48" w:rsidRPr="002C23A0" w:rsidRDefault="00CF4E48" w:rsidP="00D83FF7">
            <w:r w:rsidRPr="002C23A0">
              <w:lastRenderedPageBreak/>
              <w:t>Enhance game-day experiences, upgrade stadium facilities</w:t>
            </w:r>
          </w:p>
        </w:tc>
      </w:tr>
      <w:tr w:rsidR="002D2EAC" w:rsidRPr="002C23A0" w14:paraId="612548B8" w14:textId="77777777" w:rsidTr="009017DC">
        <w:trPr>
          <w:trHeight w:val="1337"/>
          <w:tblCellSpacing w:w="15" w:type="dxa"/>
        </w:trPr>
        <w:tc>
          <w:tcPr>
            <w:tcW w:w="0" w:type="auto"/>
            <w:shd w:val="clear" w:color="auto" w:fill="212121"/>
            <w:vAlign w:val="bottom"/>
            <w:hideMark/>
          </w:tcPr>
          <w:p w14:paraId="062C17B8" w14:textId="77777777" w:rsidR="00CF4E48" w:rsidRPr="002C23A0" w:rsidRDefault="00CF4E48" w:rsidP="00D83FF7">
            <w:r w:rsidRPr="002C23A0">
              <w:rPr>
                <w:b/>
                <w:bCs/>
              </w:rPr>
              <w:t>Internal Business Processes</w:t>
            </w:r>
          </w:p>
        </w:tc>
        <w:tc>
          <w:tcPr>
            <w:tcW w:w="0" w:type="auto"/>
            <w:shd w:val="clear" w:color="auto" w:fill="212121"/>
            <w:vAlign w:val="bottom"/>
            <w:hideMark/>
          </w:tcPr>
          <w:p w14:paraId="64969A20" w14:textId="77777777" w:rsidR="00CF4E48" w:rsidRPr="002C23A0" w:rsidRDefault="00CF4E48" w:rsidP="00D83FF7">
            <w:r w:rsidRPr="002C23A0">
              <w:t>Operational Efficiency</w:t>
            </w:r>
          </w:p>
        </w:tc>
        <w:tc>
          <w:tcPr>
            <w:tcW w:w="0" w:type="auto"/>
            <w:shd w:val="clear" w:color="auto" w:fill="212121"/>
            <w:vAlign w:val="bottom"/>
            <w:hideMark/>
          </w:tcPr>
          <w:p w14:paraId="00A3A4E1" w14:textId="77777777" w:rsidR="00CF4E48" w:rsidRPr="002C23A0" w:rsidRDefault="00CF4E48" w:rsidP="00D83FF7">
            <w:r w:rsidRPr="002C23A0">
              <w:t>Ticketing process efficiency, merchandise sales process</w:t>
            </w:r>
          </w:p>
        </w:tc>
        <w:tc>
          <w:tcPr>
            <w:tcW w:w="0" w:type="auto"/>
            <w:shd w:val="clear" w:color="auto" w:fill="212121"/>
            <w:vAlign w:val="bottom"/>
            <w:hideMark/>
          </w:tcPr>
          <w:p w14:paraId="20F90AC1" w14:textId="77777777" w:rsidR="00CF4E48" w:rsidRPr="002C23A0" w:rsidRDefault="00CF4E48" w:rsidP="00D83FF7">
            <w:r w:rsidRPr="002C23A0">
              <w:t>Reduce ticketing and sales process time by 20%</w:t>
            </w:r>
          </w:p>
        </w:tc>
        <w:tc>
          <w:tcPr>
            <w:tcW w:w="2371" w:type="dxa"/>
            <w:shd w:val="clear" w:color="auto" w:fill="212121"/>
            <w:vAlign w:val="bottom"/>
            <w:hideMark/>
          </w:tcPr>
          <w:p w14:paraId="0D1E5EBE" w14:textId="1C09B24A" w:rsidR="00CF4E48" w:rsidRPr="002C23A0" w:rsidRDefault="00CF4E48" w:rsidP="00D83FF7">
            <w:r w:rsidRPr="002C23A0">
              <w:t xml:space="preserve">Implement </w:t>
            </w:r>
            <w:r w:rsidR="00386B27">
              <w:t xml:space="preserve">a </w:t>
            </w:r>
            <w:r w:rsidRPr="002C23A0">
              <w:t>new ticketing system, streamline merchandise sales process</w:t>
            </w:r>
          </w:p>
        </w:tc>
      </w:tr>
      <w:tr w:rsidR="002D2EAC" w:rsidRPr="002C23A0" w14:paraId="1EEF0379" w14:textId="77777777" w:rsidTr="009017DC">
        <w:trPr>
          <w:trHeight w:val="1337"/>
          <w:tblCellSpacing w:w="15" w:type="dxa"/>
        </w:trPr>
        <w:tc>
          <w:tcPr>
            <w:tcW w:w="0" w:type="auto"/>
            <w:shd w:val="clear" w:color="auto" w:fill="212121"/>
            <w:vAlign w:val="bottom"/>
            <w:hideMark/>
          </w:tcPr>
          <w:p w14:paraId="6E63AB0C" w14:textId="77777777" w:rsidR="00CF4E48" w:rsidRPr="002C23A0" w:rsidRDefault="00CF4E48" w:rsidP="00D83FF7"/>
        </w:tc>
        <w:tc>
          <w:tcPr>
            <w:tcW w:w="0" w:type="auto"/>
            <w:shd w:val="clear" w:color="auto" w:fill="212121"/>
            <w:vAlign w:val="bottom"/>
            <w:hideMark/>
          </w:tcPr>
          <w:p w14:paraId="00A5D89C" w14:textId="77777777" w:rsidR="00CF4E48" w:rsidRPr="002C23A0" w:rsidRDefault="00CF4E48" w:rsidP="00D83FF7">
            <w:r w:rsidRPr="002C23A0">
              <w:t>Innovation</w:t>
            </w:r>
          </w:p>
        </w:tc>
        <w:tc>
          <w:tcPr>
            <w:tcW w:w="0" w:type="auto"/>
            <w:shd w:val="clear" w:color="auto" w:fill="212121"/>
            <w:vAlign w:val="bottom"/>
            <w:hideMark/>
          </w:tcPr>
          <w:p w14:paraId="757385DA" w14:textId="77777777" w:rsidR="00CF4E48" w:rsidRPr="002C23A0" w:rsidRDefault="00CF4E48" w:rsidP="00D83FF7">
            <w:r w:rsidRPr="002C23A0">
              <w:t>Number of new game strategies, player development programs</w:t>
            </w:r>
          </w:p>
        </w:tc>
        <w:tc>
          <w:tcPr>
            <w:tcW w:w="0" w:type="auto"/>
            <w:shd w:val="clear" w:color="auto" w:fill="212121"/>
            <w:vAlign w:val="bottom"/>
            <w:hideMark/>
          </w:tcPr>
          <w:p w14:paraId="6BE2EA57" w14:textId="2F488C0B" w:rsidR="00CF4E48" w:rsidRPr="002C23A0" w:rsidRDefault="00CF4E48" w:rsidP="00D83FF7">
            <w:r w:rsidRPr="002C23A0">
              <w:t>Introduce 5 new game strategies 3 new development programs annually</w:t>
            </w:r>
          </w:p>
        </w:tc>
        <w:tc>
          <w:tcPr>
            <w:tcW w:w="2371" w:type="dxa"/>
            <w:shd w:val="clear" w:color="auto" w:fill="212121"/>
            <w:vAlign w:val="bottom"/>
            <w:hideMark/>
          </w:tcPr>
          <w:p w14:paraId="7B44F16E" w14:textId="77777777" w:rsidR="00CF4E48" w:rsidRPr="002C23A0" w:rsidRDefault="00CF4E48" w:rsidP="00D83FF7">
            <w:r w:rsidRPr="002C23A0">
              <w:t>Invest in advanced analytics, hire specialized coaching staff</w:t>
            </w:r>
          </w:p>
        </w:tc>
      </w:tr>
      <w:tr w:rsidR="002D2EAC" w:rsidRPr="002C23A0" w14:paraId="61AC4483" w14:textId="77777777" w:rsidTr="009017DC">
        <w:trPr>
          <w:trHeight w:val="1325"/>
          <w:tblCellSpacing w:w="15" w:type="dxa"/>
        </w:trPr>
        <w:tc>
          <w:tcPr>
            <w:tcW w:w="0" w:type="auto"/>
            <w:shd w:val="clear" w:color="auto" w:fill="212121"/>
            <w:vAlign w:val="bottom"/>
            <w:hideMark/>
          </w:tcPr>
          <w:p w14:paraId="5264EBD5" w14:textId="77777777" w:rsidR="00CF4E48" w:rsidRPr="002C23A0" w:rsidRDefault="00CF4E48" w:rsidP="00D83FF7">
            <w:r w:rsidRPr="002C23A0">
              <w:rPr>
                <w:b/>
                <w:bCs/>
              </w:rPr>
              <w:t>Learning and Growth</w:t>
            </w:r>
          </w:p>
        </w:tc>
        <w:tc>
          <w:tcPr>
            <w:tcW w:w="0" w:type="auto"/>
            <w:shd w:val="clear" w:color="auto" w:fill="212121"/>
            <w:vAlign w:val="bottom"/>
            <w:hideMark/>
          </w:tcPr>
          <w:p w14:paraId="04B83109" w14:textId="77777777" w:rsidR="00CF4E48" w:rsidRPr="002C23A0" w:rsidRDefault="00CF4E48" w:rsidP="00D83FF7">
            <w:r w:rsidRPr="002C23A0">
              <w:t>Employee Development</w:t>
            </w:r>
          </w:p>
        </w:tc>
        <w:tc>
          <w:tcPr>
            <w:tcW w:w="0" w:type="auto"/>
            <w:shd w:val="clear" w:color="auto" w:fill="212121"/>
            <w:vAlign w:val="bottom"/>
            <w:hideMark/>
          </w:tcPr>
          <w:p w14:paraId="293DD3E7" w14:textId="77777777" w:rsidR="00CF4E48" w:rsidRPr="002C23A0" w:rsidRDefault="00CF4E48" w:rsidP="00D83FF7">
            <w:r w:rsidRPr="002C23A0">
              <w:t>Training hours per employee, career advancement opportunities</w:t>
            </w:r>
          </w:p>
        </w:tc>
        <w:tc>
          <w:tcPr>
            <w:tcW w:w="0" w:type="auto"/>
            <w:shd w:val="clear" w:color="auto" w:fill="212121"/>
            <w:vAlign w:val="bottom"/>
            <w:hideMark/>
          </w:tcPr>
          <w:p w14:paraId="43F71025" w14:textId="77777777" w:rsidR="00CF4E48" w:rsidRPr="002C23A0" w:rsidRDefault="00CF4E48" w:rsidP="00D83FF7">
            <w:r w:rsidRPr="002C23A0">
              <w:t>Provide 40 hours of training per employee annually</w:t>
            </w:r>
          </w:p>
        </w:tc>
        <w:tc>
          <w:tcPr>
            <w:tcW w:w="2371" w:type="dxa"/>
            <w:shd w:val="clear" w:color="auto" w:fill="212121"/>
            <w:vAlign w:val="bottom"/>
            <w:hideMark/>
          </w:tcPr>
          <w:p w14:paraId="7833435D" w14:textId="77777777" w:rsidR="00CF4E48" w:rsidRPr="002C23A0" w:rsidRDefault="00CF4E48" w:rsidP="00D83FF7">
            <w:r w:rsidRPr="002C23A0">
              <w:t>Develop comprehensive training programs, create clear career paths</w:t>
            </w:r>
          </w:p>
        </w:tc>
      </w:tr>
      <w:tr w:rsidR="002D2EAC" w:rsidRPr="002C23A0" w14:paraId="5FE447BE" w14:textId="77777777" w:rsidTr="009017DC">
        <w:trPr>
          <w:trHeight w:val="1045"/>
          <w:tblCellSpacing w:w="15" w:type="dxa"/>
        </w:trPr>
        <w:tc>
          <w:tcPr>
            <w:tcW w:w="0" w:type="auto"/>
            <w:shd w:val="clear" w:color="auto" w:fill="212121"/>
            <w:vAlign w:val="bottom"/>
            <w:hideMark/>
          </w:tcPr>
          <w:p w14:paraId="28CD4E00" w14:textId="77777777" w:rsidR="00CF4E48" w:rsidRPr="002C23A0" w:rsidRDefault="00CF4E48" w:rsidP="00D83FF7"/>
        </w:tc>
        <w:tc>
          <w:tcPr>
            <w:tcW w:w="0" w:type="auto"/>
            <w:shd w:val="clear" w:color="auto" w:fill="212121"/>
            <w:vAlign w:val="bottom"/>
            <w:hideMark/>
          </w:tcPr>
          <w:p w14:paraId="67362BDE" w14:textId="77777777" w:rsidR="00CF4E48" w:rsidRPr="002C23A0" w:rsidRDefault="00CF4E48" w:rsidP="00D83FF7">
            <w:r w:rsidRPr="002C23A0">
              <w:t>Organizational Culture</w:t>
            </w:r>
          </w:p>
        </w:tc>
        <w:tc>
          <w:tcPr>
            <w:tcW w:w="0" w:type="auto"/>
            <w:shd w:val="clear" w:color="auto" w:fill="212121"/>
            <w:vAlign w:val="bottom"/>
            <w:hideMark/>
          </w:tcPr>
          <w:p w14:paraId="243DC3A2" w14:textId="77777777" w:rsidR="00CF4E48" w:rsidRPr="002C23A0" w:rsidRDefault="00CF4E48" w:rsidP="00D83FF7">
            <w:r w:rsidRPr="002C23A0">
              <w:t>Employee satisfaction scores, retention rates</w:t>
            </w:r>
          </w:p>
        </w:tc>
        <w:tc>
          <w:tcPr>
            <w:tcW w:w="0" w:type="auto"/>
            <w:shd w:val="clear" w:color="auto" w:fill="212121"/>
            <w:vAlign w:val="bottom"/>
            <w:hideMark/>
          </w:tcPr>
          <w:p w14:paraId="7086EB7A" w14:textId="77777777" w:rsidR="00CF4E48" w:rsidRPr="002C23A0" w:rsidRDefault="00CF4E48" w:rsidP="00D83FF7">
            <w:r w:rsidRPr="002C23A0">
              <w:t>Achieve 85% employee satisfaction, retain 90% of staff annually</w:t>
            </w:r>
          </w:p>
        </w:tc>
        <w:tc>
          <w:tcPr>
            <w:tcW w:w="2371" w:type="dxa"/>
            <w:shd w:val="clear" w:color="auto" w:fill="212121"/>
            <w:vAlign w:val="bottom"/>
            <w:hideMark/>
          </w:tcPr>
          <w:p w14:paraId="0304880F" w14:textId="77777777" w:rsidR="00CF4E48" w:rsidRPr="002C23A0" w:rsidRDefault="00CF4E48" w:rsidP="00D83FF7">
            <w:r w:rsidRPr="002C23A0">
              <w:t>Foster inclusive workplace culture, implement employee recognition programs</w:t>
            </w:r>
          </w:p>
        </w:tc>
      </w:tr>
    </w:tbl>
    <w:p w14:paraId="53A128E1" w14:textId="77777777" w:rsidR="00CF4E48" w:rsidRDefault="00CF4E48" w:rsidP="00CF4E48"/>
    <w:p w14:paraId="717C925B" w14:textId="77777777" w:rsidR="002E55CD" w:rsidRDefault="002E55CD"/>
    <w:sectPr w:rsidR="002E55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32DB1" w14:textId="77777777" w:rsidR="00EB6479" w:rsidRDefault="00EB6479" w:rsidP="00FA1C69">
      <w:pPr>
        <w:spacing w:after="0" w:line="240" w:lineRule="auto"/>
      </w:pPr>
      <w:r>
        <w:separator/>
      </w:r>
    </w:p>
  </w:endnote>
  <w:endnote w:type="continuationSeparator" w:id="0">
    <w:p w14:paraId="45B316BE" w14:textId="77777777" w:rsidR="00EB6479" w:rsidRDefault="00EB6479" w:rsidP="00FA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0153E" w14:textId="77777777" w:rsidR="00FA1C69" w:rsidRDefault="00FA1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A97C7" w14:textId="77777777" w:rsidR="00FA1C69" w:rsidRDefault="00FA1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C8970" w14:textId="77777777" w:rsidR="00FA1C69" w:rsidRDefault="00FA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3B27A" w14:textId="77777777" w:rsidR="00EB6479" w:rsidRDefault="00EB6479" w:rsidP="00FA1C69">
      <w:pPr>
        <w:spacing w:after="0" w:line="240" w:lineRule="auto"/>
      </w:pPr>
      <w:r>
        <w:separator/>
      </w:r>
    </w:p>
  </w:footnote>
  <w:footnote w:type="continuationSeparator" w:id="0">
    <w:p w14:paraId="4B0D5D1D" w14:textId="77777777" w:rsidR="00EB6479" w:rsidRDefault="00EB6479" w:rsidP="00FA1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F90A8" w14:textId="77777777" w:rsidR="00FA1C69" w:rsidRDefault="00FA1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179BC" w14:textId="7A67BE44" w:rsidR="00FA1C69" w:rsidRPr="00ED713C" w:rsidRDefault="00FA1C69">
    <w:pPr>
      <w:pStyle w:val="Header"/>
      <w:rPr>
        <w:sz w:val="24"/>
        <w:szCs w:val="24"/>
      </w:rPr>
    </w:pPr>
    <w:r w:rsidRPr="00ED713C">
      <w:rPr>
        <w:rFonts w:ascii="Lato" w:eastAsia="Times New Roman" w:hAnsi="Lato" w:cs="Times New Roman"/>
        <w:color w:val="2D3B45"/>
        <w:kern w:val="36"/>
        <w:sz w:val="24"/>
        <w:szCs w:val="24"/>
        <w14:ligatures w14:val="none"/>
      </w:rPr>
      <w:t xml:space="preserve">W6.A1. The Balanced Scorecard </w:t>
    </w:r>
    <w:r w:rsidR="00ED713C" w:rsidRPr="00ED713C">
      <w:rPr>
        <w:rFonts w:ascii="Lato" w:eastAsia="Times New Roman" w:hAnsi="Lato" w:cs="Times New Roman"/>
        <w:color w:val="2D3B45"/>
        <w:kern w:val="36"/>
        <w:sz w:val="24"/>
        <w:szCs w:val="24"/>
        <w14:ligatures w14:val="none"/>
      </w:rPr>
      <w:t>- BIA 620 Business Analytics – HB Rose</w:t>
    </w:r>
  </w:p>
  <w:p w14:paraId="46EC9376" w14:textId="77777777" w:rsidR="00FA1C69" w:rsidRDefault="00FA1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10DE3" w14:textId="77777777" w:rsidR="00FA1C69" w:rsidRDefault="00FA1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95FAB"/>
    <w:multiLevelType w:val="multilevel"/>
    <w:tmpl w:val="D21CF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F7FCC"/>
    <w:multiLevelType w:val="hybridMultilevel"/>
    <w:tmpl w:val="D67E1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1649D2"/>
    <w:multiLevelType w:val="hybridMultilevel"/>
    <w:tmpl w:val="63C6F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580160">
    <w:abstractNumId w:val="0"/>
  </w:num>
  <w:num w:numId="2" w16cid:durableId="1107505781">
    <w:abstractNumId w:val="2"/>
  </w:num>
  <w:num w:numId="3" w16cid:durableId="1856381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0sgRSZiZmJhZG5ko6SsGpxcWZ+XkgBSa1APFYB/8sAAAA"/>
  </w:docVars>
  <w:rsids>
    <w:rsidRoot w:val="003137C4"/>
    <w:rsid w:val="00042BC6"/>
    <w:rsid w:val="00084375"/>
    <w:rsid w:val="000E44A3"/>
    <w:rsid w:val="000E57ED"/>
    <w:rsid w:val="000E609A"/>
    <w:rsid w:val="00121DBE"/>
    <w:rsid w:val="00125854"/>
    <w:rsid w:val="001348A1"/>
    <w:rsid w:val="0016617C"/>
    <w:rsid w:val="001D18CE"/>
    <w:rsid w:val="00236B56"/>
    <w:rsid w:val="002D278E"/>
    <w:rsid w:val="002D2EAC"/>
    <w:rsid w:val="002E55CD"/>
    <w:rsid w:val="003137C4"/>
    <w:rsid w:val="00335580"/>
    <w:rsid w:val="00384461"/>
    <w:rsid w:val="00386B27"/>
    <w:rsid w:val="003C06DC"/>
    <w:rsid w:val="004318B2"/>
    <w:rsid w:val="004973BB"/>
    <w:rsid w:val="004F3A8F"/>
    <w:rsid w:val="00572DEA"/>
    <w:rsid w:val="006145D9"/>
    <w:rsid w:val="0068108A"/>
    <w:rsid w:val="006B309E"/>
    <w:rsid w:val="00717426"/>
    <w:rsid w:val="00721520"/>
    <w:rsid w:val="00726006"/>
    <w:rsid w:val="009017DC"/>
    <w:rsid w:val="009576DE"/>
    <w:rsid w:val="009B7F0A"/>
    <w:rsid w:val="009E0903"/>
    <w:rsid w:val="00BE79FD"/>
    <w:rsid w:val="00CF4E48"/>
    <w:rsid w:val="00D16984"/>
    <w:rsid w:val="00EB6479"/>
    <w:rsid w:val="00ED2DEA"/>
    <w:rsid w:val="00ED713C"/>
    <w:rsid w:val="00F20A98"/>
    <w:rsid w:val="00FA1C69"/>
    <w:rsid w:val="00FD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D7AB1"/>
  <w15:chartTrackingRefBased/>
  <w15:docId w15:val="{6E5839B0-9F19-49E1-BC81-C7F47DAF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7C4"/>
    <w:rPr>
      <w:rFonts w:eastAsiaTheme="majorEastAsia" w:cstheme="majorBidi"/>
      <w:color w:val="272727" w:themeColor="text1" w:themeTint="D8"/>
    </w:rPr>
  </w:style>
  <w:style w:type="paragraph" w:styleId="Title">
    <w:name w:val="Title"/>
    <w:basedOn w:val="Normal"/>
    <w:next w:val="Normal"/>
    <w:link w:val="TitleChar"/>
    <w:uiPriority w:val="10"/>
    <w:qFormat/>
    <w:rsid w:val="00313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7C4"/>
    <w:pPr>
      <w:spacing w:before="160"/>
      <w:jc w:val="center"/>
    </w:pPr>
    <w:rPr>
      <w:i/>
      <w:iCs/>
      <w:color w:val="404040" w:themeColor="text1" w:themeTint="BF"/>
    </w:rPr>
  </w:style>
  <w:style w:type="character" w:customStyle="1" w:styleId="QuoteChar">
    <w:name w:val="Quote Char"/>
    <w:basedOn w:val="DefaultParagraphFont"/>
    <w:link w:val="Quote"/>
    <w:uiPriority w:val="29"/>
    <w:rsid w:val="003137C4"/>
    <w:rPr>
      <w:i/>
      <w:iCs/>
      <w:color w:val="404040" w:themeColor="text1" w:themeTint="BF"/>
    </w:rPr>
  </w:style>
  <w:style w:type="paragraph" w:styleId="ListParagraph">
    <w:name w:val="List Paragraph"/>
    <w:basedOn w:val="Normal"/>
    <w:uiPriority w:val="34"/>
    <w:qFormat/>
    <w:rsid w:val="003137C4"/>
    <w:pPr>
      <w:ind w:left="720"/>
      <w:contextualSpacing/>
    </w:pPr>
  </w:style>
  <w:style w:type="character" w:styleId="IntenseEmphasis">
    <w:name w:val="Intense Emphasis"/>
    <w:basedOn w:val="DefaultParagraphFont"/>
    <w:uiPriority w:val="21"/>
    <w:qFormat/>
    <w:rsid w:val="003137C4"/>
    <w:rPr>
      <w:i/>
      <w:iCs/>
      <w:color w:val="0F4761" w:themeColor="accent1" w:themeShade="BF"/>
    </w:rPr>
  </w:style>
  <w:style w:type="paragraph" w:styleId="IntenseQuote">
    <w:name w:val="Intense Quote"/>
    <w:basedOn w:val="Normal"/>
    <w:next w:val="Normal"/>
    <w:link w:val="IntenseQuoteChar"/>
    <w:uiPriority w:val="30"/>
    <w:qFormat/>
    <w:rsid w:val="00313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7C4"/>
    <w:rPr>
      <w:i/>
      <w:iCs/>
      <w:color w:val="0F4761" w:themeColor="accent1" w:themeShade="BF"/>
    </w:rPr>
  </w:style>
  <w:style w:type="character" w:styleId="IntenseReference">
    <w:name w:val="Intense Reference"/>
    <w:basedOn w:val="DefaultParagraphFont"/>
    <w:uiPriority w:val="32"/>
    <w:qFormat/>
    <w:rsid w:val="003137C4"/>
    <w:rPr>
      <w:b/>
      <w:bCs/>
      <w:smallCaps/>
      <w:color w:val="0F4761" w:themeColor="accent1" w:themeShade="BF"/>
      <w:spacing w:val="5"/>
    </w:rPr>
  </w:style>
  <w:style w:type="paragraph" w:styleId="Header">
    <w:name w:val="header"/>
    <w:basedOn w:val="Normal"/>
    <w:link w:val="HeaderChar"/>
    <w:uiPriority w:val="99"/>
    <w:unhideWhenUsed/>
    <w:rsid w:val="00FA1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69"/>
  </w:style>
  <w:style w:type="paragraph" w:styleId="Footer">
    <w:name w:val="footer"/>
    <w:basedOn w:val="Normal"/>
    <w:link w:val="FooterChar"/>
    <w:uiPriority w:val="99"/>
    <w:unhideWhenUsed/>
    <w:rsid w:val="00FA1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596552">
      <w:bodyDiv w:val="1"/>
      <w:marLeft w:val="0"/>
      <w:marRight w:val="0"/>
      <w:marTop w:val="0"/>
      <w:marBottom w:val="0"/>
      <w:divBdr>
        <w:top w:val="none" w:sz="0" w:space="0" w:color="auto"/>
        <w:left w:val="none" w:sz="0" w:space="0" w:color="auto"/>
        <w:bottom w:val="none" w:sz="0" w:space="0" w:color="auto"/>
        <w:right w:val="none" w:sz="0" w:space="0" w:color="auto"/>
      </w:divBdr>
    </w:div>
    <w:div w:id="951131324">
      <w:bodyDiv w:val="1"/>
      <w:marLeft w:val="0"/>
      <w:marRight w:val="0"/>
      <w:marTop w:val="0"/>
      <w:marBottom w:val="0"/>
      <w:divBdr>
        <w:top w:val="none" w:sz="0" w:space="0" w:color="auto"/>
        <w:left w:val="none" w:sz="0" w:space="0" w:color="auto"/>
        <w:bottom w:val="none" w:sz="0" w:space="0" w:color="auto"/>
        <w:right w:val="none" w:sz="0" w:space="0" w:color="auto"/>
      </w:divBdr>
    </w:div>
    <w:div w:id="110788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991</Words>
  <Characters>6394</Characters>
  <Application>Microsoft Office Word</Application>
  <DocSecurity>0</DocSecurity>
  <Lines>216</Lines>
  <Paragraphs>63</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Rose</dc:creator>
  <cp:keywords/>
  <dc:description/>
  <cp:lastModifiedBy>Rudy Rose</cp:lastModifiedBy>
  <cp:revision>35</cp:revision>
  <dcterms:created xsi:type="dcterms:W3CDTF">2024-05-14T03:02:00Z</dcterms:created>
  <dcterms:modified xsi:type="dcterms:W3CDTF">2024-05-14T05:32:00Z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35e3c33c89f43101ec163e66ae0adfe708b6cc9a01555cc6360bd33770e00a75</vt:lpwstr>
  </property>
</Properties>
</file>