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Sidetrade LBO Model — Build Specification v1.0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file: </w:t>
      </w:r>
      <w:r>
        <w:rPr>
          <w:rFonts w:ascii="Arial" w:cs="Arial" w:eastAsia="Arial" w:hAnsi="Arial"/>
          <w:sz w:val="22"/>
          <w:szCs w:val="22"/>
        </w:rPr>
        <w:t xml:space="preserve">Sidetrade_Valuation_2026.xlsx (attached separately).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tab to create: </w:t>
      </w:r>
      <w:r>
        <w:rPr>
          <w:rFonts w:ascii="Arial" w:cs="Arial" w:eastAsia="Arial" w:hAnsi="Arial"/>
          <w:sz w:val="22"/>
          <w:szCs w:val="22"/>
        </w:rPr>
        <w:t xml:space="preserve">LBO_full. Keep existing LBO tab as archive — rename to LBO_old, do not delete.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Mission: </w:t>
      </w:r>
      <w:r>
        <w:rPr>
          <w:rFonts w:ascii="Arial" w:cs="Arial" w:eastAsia="Arial" w:hAnsi="Arial"/>
          <w:sz w:val="22"/>
          <w:szCs w:val="22"/>
        </w:rPr>
        <w:t xml:space="preserve">Build a rigorous LBO model with proper debt schedule, interest mechanics, ATAD-compliant tax shield, and exit waterfall. Output: 9 affordability Enterprise Values (3 scenarios × 3 IRR targets) plus sensitivity tables. Replace the simplified LBO range that currently exists in the workbook (hardcoded 135/283/455 €m EV).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rule: </w:t>
      </w:r>
      <w:r>
        <w:rPr>
          <w:rFonts w:ascii="Arial" w:cs="Arial" w:eastAsia="Arial" w:hAnsi="Arial"/>
          <w:sz w:val="22"/>
          <w:szCs w:val="22"/>
        </w:rPr>
        <w:t xml:space="preserve">Every hardcoded input must have a Source column populated, either with a specific citation or with the explicit tag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"Assumption — indicative"</w:t>
      </w:r>
      <w:r>
        <w:rPr>
          <w:rFonts w:ascii="Arial" w:cs="Arial" w:eastAsia="Arial" w:hAnsi="Arial"/>
          <w:sz w:val="22"/>
          <w:szCs w:val="22"/>
        </w:rPr>
        <w:t xml:space="preserve">. No orphan numbers.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 — Context and Reuse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already exists in the workbook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Inputs tab: full single-source-of-truth for scenarios (Bear/Base/Bull), growth, margins, WACC, terminal growth. Reuse columns B/C/D for Bear/Base/Bull respectively.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FY25_base tab: full reconciliation of FY25 financials from statutory accounts. Net debt €14.654m (B49), share count 1,536,790 diluted (B69).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DCF tab: 5-year projections per scenario. Revenue row 7, EBITDA row 12, D&amp;A row 13, Capex row 19, ΔBFR row 20, Unlevered FCF row 21. Year columns: B/C/D = 2026, E/F/G = 2027, H/I/J = 2028, K/L/M = 2029, N/O/P = 2030. Within each year, columns are Bear/Base/Bull.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Sensitivity tab: WACC × g and WACC × Exit Multiple matrices for Base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Equity_bridge tab: EV → Equity → share price. NOTE — row 19 has a units bug (=B18/1000 should be =B18/1000000). Do NOT touch this for now; it will be fixed in a separate pass.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What this build does NOT touch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existing tabs except LBO (renamed to LBO_old). Do not modify Inputs, FY25_base, DCF, Sensitivity, Margin_path, Trading_comps, Transaction_comps, Football_field, Equity_bridge, Caveats.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 not introduce new global assumptions in Inputs. All LBO-specific assumptions go in the new LBO_full tab, in a dedicated input block at the top with the same color convention (blue text = hardcode, black = formula, green = cross-sheet link).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 — Inputs Catalog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Three categories: </w:t>
      </w:r>
      <w:r>
        <w:rPr>
          <w:rFonts w:ascii="Arial" w:cs="Arial" w:eastAsia="Arial" w:hAnsi="Arial"/>
          <w:sz w:val="22"/>
          <w:szCs w:val="22"/>
        </w:rPr>
        <w:t xml:space="preserve">(A) Sourced rigorously — citations are real, reuse as-is. (B) Standard de marché — provide a citation slot; the user will fill in or confirm. (C) Explicit assumptions — sensitivity required.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Category A — Sourced rigorously (use as-is)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800"/>
        <w:gridCol w:w="17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Cell location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French corporate income tax rate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25.83% (25% + 3.3% social contribution)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CGI art. 219; impots.gouv.fr; BOI-IS-AUT-10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LBO_full input block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ATAD interest deductibility cap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MAX(€3m, 30% × Tax EBITDA)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CGI art. 212 bis; Directive 2016/1164; BOI-IS-BASE-35-40-10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LBO_full input block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Sidetrade FY25 EBITDA (incl. CIR)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€13.384m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Inputs!B7 (already sourced — Stat Report p.5)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Sidetrade FY25 net debt strict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€14.654m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FY25_base!B49 (already sourced — Note 10)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Sidetrade diluted shares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1,536,790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FY25_base!B69 (Note 30 — BSAP 2021 + BSAP 2023)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Sidetrade FY25 cash + securities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€16.327m (€5.402m + €10.925m)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FY25_base!B40 + B41 (Notes 6, 8)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Sidetrade FY25 gross financial debt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€30.981m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FY25_base!B43 (Note 10)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Operating projections (Rev / EBITDA / Capex / ΔBFR)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 scenario, 2026-2030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DCF tab rows 7, 12, 19, 20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Cross-link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Category B — Standard de marché (citation slot required)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— read before implementing: </w:t>
      </w:r>
      <w:r>
        <w:rPr>
          <w:rFonts w:ascii="Arial" w:cs="Arial" w:eastAsia="Arial" w:hAnsi="Arial"/>
          <w:sz w:val="22"/>
          <w:szCs w:val="22"/>
        </w:rPr>
        <w:t xml:space="preserve">These are industry conventions I (the spec author) gave from general market knowledge. The user must verify each one against a real public/semi-public source before publication. In Excel, add a Source column with either a real citation or the tag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"Standard de marché — confirmer"</w:t>
      </w:r>
      <w:r>
        <w:rPr>
          <w:rFonts w:ascii="Arial" w:cs="Arial" w:eastAsia="Arial" w:hAnsi="Arial"/>
          <w:sz w:val="22"/>
          <w:szCs w:val="22"/>
        </w:rPr>
        <w:t xml:space="preserve">. Do not pretend a source exists if you haven't verified it.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000"/>
        <w:gridCol w:w="17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value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category to verify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Euribor 3M (base rate for floating debt)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~2.7-3.0% (as of early-2025 data)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EMMI (european-money-markets.eu) — official series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pulls actual figure as-of Sidetrade valuation date May 2026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TLB margin for B2 mid-market European SaaS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425-500 bps over Euribor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LevFin Insights weekly; LSEG LPC European Leveraged Lending; S&amp;P LCD European LevFin Quarterly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confirms with one citation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All-in TLB rate (Euribor + margin)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~7.0-7.7%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Calculated from above two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Auto-computed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Transaction fees (M&amp;A + legal + DD)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2-3% of EV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Mergermarket Mid-Market Trends; Refinitiv league tables; PitchBook deal docs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confirms or marks as assumption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Financing fees (OID + arrangement)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~3% of debt raised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PitchBook deal docs; LSEG LPC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confirms or marks as assumption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 cash on balance sheet post-close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€5-10m for €60m revenue SaaS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Judgment call — no central source. Justify as % revenue or months OpEx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dimensions and justifies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Leverage at close (median European SaaS small-cap LBO)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3.5-5.0× EBITDA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PitchBook European LBO Report (Q4-2025); Bain Global PE Report 2025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confirms with one citation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sweep (% of excess FCF)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term sheet — varies 50-100% depending on covenant tightness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as modelling assumption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Management equity rollover (founder-led)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10-15% of NewCo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Argos Wityu Mid-Market Index; Bain PE Report — founder-led MBO band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confirms — see also 2.3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Mandatory amortisation rate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1% of original debt per year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Convention for European TLB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 as standard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Sponsor entry advisory &amp; management fees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Typically not modelled in v1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 of scope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Category C — Sidetrade-specific assumptions to verify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3000"/>
        <w:gridCol w:w="170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Suggested value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cell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Olivier Novasque current ownership %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[USER TO VERIFY — likely 15-30%]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 Report Note 30 or Document d'Enregistrement Universel — section actionnariat. Cross-check on AMF Info Financière (DEU)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Required for rollover sizing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Rollover % (founder rolls % of his stake)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50-70% of his current stake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Hypothesis for portfolio piece. Sensitivity 30-80%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Assumption — sensitive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BSAP 2021/2023 treatment at close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 accelerated vesting; pay strike × outstanding warrants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 Report Note 30 + Doc d'Enregistrement Universel — section instruments dilutifs. Strike price per BSAP tranche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Minor cost addition — Uses block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debt treatment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Refinance all €30.981m at close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LBO practice — buyer wants fresh capital structure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&amp; Uses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Existing cash treatment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Locked-box: cash above €8m peg goes to sellers; €8m stays on BS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SPA convention for European mid-market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Sources &amp; Uses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Earn-outs (Amalto €0.3m + CreditPoint €0.2m + ezyCollect remaining €1.5m)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Assumed paid by NewCo post-close — not added to purchase price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FY25_base implicit — net debt strict excludes earn-outs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Caveats — mention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CIR continuation in projections</w:t>
            </w:r>
          </w:p>
        </w:tc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Hold flat €3.5m/year in EBITDA (same as DCF)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Consistent with DCF Base scenario</w:t>
            </w:r>
          </w:p>
        </w:tc>
        <w:tc>
          <w:tcPr>
            <w:tcW w:type="dxa" w:w="1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Already in DCF — reuse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 — Modelling Mechanics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Sources &amp; Uses (at close, all values in €m)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as the first block of LBO_full tab, immediately after the inputs block. Use the same color convention.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USES                                                             €m
─────────────────────────────────────────────────────────────────────
Equity Value to selling shareholders
  = Entry EV + (Existing cash − Existing debt) − Rollover value
Refinance existing financial debt                                30.981
Cash to balance sheet (top up to minimum)                          8.000 (or computed top-up)
Transaction fees (% × Entry EV)                                  computed
Financing fees (% × New debt)                                    computed
BSAP / dilutive instruments settlement                           computed
─────────────────────────────────────────────────────────────────────
TOTAL USES                                                       sum
SOURCES                                                          €m       %
─────────────────────────────────────────────────────────────────────────
New TLB (multiple × EBITDA FY25)                                 computed     (level B2.2)
RCF drawn at close                                                0.000       (committed but undrawn)
Existing cash rolled in (= min cash €8m)                          8.000
Management equity rollover (non-cash)                            computed
Sponsor equity check (balancing figure)                          balancing
─────────────────────────────────────────────────────────────────────────
TOTAL SOURCES = TOTAL USES                                       check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Rollover treatment — important: </w:t>
      </w:r>
      <w:r>
        <w:rPr>
          <w:rFonts w:ascii="Arial" w:cs="Arial" w:eastAsia="Arial" w:hAnsi="Arial"/>
          <w:sz w:val="22"/>
          <w:szCs w:val="22"/>
        </w:rPr>
        <w:t xml:space="preserve">The management rollover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a source of cash for the company</w:t>
      </w:r>
      <w:r>
        <w:rPr>
          <w:rFonts w:ascii="Arial" w:cs="Arial" w:eastAsia="Arial" w:hAnsi="Arial"/>
          <w:sz w:val="22"/>
          <w:szCs w:val="22"/>
        </w:rPr>
        <w:t xml:space="preserve">. It is a portion of the purchase price that is paid in NewCo shares rather than cash. Therefore: the sponsor equity check is reduced by the rollover value, but the price paid to selling shareholders is unchanged. Treat as a contra-source on the Uses side OR as a non-cash source — the user prefers the latter formulation for clarity.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Capital structure post-close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2500"/>
      </w:tblGrid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Cross-link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debt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New TLB (no other tranches in v1)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 S&amp;U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Cash on BS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Min cash (€8m)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debt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Total debt − Cash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 leverage at close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Net debt / EBITDA FY25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Inputs!B7</w:t>
            </w:r>
          </w:p>
        </w:tc>
      </w:tr>
      <w:tr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equity (sponsor + management)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= Entry EV + post-close adjustments − Net debt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Computed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Operating projections (5-year, per scenario)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Cross-link from DCF tab. Do NOT recalculate. For each year 2026-2030, per scenario: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= DCF!{col}7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EBITDA = DCF!{col}12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D&amp;A = DCF!{col}13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EBIT = EBITDA − D&amp;A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Capex = − DCF!{col}19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ΔBFR = − DCF!{col}20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DCF uses NOPAT formulation already. For LBO we re-derive starting from EBIT and explicitly model interest expense, so do not reuse DCF row 21 (Unlevered FCF) — that's the unlevered view.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Debt schedule (TLB only, no second tranche in v1)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2026         2027         2028         2029         2030
─────────────────────────────────────────────────────────────────────────────────────
Opening debt                Initial      Closing₂₀₂₆  Closing₂₀₂₇  Closing₂₀₂₈  Closing₂₀₂₉
(−) Mandatory amort (1%)    −0.01×Init   −0.01×Init   −0.01×Init   −0.01×Init   −0.01×Init
(−) Cash sweep              From CF      From CF      From CF      From CF      From CF
Closing debt                Open − Amort − Sweep (each year)
Average debt                = (Opening + Closing) / 2
Interest @ all-in rate      Avg debt × rate (CIRCULAR — see note below)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Circular reference handling: </w:t>
      </w:r>
      <w:r>
        <w:rPr>
          <w:rFonts w:ascii="Arial" w:cs="Arial" w:eastAsia="Arial" w:hAnsi="Arial"/>
          <w:sz w:val="22"/>
          <w:szCs w:val="22"/>
        </w:rPr>
        <w:t xml:space="preserve">Interest depends on average debt, which depends on cash sweep, which depends on cash flow after interest. Enable iterative calculation: Excel → File → Options → Formulas → Enable iterative calculation. Set max iterations = 100, max change = 0.001. Excel will converge in 5-15 iterations.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for v1 (simpler): </w:t>
      </w:r>
      <w:r>
        <w:rPr>
          <w:rFonts w:ascii="Arial" w:cs="Arial" w:eastAsia="Arial" w:hAnsi="Arial"/>
          <w:sz w:val="22"/>
          <w:szCs w:val="22"/>
        </w:rPr>
        <w:t xml:space="preserve">Compute interest on opening debt only (overstates interest slightly because debt amortises during the year). Difference vs avg debt is ~5% of interest expense in year 1, ~25% in year 5. Acceptable for portfolio piece if iterative calc causes issues. Document the choice explicitly in a comment cell.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P&amp;L flow and ATAD-compliant tax shield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EBITDA                                            (from DCF cross-link)
(−) D&amp;A                                           (from DCF cross-link)
EBIT
(−) Interest expense                              = Avg debt × rate
EBT (Earnings Before Tax)
(−) Tax                                           = Taxable income × 25.83%
                                                  WHERE Taxable income = EBT
                                                  AND deductible interest is capped per ATAD:
  Deductible interest_t = MIN(Actual interest_t,
                              MAX(€3m, 30% × Tax EBITDA_t))
  Non-deductible_t      = Actual interest_t − Deductible interest_t
  Tax EBITDA_t          = EBITDA_t (per ATAD definition for non-consolidated entities)
  Carryforward_t        = Carryforward_(t-1) + Non-deductible_t
                                                  (display only — not reused in v1)
Net income (after-tax) = EBT − Cash tax_t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ATAD note: </w:t>
      </w:r>
      <w:r>
        <w:rPr>
          <w:rFonts w:ascii="Arial" w:cs="Arial" w:eastAsia="Arial" w:hAnsi="Arial"/>
          <w:sz w:val="22"/>
          <w:szCs w:val="22"/>
        </w:rPr>
        <w:t xml:space="preserve">For Sidetrade EBITDA 2026 Base = €17.1m, the cap is MAX(€3m, 30% × €17.1m) = €5.13m. Interest on €54m debt at 7.5% = €4.05m. So no binding constraint in Base. The constraint may bind under higher leverage (e.g., 5.5× EBITDA = €74m debt, interest ~€5.5m vs cap ~€5.1m). The carryforward line should be modelled and shown but, per user instruction,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be reused</w:t>
      </w:r>
      <w:r>
        <w:rPr>
          <w:rFonts w:ascii="Arial" w:cs="Arial" w:eastAsia="Arial" w:hAnsi="Arial"/>
          <w:sz w:val="22"/>
          <w:szCs w:val="22"/>
        </w:rPr>
        <w:t xml:space="preserve"> against future taxable income in v1.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Cash flow with sweep mechanics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Net income (from P&amp;L)
(+) D&amp;A                                           (non-cash, add back)
(−) Capex
(−) ΔBFR
(−) Mandatory amortisation                        = 1% × initial debt
─────────────────────────────────────────────────────────────────────
Cash available before sweep (running balance)     = Prior cash + above
Excess over min cash                              = MAX(0, Cash available − Min cash)
Cash sweep                                        = 75% × Excess
Closing cash                                      = Cash available − Sweep
Total debt paydown_t                              = Mandatory + Sweep
Closing debt_t                                    = Opening debt_t − Total paydown_t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 cash respected by construction: </w:t>
      </w:r>
      <w:r>
        <w:rPr>
          <w:rFonts w:ascii="Arial" w:cs="Arial" w:eastAsia="Arial" w:hAnsi="Arial"/>
          <w:sz w:val="22"/>
          <w:szCs w:val="22"/>
        </w:rPr>
        <w:t xml:space="preserve">Because the sweep is calculated only on the excess above min cash, the closing cash balance is always ≥ min cash. The 25% of excess not swept accumulates on the BS — this is intentional and contributes to exit equity.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Exit waterfall (Year 5 = 2030)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Exit EBITDA 2030 (per scenario)                  = DCF!{col}12 for 2030
Exit multiple                                     = 15× (sensitivity 12-18×)
Exit Enterprise Value                             = EBITDA₂₀₃₀ × multiple
(−) Exit debt (closing debt year 5)
(+) Exit cash (closing cash year 5)
Exit equity value (total)
Sponsor share                                     = (1 − Mgmt rollover %)
Management share                                  = Mgmt rollover %
Sponsor exit equity                               = Exit equity × Sponsor share
Sponsor entry equity                              = From S&amp;U (the cheque sponsor wrote)
Sponsor IRR (5y)                                  = (Sponsor exit / Sponsor entry)^(1/5) − 1
Money-on-Money                                    = Sponsor exit / Sponsor entry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Affordability — reverse solve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combination of scenario × target IRR (9 total), use Goal Seek to find the maximum Entry EV that produces the target IRR for the sponsor.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18%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22.5%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IRR 25%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Bull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Goal seek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 Seek procedure: </w:t>
      </w:r>
      <w:r>
        <w:rPr>
          <w:rFonts w:ascii="Arial" w:cs="Arial" w:eastAsia="Arial" w:hAnsi="Arial"/>
          <w:sz w:val="22"/>
          <w:szCs w:val="22"/>
        </w:rPr>
        <w:t xml:space="preserve">Set the Sponsor IRR cell to target value (e.g., 0.18) by changing the Entry EV input cell. Document the result manually in a results table. Excel does not store goal-seek inputs; the table is for display only.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Sensitivity tables (required)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1 — Entry EV × Exit multiple → Sponsor IRR (Base scenario). 5×5 matrix. Entry EV column: 250/275/300/325/350 €m. Exit multiple row: 12/13/15/17/19×.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2 — Leverage × Exit multiple → Sponsor IRR (Base scenario, Entry EV held at €300m). 5×5 matrix. Leverage: 3.0/3.5/4.0/4.5/5.0× EBITDA. Exit multiple: same as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tables must be dynamic — formulas, not hardcodes. Mid-cell highlighted to show base case input.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 — Outputs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LBO_full tab must contain, in order top-to-bottom: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Header with tab title, version, date, sources legend.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block (Category A + B + C above, all with Source column).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 &amp; Uses table at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Capital structure post-close.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Operating projections cross-linked from DCF (5 years × 3 scenarios).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Debt schedule (5 years × 3 scenarios).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flow with sweep mechanics (5 years × 3 scenarios).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Exit waterfall (3 scenarios).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Sponsor IRR &amp; MoM per scenario.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Affordability table (9 max Entry EVs from Goal Seek).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Sensitivity tables (Entry EV × Exit multiple AND Leverage × Exit multiple).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Caveats block at bottom — quantify EV impact of: rate change ±100bps, leverage ±0.5×, transaction fees ±1% EV, exit multiple ±2×, CIR removed.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Sources legend at very bottom — list every citation used.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 — Formatting and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Font: Arial 10pt for body, Arial 12pt bold for section titles.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coding (industry standard): blue (RGB 0,0,255) = hardcoded inputs; black = formulas; green (RGB 0,128,0) = cross-sheet links; red (RGB 192,0,0) = errors or warnings.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Number formatting: €m with 1 decimal (e.g., €54.0m); multiples 1 decimal × (e.g., 4.0×); percentages 1 decimal (e.g., 22.5%); years as text (2026 not 2,026); zeros displayed as "−" (number format: #,##0;(#,##0);-).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Column widths: A=40 for labels, B-H=14 for figures, last column 60 for notes/sources.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input cell that is not cross-linked must have a Source column populated.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Section headers: dark blue fill (RGB 31,56,100), white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Sub-section headers: light blue fill (RGB 220,230,241), black text.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 — Out of Scope (v1)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debt tranches (TLB + Mezz + PIK). Single TLB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PIK toggle on subordinated debt.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Detailed covenant testing (springing covenants, headroom calc).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loss carryforwards from pre-existing Sidetrade NOLs.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Holdco / structure tax (e.g., interest deductibility limitations at the acquisition vehicle level beyond ATAD).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Vendor loan / deferred consideration / earn-out modelling beyond simple lump-sum exclusion.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Working capital peg adjustments at close (closing accounts mechanism).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Treasury management fees / monitoring fees to sponsor.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 — Verification and Sanity Checks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delivering, Codex must verify the following (and report results in a verification block at the bottom of the tab):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Sources = Total Uses (zero balancing residual).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Entry EV = DCF Base = €301.2m, sponsor IRR should fall between 18% and 25% (consistent with affordability range).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debt year 5 ≥ 0 (no negative debt).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Closing cash year 5 ≥ Min cash (sweep mechanics enforce this).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Tax line never negative (no implicit tax credit from interest deduction).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ATAD cap binding indicator: TRUE/FALSE per year per scenario. Should be FALSE in all years for Base case if leverage = 4× EBITDA.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Iterative calc convergence: difference between iteration n and n-1 &lt; €0.01m on closing debt year 5.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 — Delivery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Excel file: Sidetrade_Valuation_2026_v2.xlsx (preserve original, add v2 suffix).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tab LBO_full positioned immediately after the renamed LBO_old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Cover tab — update references that previously pointed to old LBO ranges (cells R19 in Cover) to point to new LBO_full outputs. Use the IRR 22.5% Base case as the central LBO reference number.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Football_field tab — update LBO row to reference new outputs.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a summary block at top of LBO_full listing every assumption with its category (A/B/C) and its source citation. This is the user's audit trail.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 — What the user (Hamza) will do after delivery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publication, the user must: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each Category B citation — pull the actual figure from EMMI/LSEG/PitchBook/etc. and update the value if different from the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 Olivier Novasque's actual ownership % from the Document d'Enregistrement Universel (AMF) and update Category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Decide management rollover % (within 30-80% of his stake) and document the rationale.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sensitivity analysis on the final affordability table and write a 3-paragraph commentary explaining which assumptions drive the range.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Appendix — Reference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CGI art. 219 </w:t>
      </w:r>
      <w:r>
        <w:rPr>
          <w:rFonts w:ascii="Arial" w:cs="Arial" w:eastAsia="Arial" w:hAnsi="Arial"/>
          <w:sz w:val="22"/>
          <w:szCs w:val="22"/>
        </w:rPr>
        <w:t xml:space="preserve">(IS rate): https://www.legifrance.gouv.fr/codes/article_lc/LEGIARTI000051648131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CGI art. 212 bis </w:t>
      </w:r>
      <w:r>
        <w:rPr>
          <w:rFonts w:ascii="Arial" w:cs="Arial" w:eastAsia="Arial" w:hAnsi="Arial"/>
          <w:sz w:val="22"/>
          <w:szCs w:val="22"/>
        </w:rPr>
        <w:t xml:space="preserve">(ATAD): https://www.legifrance.gouv.fr/codes/article_lc/LEGIARTI000037946264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BOI-IS-BASE-35-40-10 </w:t>
      </w:r>
      <w:r>
        <w:rPr>
          <w:rFonts w:ascii="Arial" w:cs="Arial" w:eastAsia="Arial" w:hAnsi="Arial"/>
          <w:sz w:val="22"/>
          <w:szCs w:val="22"/>
        </w:rPr>
        <w:t xml:space="preserve">(ATAD doctrine): https://bofip.impots.gouv.fr/bofip/11457-PGP.html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EMMI Euribor </w:t>
      </w:r>
      <w:r>
        <w:rPr>
          <w:rFonts w:ascii="Arial" w:cs="Arial" w:eastAsia="Arial" w:hAnsi="Arial"/>
          <w:sz w:val="22"/>
          <w:szCs w:val="22"/>
        </w:rPr>
        <w:t xml:space="preserve">(daily rates): https://www.emmi-benchmarks.eu/benchmarks/euribor/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AMF Info Financière </w:t>
      </w:r>
      <w:r>
        <w:rPr>
          <w:rFonts w:ascii="Arial" w:cs="Arial" w:eastAsia="Arial" w:hAnsi="Arial"/>
          <w:sz w:val="22"/>
          <w:szCs w:val="22"/>
        </w:rPr>
        <w:t xml:space="preserve">(Sidetrade DEU + Stat Report): https://www.amf-france.org/fr/recherche-information-emetteurs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PitchBook European LBO Reports </w:t>
      </w:r>
      <w:r>
        <w:rPr>
          <w:rFonts w:ascii="Arial" w:cs="Arial" w:eastAsia="Arial" w:hAnsi="Arial"/>
          <w:sz w:val="22"/>
          <w:szCs w:val="22"/>
        </w:rPr>
        <w:t xml:space="preserve">(quarterly): https://pitchbook.com/news/reports — search "European Buyout"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S&amp;P LCD LevFin Quarterly </w:t>
      </w:r>
      <w:r>
        <w:rPr>
          <w:rFonts w:ascii="Arial" w:cs="Arial" w:eastAsia="Arial" w:hAnsi="Arial"/>
          <w:sz w:val="22"/>
          <w:szCs w:val="22"/>
        </w:rPr>
        <w:t xml:space="preserve">(via S&amp;P Global): https://www.spglobal.com/marketintelligence/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Argos Wityu Mid-Market Index </w:t>
      </w:r>
      <w:r>
        <w:rPr>
          <w:rFonts w:ascii="Arial" w:cs="Arial" w:eastAsia="Arial" w:hAnsi="Arial"/>
          <w:sz w:val="22"/>
          <w:szCs w:val="22"/>
        </w:rPr>
        <w:t xml:space="preserve">(quarterly): https://argos.wityu.fund/argos-mid-market-index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Damodaran data </w:t>
      </w:r>
      <w:r>
        <w:rPr>
          <w:rFonts w:ascii="Arial" w:cs="Arial" w:eastAsia="Arial" w:hAnsi="Arial"/>
          <w:sz w:val="22"/>
          <w:szCs w:val="22"/>
        </w:rPr>
        <w:t xml:space="preserve">(WACC, beta, size premium): https://pages.stern.nyu.edu/~adamodar/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2026-05-30T14:04:07.629Z</dcterms:created>
  <dcterms:modified xsi:type="dcterms:W3CDTF">2026-05-30T14:04:07.630Z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