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32"/>
          <w:szCs w:val="32"/>
        </w:rPr>
        <w:t xml:space="preserve">Sidetrade LBO Model — Build Specification v2.0</w:t>
      </w:r>
    </w:p>
    <w:p>
      <w:pPr>
        <w:spacing w:after="120"/>
      </w:pPr>
      <w:r>
        <w:rPr>
          <w:rFonts w:ascii="Arial" w:cs="Arial" w:eastAsia="Arial" w:hAnsi="Arial"/>
          <w:b/>
          <w:bCs/>
          <w:sz w:val="22"/>
          <w:szCs w:val="22"/>
        </w:rPr>
        <w:t xml:space="preserve">Target file: </w:t>
      </w:r>
      <w:r>
        <w:rPr>
          <w:rFonts w:ascii="Arial" w:cs="Arial" w:eastAsia="Arial" w:hAnsi="Arial"/>
          <w:sz w:val="22"/>
          <w:szCs w:val="22"/>
        </w:rPr>
        <w:t xml:space="preserve">Sidetrade_Valuation_2026.xlsx (attached). </w:t>
      </w:r>
      <w:r>
        <w:rPr>
          <w:rFonts w:ascii="Arial" w:cs="Arial" w:eastAsia="Arial" w:hAnsi="Arial"/>
          <w:b/>
          <w:bCs/>
          <w:sz w:val="22"/>
          <w:szCs w:val="22"/>
        </w:rPr>
        <w:t xml:space="preserve">New tab to create: </w:t>
      </w:r>
      <w:r>
        <w:rPr>
          <w:rFonts w:ascii="Arial" w:cs="Arial" w:eastAsia="Arial" w:hAnsi="Arial"/>
          <w:sz w:val="22"/>
          <w:szCs w:val="22"/>
        </w:rPr>
        <w:t xml:space="preserve">LBO_full. Keep existing LBO tab as archive — rename to LBO_old, do not delete.</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Build a rigorous LBO model with proper debt schedule, interest mechanics, ATAD-compliant tax shield, exit waterfall. Output: 9 affordability Enterprise Values (3 scenarios × 3 IRR targets) plus sensitivity tables. Replace the simplified LBO range that currently exists in the workbook (hardcoded 135/283/455 €m EV).</w:t>
      </w:r>
    </w:p>
    <w:p>
      <w:pPr>
        <w:spacing w:after="120"/>
      </w:pPr>
      <w:r>
        <w:rPr>
          <w:rFonts w:ascii="Arial" w:cs="Arial" w:eastAsia="Arial" w:hAnsi="Arial"/>
          <w:b/>
          <w:bCs/>
          <w:sz w:val="22"/>
          <w:szCs w:val="22"/>
        </w:rPr>
        <w:t xml:space="preserve">Versioning note: </w:t>
      </w:r>
      <w:r>
        <w:rPr>
          <w:rFonts w:ascii="Arial" w:cs="Arial" w:eastAsia="Arial" w:hAnsi="Arial"/>
          <w:i/>
          <w:iCs/>
          <w:sz w:val="22"/>
          <w:szCs w:val="22"/>
        </w:rPr>
        <w:t xml:space="preserve">v2 vs v1 differences: all market-standard inputs are now sourced with public citations (Section 2.2); Sidetrade-specific items are populated with verified data from sourced press releases (Section 2.3); a new Section 5 "Verification Toolkit" provides direct URLs for the user to audit each input independently.</w:t>
      </w:r>
    </w:p>
    <w:p>
      <w:pPr>
        <w:spacing w:after="120"/>
      </w:pPr>
      <w:r>
        <w:rPr>
          <w:rFonts w:ascii="Arial" w:cs="Arial" w:eastAsia="Arial" w:hAnsi="Arial"/>
          <w:color w:val="C00000"/>
          <w:sz w:val="22"/>
          <w:szCs w:val="22"/>
        </w:rPr>
        <w:t xml:space="preserve">CRITICAL RULE — every hardcoded input must have a Source column populated (citation or explicit "Assumption" tag). No orphan numbers. Codex must not invent.</w:t>
      </w:r>
    </w:p>
    <w:p>
      <w:pPr>
        <w:pStyle w:val="Heading1"/>
        <w:spacing w:after="160" w:before="320"/>
      </w:pPr>
      <w:r>
        <w:rPr>
          <w:rFonts w:ascii="Arial" w:cs="Arial" w:eastAsia="Arial" w:hAnsi="Arial"/>
          <w:b/>
          <w:bCs/>
          <w:color w:val="1F3864"/>
          <w:sz w:val="32"/>
          <w:szCs w:val="32"/>
        </w:rPr>
        <w:t xml:space="preserve">Section 1 — Context and Reuse</w:t>
      </w:r>
    </w:p>
    <w:p>
      <w:pPr>
        <w:pStyle w:val="Heading2"/>
        <w:spacing w:after="120" w:before="240"/>
      </w:pPr>
      <w:r>
        <w:rPr>
          <w:rFonts w:ascii="Arial" w:cs="Arial" w:eastAsia="Arial" w:hAnsi="Arial"/>
          <w:b/>
          <w:bCs/>
          <w:color w:val="1F3864"/>
          <w:sz w:val="26"/>
          <w:szCs w:val="26"/>
        </w:rPr>
        <w:t xml:space="preserve">1.1 What already exists in the workbook (reuse, do not modify)</w:t>
      </w:r>
    </w:p>
    <w:p>
      <w:pPr>
        <w:pStyle w:val="ListParagraph"/>
        <w:numPr>
          <w:ilvl w:val="0"/>
          <w:numId w:val="2"/>
        </w:numPr>
        <w:spacing w:after="80"/>
      </w:pPr>
      <w:r>
        <w:rPr>
          <w:rFonts w:ascii="Arial" w:cs="Arial" w:eastAsia="Arial" w:hAnsi="Arial"/>
          <w:sz w:val="22"/>
          <w:szCs w:val="22"/>
        </w:rPr>
        <w:t xml:space="preserve">Inputs tab: scenario drivers (Bear/Base/Bull) in columns B/C/D — growth, margins, WACC, terminal growth. Reuse rows 14-18 (revenue growth), 22 (EBITDA margin 2030), 30-33 (D&amp;A/Capex/ΔBFR/CIR), 37-38 (WACC, g).</w:t>
      </w:r>
    </w:p>
    <w:p>
      <w:pPr>
        <w:pStyle w:val="ListParagraph"/>
        <w:numPr>
          <w:ilvl w:val="0"/>
          <w:numId w:val="2"/>
        </w:numPr>
        <w:spacing w:after="80"/>
      </w:pPr>
      <w:r>
        <w:rPr>
          <w:rFonts w:ascii="Arial" w:cs="Arial" w:eastAsia="Arial" w:hAnsi="Arial"/>
          <w:sz w:val="22"/>
          <w:szCs w:val="22"/>
        </w:rPr>
        <w:t xml:space="preserve">FY25_base tab: full FY25 reconciliation. Net debt €14.654m (B49), diluted shares 1,536,790 (B69), gross debt €30.981m (B43+B44 if you sum), cash €5.402m (B40), securities €10.925m (B41).</w:t>
      </w:r>
    </w:p>
    <w:p>
      <w:pPr>
        <w:pStyle w:val="ListParagraph"/>
        <w:numPr>
          <w:ilvl w:val="0"/>
          <w:numId w:val="2"/>
        </w:numPr>
        <w:spacing w:after="80"/>
      </w:pPr>
      <w:r>
        <w:rPr>
          <w:rFonts w:ascii="Arial" w:cs="Arial" w:eastAsia="Arial" w:hAnsi="Arial"/>
          <w:sz w:val="22"/>
          <w:szCs w:val="22"/>
        </w:rPr>
        <w:t xml:space="preserve">DCF tab: 5-year projections per scenario. Revenue row 7, EBITDA row 12, D&amp;A row 13, Capex row 19, ΔBFR row 20. Year groups: B-D = 2026, E-G = 2027, H-J = 2028, K-M = 2029, N-P = 2030. Within each group: Bear/Base/Bull.</w:t>
      </w:r>
    </w:p>
    <w:p>
      <w:pPr>
        <w:pStyle w:val="ListParagraph"/>
        <w:numPr>
          <w:ilvl w:val="0"/>
          <w:numId w:val="2"/>
        </w:numPr>
        <w:spacing w:after="80"/>
      </w:pPr>
      <w:r>
        <w:rPr>
          <w:rFonts w:ascii="Arial" w:cs="Arial" w:eastAsia="Arial" w:hAnsi="Arial"/>
          <w:sz w:val="22"/>
          <w:szCs w:val="22"/>
        </w:rPr>
        <w:t xml:space="preserve">Equity_bridge tab has a units bug at row 19 (=B18/1000 should be =B18/1000000). DO NOT TOUCH — will be fixed in a separate pass.</w:t>
      </w:r>
    </w:p>
    <w:p>
      <w:pPr>
        <w:pStyle w:val="Heading2"/>
        <w:spacing w:after="120" w:before="240"/>
      </w:pPr>
      <w:r>
        <w:rPr>
          <w:rFonts w:ascii="Arial" w:cs="Arial" w:eastAsia="Arial" w:hAnsi="Arial"/>
          <w:b/>
          <w:bCs/>
          <w:color w:val="1F3864"/>
          <w:sz w:val="26"/>
          <w:szCs w:val="26"/>
        </w:rPr>
        <w:t xml:space="preserve">1.2 What this build does NOT modify</w:t>
      </w:r>
    </w:p>
    <w:p>
      <w:pPr>
        <w:pStyle w:val="ListParagraph"/>
        <w:numPr>
          <w:ilvl w:val="0"/>
          <w:numId w:val="2"/>
        </w:numPr>
        <w:spacing w:after="80"/>
      </w:pPr>
      <w:r>
        <w:rPr>
          <w:rFonts w:ascii="Arial" w:cs="Arial" w:eastAsia="Arial" w:hAnsi="Arial"/>
          <w:sz w:val="22"/>
          <w:szCs w:val="22"/>
        </w:rPr>
        <w:t xml:space="preserve">All tabs except: (a) rename current LBO to LBO_old, (b) create new LBO_full, (c) update Cover R19 and Football_field R8 to point to new LBO_full outputs. Nothing else changes.</w:t>
      </w:r>
    </w:p>
    <w:p>
      <w:pPr>
        <w:pStyle w:val="ListParagraph"/>
        <w:numPr>
          <w:ilvl w:val="0"/>
          <w:numId w:val="2"/>
        </w:numPr>
        <w:spacing w:after="80"/>
      </w:pPr>
      <w:r>
        <w:rPr>
          <w:rFonts w:ascii="Arial" w:cs="Arial" w:eastAsia="Arial" w:hAnsi="Arial"/>
          <w:sz w:val="22"/>
          <w:szCs w:val="22"/>
        </w:rPr>
        <w:t xml:space="preserve">Do not add new global assumptions in Inputs tab. All LBO-specific assumptions live in LBO_full input block.</w:t>
      </w:r>
    </w:p>
    <w:p>
      <w:pPr>
        <w:pStyle w:val="Heading1"/>
        <w:spacing w:after="160" w:before="320"/>
      </w:pPr>
      <w:r>
        <w:rPr>
          <w:rFonts w:ascii="Arial" w:cs="Arial" w:eastAsia="Arial" w:hAnsi="Arial"/>
          <w:b/>
          <w:bCs/>
          <w:color w:val="1F3864"/>
          <w:sz w:val="32"/>
          <w:szCs w:val="32"/>
        </w:rPr>
        <w:t xml:space="preserve">Section 2 — Inputs Catalog (v2 — properly sourced)</w:t>
      </w:r>
    </w:p>
    <w:p>
      <w:pPr>
        <w:spacing w:after="120"/>
      </w:pPr>
      <w:r>
        <w:rPr>
          <w:rFonts w:ascii="Arial" w:cs="Arial" w:eastAsia="Arial" w:hAnsi="Arial"/>
          <w:b/>
          <w:bCs/>
          <w:sz w:val="22"/>
          <w:szCs w:val="22"/>
        </w:rPr>
        <w:t xml:space="preserve">Three categories: </w:t>
      </w:r>
      <w:r>
        <w:rPr>
          <w:rFonts w:ascii="Arial" w:cs="Arial" w:eastAsia="Arial" w:hAnsi="Arial"/>
          <w:sz w:val="22"/>
          <w:szCs w:val="22"/>
        </w:rPr>
        <w:t xml:space="preserve">(A) Verified — citations are real public/regulatory sources, use as-is. (B) Market standard — sourced via market reports (links in Section 5), use as-is unless user updates value to latest reading. (C) Sidetrade-specific — verified via Sidetrade press releases and corporate filings.</w:t>
      </w:r>
    </w:p>
    <w:p>
      <w:pPr>
        <w:pStyle w:val="Heading2"/>
        <w:spacing w:after="120" w:before="240"/>
      </w:pPr>
      <w:r>
        <w:rPr>
          <w:rFonts w:ascii="Arial" w:cs="Arial" w:eastAsia="Arial" w:hAnsi="Arial"/>
          <w:b/>
          <w:bCs/>
          <w:color w:val="1F3864"/>
          <w:sz w:val="26"/>
          <w:szCs w:val="26"/>
        </w:rPr>
        <w:t xml:space="preserve">2.1 Category A — Verified rigorously (regulatory / official)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800"/>
        <w:gridCol w:w="1700"/>
      </w:tblGrid>
      <w:tr>
        <w:tc>
          <w:tcPr>
            <w:tcW w:type="dxa" w:w="3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Verification URL</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French corporate income tax rate (IS)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25.83% (25% + 3.3% social contribution)</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CGI art. 219; BOI-IS-AUT-10</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legifrance.gouv.fr/codes/article_lc/LEGIARTI000051648131</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ATAD interest deductibility cap</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MAX(€3m, 30% × Tax EBITDA)</w:t>
            </w:r>
          </w:p>
        </w:tc>
        <w:tc>
          <w:tcPr>
            <w:tcW w:type="dxa" w:w="28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CGI art. 212 bis; Directive 2016/1164; BOI-IS-BASE-35-40</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bofip.impots.gouv.fr/bofip/11457-PGP.html</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FY25 EBITDA (incl. CIR)</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€13.384m</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p.5 (already in Inputs!B7)</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Cross-link</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Sidetrade FY25 net debt strict</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€14.654m</w:t>
            </w:r>
          </w:p>
        </w:tc>
        <w:tc>
          <w:tcPr>
            <w:tcW w:type="dxa" w:w="28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FY25_base!B49 (Note 10)</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Cross-link</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diluted shares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1,536,790</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FY25_base!B69 (Note 30)</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Cross-link</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Operating projections</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Per scenario, 2026-2030</w:t>
            </w:r>
          </w:p>
        </w:tc>
        <w:tc>
          <w:tcPr>
            <w:tcW w:type="dxa" w:w="28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DCF tab</w:t>
            </w:r>
          </w:p>
        </w:tc>
        <w:tc>
          <w:tcPr>
            <w:tcW w:type="dxa" w:w="1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Cross-link</w:t>
            </w:r>
          </w:p>
        </w:tc>
      </w:tr>
    </w:tbl>
    <w:p>
      <w:pPr>
        <w:pStyle w:val="Heading2"/>
        <w:spacing w:after="120" w:before="240"/>
      </w:pPr>
      <w:r>
        <w:rPr>
          <w:rFonts w:ascii="Arial" w:cs="Arial" w:eastAsia="Arial" w:hAnsi="Arial"/>
          <w:b/>
          <w:bCs/>
          <w:color w:val="1F3864"/>
          <w:sz w:val="26"/>
          <w:szCs w:val="26"/>
        </w:rPr>
        <w:t xml:space="preserve">2.2 Category B — Market standards (sourced via market reports — March 2026)</w:t>
      </w:r>
    </w:p>
    <w:p>
      <w:pPr>
        <w:spacing w:after="120"/>
      </w:pPr>
      <w:r>
        <w:rPr>
          <w:rFonts w:ascii="Arial" w:cs="Arial" w:eastAsia="Arial" w:hAnsi="Arial"/>
          <w:sz w:val="22"/>
          <w:szCs w:val="22"/>
        </w:rPr>
        <w:t xml:space="preserve">All values below are sourced from public market reports dated late-2025 to early-2026. See </w:t>
      </w:r>
      <w:r>
        <w:rPr>
          <w:rFonts w:ascii="Arial" w:cs="Arial" w:eastAsia="Arial" w:hAnsi="Arial"/>
          <w:b/>
          <w:bCs/>
          <w:sz w:val="22"/>
          <w:szCs w:val="22"/>
        </w:rPr>
        <w:t xml:space="preserve">Section 5</w:t>
      </w:r>
      <w:r>
        <w:rPr>
          <w:rFonts w:ascii="Arial" w:cs="Arial" w:eastAsia="Arial" w:hAnsi="Arial"/>
          <w:sz w:val="22"/>
          <w:szCs w:val="22"/>
        </w:rPr>
        <w:t xml:space="preserve"> for direct URLs. The user should pull the latest reading before publication and adjust if material drift (&gt;50bps for rates, &gt;0.5× for leverage).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200"/>
        <w:gridCol w:w="1600"/>
      </w:tblGrid>
      <w:t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 (March 2026)</w:t>
            </w:r>
          </w:p>
        </w:tc>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Euribor 3M (base rate)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[USER PULLS LATEST]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EMMI / ECB Data Portal</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Approx. 2.7-3.0% per early-2025 readings; pull spot from emmi-benchmarks.eu</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TLB spread over Euribor (B-rated)</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+479 bps median</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S&amp;P Global European Leveraged Finance Monthly, March 2026</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Range +415 (Dec-2025) to +479 (Mar-2026) — for small-cap SaaS like Sidetrade, expect upper end</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TLB all-in yield (B-rated, market median)</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7.01%</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S&amp;P Global European LevFin Monthly Mar-2026</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Mid-market benchmark; widens for sub-investment grade</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Senior secured private credit all-in yield</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8.5–11.0%</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Private credit market reports (DD Talks, AFME HYLL 2Q-2025)</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For small-cap deals where TLB market not accessible</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Arrangement fees (TLB / direct lending)</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2.5–2.75% of debt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European LevFin term sheets (WSO superthread)</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Down from ~3% in prior periods; some lenders accept 2%</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Original Issue Discount (OID)</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1–2% of debt (98–99 cents on par)</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European mid-market LevFin convention</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Standard direct lending; bundled with arrangement fees</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Total financing fees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 of new debt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Calculated: arrangement + OID</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Booked as use at close</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Mandatory amortisation rate (TLB)</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 of original principal / year</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European TLB convention; bullet 99% at maturity</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Standard</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Cash sweep percentage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50–75% of excess FCF (step-down)</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European LevFin convention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Higher % at higher leverage, steps down as deleveraging</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Leverage at close — mid-market SaaS LBO</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4.0–6.0× total debt / EBITDA (senior 3.0–4.5×)</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Capstone Middle-Market LevFin Update Q1-2026; PitchBook</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For Sidetrade at €13.4m EBITDA: 4.0× = €54m, 5.0× = €67m</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M&amp;A advisory success fees — mid-market</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3–5% of EV for €10–30m EBITDA target</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Firmex M&amp;A Fee Guide 2024-2025 European Edition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EBITDA €13.4m falls in this band; expect upper end</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M&amp;A advisory fees — &gt;€100m deals</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1–2% of EV</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Firmex Guide</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For reference</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Transaction fees total (advisor + legal + DD)</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2.5–3.5% of EV</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Firmex Guide + Cleary Gottlieb European LevFin commentary</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M&amp;A success fee + legal ~0.5% + DD ~0.5%</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Management equity rollover — average</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20% of consideration</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Auxo Capital / IB Interview Questions / Sullivan &amp; Cromwell</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Mid-market sponsor control deal standard</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Management equity rollover — founder staying active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20–40% (higher than average)</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Wall Street Prep; FE Training; Auxo Capital</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case: founder Olivier Novasque remains CEO post-deal → upper end likely</w:t>
            </w:r>
          </w:p>
        </w:tc>
      </w:tr>
    </w:tbl>
    <w:p>
      <w:pPr>
        <w:pStyle w:val="Heading2"/>
        <w:spacing w:after="120" w:before="240"/>
      </w:pPr>
      <w:r>
        <w:rPr>
          <w:rFonts w:ascii="Arial" w:cs="Arial" w:eastAsia="Arial" w:hAnsi="Arial"/>
          <w:b/>
          <w:bCs/>
          <w:color w:val="1F3864"/>
          <w:sz w:val="26"/>
          <w:szCs w:val="26"/>
        </w:rPr>
        <w:t xml:space="preserve">2.3 Category C — Sidetrade-specific (verified via Sidetrade IR and press releases)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200"/>
        <w:gridCol w:w="1600"/>
      </w:tblGrid>
      <w:tr>
        <w:tc>
          <w:tcPr>
            <w:tcW w:type="dxa" w:w="2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Verified value</w:t>
            </w:r>
          </w:p>
        </w:tc>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Date</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Olivier Novasque ownership</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35% of share capital</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press release (Briarwood Chase 10%, Feb-2026); MarketScreener UK shareholder structure</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March 3, 2026</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Briarwood Chase Management ownership</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&gt;10% (after 2x stake increase)</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Sidetrade press release Feb-2026</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Feb 2026</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Mission Trail Capital ownership</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Sidetrade press release Mar-2026</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March 24, 2026</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Free float (residual)</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~50% (= 100% − 35% − 10% − 5%)</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Calculated</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Treasury shares</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85,300 shares (€20.6m market value)</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FY25_base!B41 reference + Note 6 Stat Report</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31-Dec-2025</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Basic shares outstanding</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1,497,346</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30</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31-Dec-2025</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BSAP 2021 remaining</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10,742 warrants</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30 (already in FY25_base!B69 explanation)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31-Dec-2025</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BSAP 2023 remaining</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28,702 warrants</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30 (already in FY25_base!B69 explanation)</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31-Dec-2025</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Earn-outs Amalto + CreditPoint</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€0.3m + €0.2m = €0.5m total</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10 (cited in Caveats tab)</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FY25</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ezyCollect earn-out remaining</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~€1.5m</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(cited in Caveats tab)</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FY25</w:t>
            </w:r>
          </w:p>
        </w:tc>
      </w:tr>
      <w:t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Existing financial debt total</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€30.981m (BNP €10m + LCL €15m + BPI/BNP legacy €5.8m)</w:t>
            </w:r>
          </w:p>
        </w:tc>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Stat Report Note 10 + FY25_base!B43</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31-Dec-2025</w:t>
            </w:r>
          </w:p>
        </w:tc>
      </w:tr>
      <w:tr>
        <w:tc>
          <w:tcPr>
            <w:tcW w:type="dxa" w:w="27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Existing debt covenant</w:t>
            </w:r>
          </w:p>
        </w:tc>
        <w:tc>
          <w:tcPr>
            <w:tcW w:type="dxa" w:w="2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Net debt / EBITDA &lt; 2.5× (on BNP/LCL ezyCollect loans)</w:t>
            </w:r>
          </w:p>
        </w:tc>
        <w:tc>
          <w:tcPr>
            <w:tcW w:type="dxa" w:w="3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Stat Report Note 10 (existing constraint)</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FY25</w:t>
            </w:r>
          </w:p>
        </w:tc>
      </w:tr>
    </w:tbl>
    <w:p>
      <w:pPr>
        <w:spacing w:after="120"/>
      </w:pPr>
      <w:r>
        <w:rPr>
          <w:rFonts w:ascii="Arial" w:cs="Arial" w:eastAsia="Arial" w:hAnsi="Arial"/>
          <w:b/>
          <w:bCs/>
          <w:sz w:val="22"/>
          <w:szCs w:val="22"/>
        </w:rPr>
        <w:t xml:space="preserve">Implication for rollover sizing: </w:t>
      </w:r>
      <w:r>
        <w:rPr>
          <w:rFonts w:ascii="Arial" w:cs="Arial" w:eastAsia="Arial" w:hAnsi="Arial"/>
          <w:sz w:val="22"/>
          <w:szCs w:val="22"/>
        </w:rPr>
        <w:t xml:space="preserve">Novasque holds 35% pre-deal. As founder staying active as CEO post-LBO, he is expected to roll 30-40% rollover percentage (industry standard for active founder), meaning he keeps ~30% × 35% = ~10-15% of post-deal NewCo. The other identified shareholders (Briarwood 10%, Mission Trail 5%) are recent passive investors and would take the cash exit, not roll. Free float (~50%) also takes the cash exit.</w:t>
      </w:r>
    </w:p>
    <w:p>
      <w:pPr>
        <w:spacing w:after="120"/>
      </w:pPr>
      <w:r>
        <w:rPr>
          <w:rFonts w:ascii="Arial" w:cs="Arial" w:eastAsia="Arial" w:hAnsi="Arial"/>
          <w:b/>
          <w:bCs/>
          <w:sz w:val="22"/>
          <w:szCs w:val="22"/>
        </w:rPr>
        <w:t xml:space="preserve">Suggested base assumption for v1: </w:t>
      </w:r>
      <w:r>
        <w:rPr>
          <w:rFonts w:ascii="Arial" w:cs="Arial" w:eastAsia="Arial" w:hAnsi="Arial"/>
          <w:sz w:val="22"/>
          <w:szCs w:val="22"/>
        </w:rPr>
        <w:t xml:space="preserve">Novasque rolls 35% of his consideration (i.e., he gets 65% cash + 35% NewCo equity for his stake). This yields him ~12.25% of NewCo. Sensitise 25%-50% rollover.</w:t>
      </w:r>
    </w:p>
    <w:p>
      <w:pPr>
        <w:pStyle w:val="Heading2"/>
        <w:spacing w:after="120" w:before="240"/>
      </w:pPr>
      <w:r>
        <w:rPr>
          <w:rFonts w:ascii="Arial" w:cs="Arial" w:eastAsia="Arial" w:hAnsi="Arial"/>
          <w:b/>
          <w:bCs/>
          <w:color w:val="1F3864"/>
          <w:sz w:val="26"/>
          <w:szCs w:val="26"/>
        </w:rPr>
        <w:t xml:space="preserve">2.4 Category D — Modelling assumptions (no public source — justify in-model)</w:t>
      </w:r>
    </w:p>
    <w:p>
      <w:pPr>
        <w:spacing w:after="120"/>
      </w:pPr>
      <w:r>
        <w:rPr>
          <w:rFonts w:ascii="Arial" w:cs="Arial" w:eastAsia="Arial" w:hAnsi="Arial"/>
          <w:sz w:val="22"/>
          <w:szCs w:val="22"/>
        </w:rPr>
        <w:t xml:space="preserve">These are pure modelling choices. They must be flagged </w:t>
      </w:r>
      <w:r>
        <w:rPr>
          <w:rFonts w:ascii="Arial" w:cs="Arial" w:eastAsia="Arial" w:hAnsi="Arial"/>
          <w:i/>
          <w:iCs/>
          <w:sz w:val="22"/>
          <w:szCs w:val="22"/>
        </w:rPr>
        <w:t xml:space="preserve">"Assumption — modelling"</w:t>
      </w:r>
      <w:r>
        <w:rPr>
          <w:rFonts w:ascii="Arial" w:cs="Arial" w:eastAsia="Arial" w:hAnsi="Arial"/>
          <w:sz w:val="22"/>
          <w:szCs w:val="22"/>
        </w:rPr>
        <w:t xml:space="preserve"> in the Source column and sensitised explicitly.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00"/>
        <w:gridCol w:w="1600"/>
      </w:tblGrid>
      <w:tr>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Suggested value</w:t>
            </w:r>
          </w:p>
        </w:tc>
        <w:tc>
          <w:tcPr>
            <w:tcW w:type="dxa" w:w="3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Sensitivity range</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Min cash on balance sheet (operational)</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€8m</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1 month OpEx (Sidetrade total OpEx ~€48m/yr); standard for €60m revenue SaaS</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€5m – €12m</w:t>
            </w:r>
          </w:p>
        </w:tc>
      </w:tr>
      <w:tr>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IRR targets for affordability</w:t>
            </w:r>
          </w:p>
        </w:tc>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18% / 22.5% / 25%</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Mid-market PE convention. 18% = strategic patience buyer; 22.5% = mid-market median; 25% = aggressive return</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Cite as "PE sponsor convention" — no public benchmark publication</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Holding period</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5 years</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Standard PE hold; matches DCF horizon</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Fixed at 5 — sensitivity not necessary</w:t>
            </w:r>
          </w:p>
        </w:tc>
      </w:tr>
      <w:tr>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Exit multiple (Year 5)</w:t>
            </w:r>
          </w:p>
        </w:tc>
        <w:tc>
          <w:tcPr>
            <w:tcW w:type="dxa" w:w="24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15× EBITDA 2030</w:t>
            </w:r>
          </w:p>
        </w:tc>
        <w:tc>
          <w:tcPr>
            <w:tcW w:type="dxa" w:w="33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Cross-check with TV exit multiple in DCF (Inputs!B39). Conservative vs trading comps at 22-25×</w:t>
            </w:r>
          </w:p>
        </w:tc>
        <w:tc>
          <w:tcPr>
            <w:tcW w:type="dxa" w:w="16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12×–18× sensitivity</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Equity rollover %</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35% of Novasque consideration</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Founder staying active, upper end of typical range</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25%–50% sensitivity</w:t>
            </w:r>
          </w:p>
        </w:tc>
      </w:tr>
    </w:tbl>
    <w:p>
      <w:pPr>
        <w:pStyle w:val="Heading1"/>
        <w:spacing w:after="160" w:before="320"/>
      </w:pPr>
      <w:r>
        <w:rPr>
          <w:rFonts w:ascii="Arial" w:cs="Arial" w:eastAsia="Arial" w:hAnsi="Arial"/>
          <w:b/>
          <w:bCs/>
          <w:color w:val="1F3864"/>
          <w:sz w:val="32"/>
          <w:szCs w:val="32"/>
        </w:rPr>
        <w:t xml:space="preserve">Section 3 — Modelling Mechanics</w:t>
      </w:r>
    </w:p>
    <w:p>
      <w:pPr>
        <w:pStyle w:val="Heading2"/>
        <w:spacing w:after="120" w:before="240"/>
      </w:pPr>
      <w:r>
        <w:rPr>
          <w:rFonts w:ascii="Arial" w:cs="Arial" w:eastAsia="Arial" w:hAnsi="Arial"/>
          <w:b/>
          <w:bCs/>
          <w:color w:val="1F3864"/>
          <w:sz w:val="26"/>
          <w:szCs w:val="26"/>
        </w:rPr>
        <w:t xml:space="preserve">3.1 Sources &amp; Uses (at close, €m)</w:t>
      </w:r>
    </w:p>
    <w:p>
      <w:pPr>
        <w:spacing w:after="120"/>
      </w:pPr>
      <w:r>
        <w:rPr>
          <w:rFonts w:ascii="Arial" w:cs="Arial" w:eastAsia="Arial" w:hAnsi="Arial"/>
          <w:sz w:val="22"/>
          <w:szCs w:val="22"/>
        </w:rPr>
        <w:t xml:space="preserve">Build immediately after the input block in LBO_full. Use color convention (blue input, black formula, green cross-sheet).</w:t>
      </w:r>
    </w:p>
    <w:p>
      <w:pPr>
        <w:shd w:fill="F4F4F4" w:val="clear"/>
        <w:spacing w:after="120"/>
      </w:pPr>
      <w:r>
        <w:rPr>
          <w:rFonts w:ascii="Consolas" w:cs="Consolas" w:eastAsia="Consolas" w:hAnsi="Consolas"/>
          <w:sz w:val="20"/>
          <w:szCs w:val="20"/>
        </w:rPr>
        <w:t xml:space="preserve">USES                                                              €m
──────────────────────────────────────────────────────────────────────────
Equity Value to selling shareholders                          computed
   = Entry EV + Existing cash − Existing debt − Mgmt rollover value
   (locked-box equivalent: buyer pays EV cash-and-debt-free,
    adjusted for actual cash/debt at close)
Refinance existing financial debt                             30.981
Cash to balance sheet (top up to min cash €8m)                computed
   = MAX(0, Min cash − Existing cash) — generally zero since
     Sidetrade has €16.3m cash &gt; €8m peg
BSAP / dilutive instruments settlement                        computed
   = (BSAP 2021 + 2023) × (offer price − strike)
   placeholder until strike sourced from Stat Report Note 30
Transaction fees (3% × Entry EV)                              computed
Financing fees (3% × New debt)                                computed
──────────────────────────────────────────────────────────────────────────
TOTAL USES                                                    sum
SOURCES                                                       €m       %
────────────────────────────────────────────────────────────────────────────────
New TLB (target leverage × EBITDA FY25)                       computed
   Recommended base: 4.0× EBITDA = €53.5m
RCF drawn at close                                            0.000
   Committed but undrawn; €15m commitment fee 50bps assumed
Existing cash rolled (= min cash €8m, residual to sellers)    8.000
Management equity rollover (non-cash)                         computed
   = Novasque ownership 35% × rollover % × Entry EV
   At 35% rollover: 35% × 35% × €301m = ~€37m
Sponsor equity check (balancing figure)                       balancing
────────────────────────────────────────────────────────────────────────────────
TOTAL SOURCES = TOTAL USES                                    check</w:t>
      </w:r>
    </w:p>
    <w:p>
      <w:pPr>
        <w:spacing w:after="120"/>
      </w:pPr>
      <w:r>
        <w:rPr>
          <w:rFonts w:ascii="Arial" w:cs="Arial" w:eastAsia="Arial" w:hAnsi="Arial"/>
          <w:b/>
          <w:bCs/>
          <w:sz w:val="22"/>
          <w:szCs w:val="22"/>
        </w:rPr>
        <w:t xml:space="preserve">Rollover mechanics — important: </w:t>
      </w:r>
      <w:r>
        <w:rPr>
          <w:rFonts w:ascii="Arial" w:cs="Arial" w:eastAsia="Arial" w:hAnsi="Arial"/>
          <w:sz w:val="22"/>
          <w:szCs w:val="22"/>
        </w:rPr>
        <w:t xml:space="preserve">The management rollover is NOT a source of cash for the company. It is a portion of the purchase price paid in NewCo shares (not cash). Effect: sponsor equity check is reduced by the rollover value, but price to sellers (and especially the 65% of Novasque taking cash) is unchanged. Treat as a non-cash source on the S&amp;U.</w:t>
      </w:r>
    </w:p>
    <w:p>
      <w:pPr>
        <w:pStyle w:val="Heading2"/>
        <w:spacing w:after="120" w:before="240"/>
      </w:pPr>
      <w:r>
        <w:rPr>
          <w:rFonts w:ascii="Arial" w:cs="Arial" w:eastAsia="Arial" w:hAnsi="Arial"/>
          <w:b/>
          <w:bCs/>
          <w:color w:val="1F3864"/>
          <w:sz w:val="26"/>
          <w:szCs w:val="26"/>
        </w:rPr>
        <w:t xml:space="preserve">3.2 Capital structure post-close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500"/>
      </w:tblGrid>
      <w:tr>
        <w:tc>
          <w:tcPr>
            <w:tcW w:type="dxa" w:w="3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Line</w:t>
            </w:r>
          </w:p>
        </w:tc>
        <w:tc>
          <w:tcPr>
            <w:tcW w:type="dxa" w:w="4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 / Notes</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Total debt</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New TLB (single tranche v1)</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From S&amp;U</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Cash on BS</w:t>
            </w:r>
          </w:p>
        </w:tc>
        <w:tc>
          <w:tcPr>
            <w:tcW w:type="dxa" w:w="4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 Min cash (€8m)</w:t>
            </w:r>
          </w:p>
        </w:tc>
        <w:tc>
          <w:tcPr>
            <w:tcW w:type="dxa" w:w="2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Category D</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Net debt</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Total debt − Cash</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Computed</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Net leverage at close</w:t>
            </w:r>
          </w:p>
        </w:tc>
        <w:tc>
          <w:tcPr>
            <w:tcW w:type="dxa" w:w="4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 Net debt / EBITDA FY25</w:t>
            </w:r>
          </w:p>
        </w:tc>
        <w:tc>
          <w:tcPr>
            <w:tcW w:type="dxa" w:w="2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Cross-check ≤ 5.0×</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Total equity value (sponsor + management)</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Entry EV − Net debt + Cash rolled in (offset)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Computed</w:t>
            </w:r>
          </w:p>
        </w:tc>
      </w:tr>
      <w:tr>
        <w:tc>
          <w:tcPr>
            <w:tcW w:type="dxa" w:w="30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Sponsor share of equity</w:t>
            </w:r>
          </w:p>
        </w:tc>
        <w:tc>
          <w:tcPr>
            <w:tcW w:type="dxa" w:w="42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 1 − Management rollover %</w:t>
            </w:r>
          </w:p>
        </w:tc>
        <w:tc>
          <w:tcPr>
            <w:tcW w:type="dxa" w:w="2500"/>
            <w:tcBorders>
              <w:top w:val="single" w:color="AAAAAA" w:sz="4"/>
              <w:left w:val="single" w:color="AAAAAA" w:sz="4"/>
              <w:bottom w:val="single" w:color="AAAAAA" w:sz="4"/>
              <w:right w:val="single" w:color="AAAAAA" w:sz="4"/>
            </w:tcBorders>
            <w:shd w:fill="F4F4F4" w:val="clear"/>
            <w:tcMar>
              <w:top w:type="dxa" w:w="60"/>
              <w:left w:type="dxa" w:w="100"/>
              <w:bottom w:type="dxa" w:w="60"/>
              <w:right w:type="dxa" w:w="100"/>
            </w:tcMar>
          </w:tcPr>
          <w:p>
            <w:r>
              <w:rPr>
                <w:rFonts w:ascii="Arial" w:cs="Arial" w:eastAsia="Arial" w:hAnsi="Arial"/>
                <w:b w:val="false"/>
                <w:bCs w:val="false"/>
                <w:sz w:val="20"/>
                <w:szCs w:val="20"/>
              </w:rPr>
              <w:t xml:space="preserve">Result of S&amp;U</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Management share of equity</w:t>
            </w:r>
          </w:p>
        </w:tc>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 Novasque rollover value / Total equity value</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20"/>
                <w:szCs w:val="20"/>
              </w:rPr>
              <w:t xml:space="preserve">Result</w:t>
            </w:r>
          </w:p>
        </w:tc>
      </w:tr>
    </w:tbl>
    <w:p>
      <w:pPr>
        <w:pStyle w:val="Heading2"/>
        <w:spacing w:after="120" w:before="240"/>
      </w:pPr>
      <w:r>
        <w:rPr>
          <w:rFonts w:ascii="Arial" w:cs="Arial" w:eastAsia="Arial" w:hAnsi="Arial"/>
          <w:b/>
          <w:bCs/>
          <w:color w:val="1F3864"/>
          <w:sz w:val="26"/>
          <w:szCs w:val="26"/>
        </w:rPr>
        <w:t xml:space="preserve">3.3 Operating projections (5 years × 3 scenarios)</w:t>
      </w:r>
    </w:p>
    <w:p>
      <w:pPr>
        <w:spacing w:after="120"/>
      </w:pPr>
      <w:r>
        <w:rPr>
          <w:rFonts w:ascii="Arial" w:cs="Arial" w:eastAsia="Arial" w:hAnsi="Arial"/>
          <w:sz w:val="22"/>
          <w:szCs w:val="22"/>
        </w:rPr>
        <w:t xml:space="preserve">Cross-link from DCF tab. For each year t = 2026..2030, per scenario:</w:t>
      </w:r>
    </w:p>
    <w:p>
      <w:pPr>
        <w:pStyle w:val="ListParagraph"/>
        <w:numPr>
          <w:ilvl w:val="0"/>
          <w:numId w:val="2"/>
        </w:numPr>
        <w:spacing w:after="80"/>
      </w:pPr>
      <w:r>
        <w:rPr>
          <w:rFonts w:ascii="Arial" w:cs="Arial" w:eastAsia="Arial" w:hAnsi="Arial"/>
          <w:sz w:val="22"/>
          <w:szCs w:val="22"/>
        </w:rPr>
        <w:t xml:space="preserve">Revenue_t = DCF!{col}7</w:t>
      </w:r>
    </w:p>
    <w:p>
      <w:pPr>
        <w:pStyle w:val="ListParagraph"/>
        <w:numPr>
          <w:ilvl w:val="0"/>
          <w:numId w:val="2"/>
        </w:numPr>
        <w:spacing w:after="80"/>
      </w:pPr>
      <w:r>
        <w:rPr>
          <w:rFonts w:ascii="Arial" w:cs="Arial" w:eastAsia="Arial" w:hAnsi="Arial"/>
          <w:sz w:val="22"/>
          <w:szCs w:val="22"/>
        </w:rPr>
        <w:t xml:space="preserve">EBITDA_t = DCF!{col}12</w:t>
      </w:r>
    </w:p>
    <w:p>
      <w:pPr>
        <w:pStyle w:val="ListParagraph"/>
        <w:numPr>
          <w:ilvl w:val="0"/>
          <w:numId w:val="2"/>
        </w:numPr>
        <w:spacing w:after="80"/>
      </w:pPr>
      <w:r>
        <w:rPr>
          <w:rFonts w:ascii="Arial" w:cs="Arial" w:eastAsia="Arial" w:hAnsi="Arial"/>
          <w:sz w:val="22"/>
          <w:szCs w:val="22"/>
        </w:rPr>
        <w:t xml:space="preserve">D&amp;A_t = DCF!{col}13</w:t>
      </w:r>
    </w:p>
    <w:p>
      <w:pPr>
        <w:pStyle w:val="ListParagraph"/>
        <w:numPr>
          <w:ilvl w:val="0"/>
          <w:numId w:val="2"/>
        </w:numPr>
        <w:spacing w:after="80"/>
      </w:pPr>
      <w:r>
        <w:rPr>
          <w:rFonts w:ascii="Arial" w:cs="Arial" w:eastAsia="Arial" w:hAnsi="Arial"/>
          <w:sz w:val="22"/>
          <w:szCs w:val="22"/>
        </w:rPr>
        <w:t xml:space="preserve">EBIT_t = EBITDA_t − D&amp;A_t</w:t>
      </w:r>
    </w:p>
    <w:p>
      <w:pPr>
        <w:pStyle w:val="ListParagraph"/>
        <w:numPr>
          <w:ilvl w:val="0"/>
          <w:numId w:val="2"/>
        </w:numPr>
        <w:spacing w:after="80"/>
      </w:pPr>
      <w:r>
        <w:rPr>
          <w:rFonts w:ascii="Arial" w:cs="Arial" w:eastAsia="Arial" w:hAnsi="Arial"/>
          <w:sz w:val="22"/>
          <w:szCs w:val="22"/>
        </w:rPr>
        <w:t xml:space="preserve">Capex_t = − DCF!{col}19</w:t>
      </w:r>
    </w:p>
    <w:p>
      <w:pPr>
        <w:pStyle w:val="ListParagraph"/>
        <w:numPr>
          <w:ilvl w:val="0"/>
          <w:numId w:val="2"/>
        </w:numPr>
        <w:spacing w:after="80"/>
      </w:pPr>
      <w:r>
        <w:rPr>
          <w:rFonts w:ascii="Arial" w:cs="Arial" w:eastAsia="Arial" w:hAnsi="Arial"/>
          <w:sz w:val="22"/>
          <w:szCs w:val="22"/>
        </w:rPr>
        <w:t xml:space="preserve">ΔBFR_t = − DCF!{col}20</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Do not reuse DCF row 21 (Unlevered FCF) — for LBO we re-derive FCF starting from EBIT and explicitly modelling interest, since we now have a levered structure.</w:t>
      </w:r>
    </w:p>
    <w:p>
      <w:pPr>
        <w:pStyle w:val="Heading2"/>
        <w:spacing w:after="120" w:before="240"/>
      </w:pPr>
      <w:r>
        <w:rPr>
          <w:rFonts w:ascii="Arial" w:cs="Arial" w:eastAsia="Arial" w:hAnsi="Arial"/>
          <w:b/>
          <w:bCs/>
          <w:color w:val="1F3864"/>
          <w:sz w:val="26"/>
          <w:szCs w:val="26"/>
        </w:rPr>
        <w:t xml:space="preserve">3.4 Debt schedule (TLB only, no second tranche in v1)</w:t>
      </w:r>
    </w:p>
    <w:p>
      <w:pPr>
        <w:shd w:fill="F4F4F4" w:val="clear"/>
        <w:spacing w:after="120"/>
      </w:pPr>
      <w:r>
        <w:rPr>
          <w:rFonts w:ascii="Consolas" w:cs="Consolas" w:eastAsia="Consolas" w:hAnsi="Consolas"/>
          <w:sz w:val="20"/>
          <w:szCs w:val="20"/>
        </w:rPr>
        <w:t xml:space="preserve">                            2026         2027         2028         2029         2030
─────────────────────────────────────────────────────────────────────────────────────
Opening debt (€m)           D_init       D_close26    D_close27    D_close28    D_close29
(−) Mandatory amort (1%)    −0.01 × D_init (each year)
(−) Cash sweep              From cash flow section (3.6) — 75% of excess
Closing debt (€m)           Opening − Amort − Sweep
Average debt                = (Opening + Closing) / 2
Interest @ all-in rate      Avg debt × rate
                                  rate = Euribor 3M (Cat. B) + 475-525 bps</w:t>
      </w:r>
    </w:p>
    <w:p>
      <w:pPr>
        <w:spacing w:after="120"/>
      </w:pPr>
      <w:r>
        <w:rPr>
          <w:rFonts w:ascii="Arial" w:cs="Arial" w:eastAsia="Arial" w:hAnsi="Arial"/>
          <w:b/>
          <w:bCs/>
          <w:sz w:val="22"/>
          <w:szCs w:val="22"/>
        </w:rPr>
        <w:t xml:space="preserve">Circular reference handling — REQUIRED: </w:t>
      </w:r>
      <w:r>
        <w:rPr>
          <w:rFonts w:ascii="Arial" w:cs="Arial" w:eastAsia="Arial" w:hAnsi="Arial"/>
          <w:sz w:val="22"/>
          <w:szCs w:val="22"/>
        </w:rPr>
        <w:t xml:space="preserve">Interest depends on average debt → depends on sweep → depends on FCF after interest. Enable iterative calculation: Excel → File → Options → Formulas → Enable iterative calculation. Max iterations = 100, max change = 0.001. Converges in 5-15 iterations.</w:t>
      </w:r>
    </w:p>
    <w:p>
      <w:pPr>
        <w:spacing w:after="120"/>
      </w:pPr>
      <w:r>
        <w:rPr>
          <w:rFonts w:ascii="Arial" w:cs="Arial" w:eastAsia="Arial" w:hAnsi="Arial"/>
          <w:b/>
          <w:bCs/>
          <w:sz w:val="22"/>
          <w:szCs w:val="22"/>
        </w:rPr>
        <w:t xml:space="preserve">Iterative calc sanity check: </w:t>
      </w:r>
      <w:r>
        <w:rPr>
          <w:rFonts w:ascii="Arial" w:cs="Arial" w:eastAsia="Arial" w:hAnsi="Arial"/>
          <w:sz w:val="22"/>
          <w:szCs w:val="22"/>
        </w:rPr>
        <w:t xml:space="preserve">After enabling, change a non-circular cell (e.g., min cash from €8m to €9m) and verify that all downstream cells recalculate. If you get #REF or #CIRC errors, the iterative setting is not enabled. The cell with the iterative dependency is the Interest expense cell — it must reference the average debt cell which references the closing debt cell which references the sweep cell which references the FCF after interest cell which references the interest cell. Excel resolves this if iterative is on.</w:t>
      </w:r>
    </w:p>
    <w:p>
      <w:pPr>
        <w:pStyle w:val="Heading2"/>
        <w:spacing w:after="120" w:before="240"/>
      </w:pPr>
      <w:r>
        <w:rPr>
          <w:rFonts w:ascii="Arial" w:cs="Arial" w:eastAsia="Arial" w:hAnsi="Arial"/>
          <w:b/>
          <w:bCs/>
          <w:color w:val="1F3864"/>
          <w:sz w:val="26"/>
          <w:szCs w:val="26"/>
        </w:rPr>
        <w:t xml:space="preserve">3.5 P&amp;L flow with ATAD-compliant tax shield</w:t>
      </w:r>
    </w:p>
    <w:p>
      <w:pPr>
        <w:shd w:fill="F4F4F4" w:val="clear"/>
        <w:spacing w:after="120"/>
      </w:pPr>
      <w:r>
        <w:rPr>
          <w:rFonts w:ascii="Consolas" w:cs="Consolas" w:eastAsia="Consolas" w:hAnsi="Consolas"/>
          <w:sz w:val="20"/>
          <w:szCs w:val="20"/>
        </w:rPr>
        <w:t xml:space="preserve">EBITDA                                          (from DCF cross-link)
(−) D&amp;A                                         (from DCF cross-link)
EBIT
(−) Interest expense                            = Avg debt × all-in rate
EBT (Earnings Before Tax)
(−) Tax                                         = Taxable income × 25.83%
WHERE Taxable income = EBT but deductible interest is capped per ATAD:
  Tax EBITDA_t          = EBITDA_t (ATAD definition for standalone entities)
  Cap_t                 = MAX(€3m, 30% × Tax EBITDA_t)
  Deductible interest_t = MIN(Actual interest_t, Cap_t)
  Non-deductible_t      = Actual interest_t − Deductible interest_t
  Carryforward_t        = Carryforward_(t-1) + Non-deductible_t
                          (display only — not reused against future income in v1)
  Taxable income_t      = EBIT_t − Deductible interest_t
  Tax_t                 = MAX(0, Taxable income_t × 25.83%)
Net income (after-tax) = EBT − Tax_t</w:t>
      </w:r>
    </w:p>
    <w:p>
      <w:pPr>
        <w:spacing w:after="120"/>
      </w:pPr>
      <w:r>
        <w:rPr>
          <w:rFonts w:ascii="Arial" w:cs="Arial" w:eastAsia="Arial" w:hAnsi="Arial"/>
          <w:b/>
          <w:bCs/>
          <w:sz w:val="22"/>
          <w:szCs w:val="22"/>
        </w:rPr>
        <w:t xml:space="preserve">ATAD reality check for Sidetrade: </w:t>
      </w:r>
      <w:r>
        <w:rPr>
          <w:rFonts w:ascii="Arial" w:cs="Arial" w:eastAsia="Arial" w:hAnsi="Arial"/>
          <w:sz w:val="22"/>
          <w:szCs w:val="22"/>
        </w:rPr>
        <w:t xml:space="preserve">EBITDA 2026 Base = €17.1m → cap = MAX(€3m, 30% × €17.1m) = €5.13m. Interest on €54m debt at all-in 7.5% = €4.05m. </w:t>
      </w:r>
      <w:r>
        <w:rPr>
          <w:rFonts w:ascii="Arial" w:cs="Arial" w:eastAsia="Arial" w:hAnsi="Arial"/>
          <w:b/>
          <w:bCs/>
          <w:sz w:val="22"/>
          <w:szCs w:val="22"/>
        </w:rPr>
        <w:t xml:space="preserve">No binding constraint at 4× leverage.</w:t>
      </w:r>
      <w:r>
        <w:rPr>
          <w:rFonts w:ascii="Arial" w:cs="Arial" w:eastAsia="Arial" w:hAnsi="Arial"/>
          <w:sz w:val="22"/>
          <w:szCs w:val="22"/>
        </w:rPr>
        <w:t xml:space="preserve"> Constraint binds only at &gt;5× leverage (debt ~€67m, interest ~€5m+). Carryforward line should still be modelled and shown for transparency.</w:t>
      </w:r>
    </w:p>
    <w:p>
      <w:pPr>
        <w:pStyle w:val="Heading2"/>
        <w:spacing w:after="120" w:before="240"/>
      </w:pPr>
      <w:r>
        <w:rPr>
          <w:rFonts w:ascii="Arial" w:cs="Arial" w:eastAsia="Arial" w:hAnsi="Arial"/>
          <w:b/>
          <w:bCs/>
          <w:color w:val="1F3864"/>
          <w:sz w:val="26"/>
          <w:szCs w:val="26"/>
        </w:rPr>
        <w:t xml:space="preserve">3.6 Cash flow with sweep mechanics</w:t>
      </w:r>
    </w:p>
    <w:p>
      <w:pPr>
        <w:shd w:fill="F4F4F4" w:val="clear"/>
        <w:spacing w:after="120"/>
      </w:pPr>
      <w:r>
        <w:rPr>
          <w:rFonts w:ascii="Consolas" w:cs="Consolas" w:eastAsia="Consolas" w:hAnsi="Consolas"/>
          <w:sz w:val="20"/>
          <w:szCs w:val="20"/>
        </w:rPr>
        <w:t xml:space="preserve">Net income (from P&amp;L)
(+) D&amp;A                                         (non-cash addback)
(−) Capex
(−) ΔBFR
(−) Mandatory amortisation                      = 1% × initial debt
─────────────────────────────────────────────────────────────────────
Cash available before sweep                     = Prior cash + above
Excess over min cash                            = MAX(0, Cash available − Min cash)
Cash sweep                                      = 75% × Excess
Closing cash                                    = Cash available − Sweep
Total debt paydown                              = Mandatory + Sweep
Closing debt                                    = Opening debt − Total paydown</w:t>
      </w:r>
    </w:p>
    <w:p>
      <w:pPr>
        <w:spacing w:after="120"/>
      </w:pPr>
      <w:r>
        <w:rPr>
          <w:rFonts w:ascii="Arial" w:cs="Arial" w:eastAsia="Arial" w:hAnsi="Arial"/>
          <w:b/>
          <w:bCs/>
          <w:sz w:val="22"/>
          <w:szCs w:val="22"/>
        </w:rPr>
        <w:t xml:space="preserve">Min cash protected by construction: </w:t>
      </w:r>
      <w:r>
        <w:rPr>
          <w:rFonts w:ascii="Arial" w:cs="Arial" w:eastAsia="Arial" w:hAnsi="Arial"/>
          <w:sz w:val="22"/>
          <w:szCs w:val="22"/>
        </w:rPr>
        <w:t xml:space="preserve">Sweep applied only on excess above min cash, so closing cash ≥ min cash always. The 25% non-swept accumulates on BS → contributes to exit equity.</w:t>
      </w:r>
    </w:p>
    <w:p>
      <w:pPr>
        <w:pStyle w:val="Heading2"/>
        <w:spacing w:after="120" w:before="240"/>
      </w:pPr>
      <w:r>
        <w:rPr>
          <w:rFonts w:ascii="Arial" w:cs="Arial" w:eastAsia="Arial" w:hAnsi="Arial"/>
          <w:b/>
          <w:bCs/>
          <w:color w:val="1F3864"/>
          <w:sz w:val="26"/>
          <w:szCs w:val="26"/>
        </w:rPr>
        <w:t xml:space="preserve">3.7 Exit waterfall (Year 5 = 2030)</w:t>
      </w:r>
    </w:p>
    <w:p>
      <w:pPr>
        <w:shd w:fill="F4F4F4" w:val="clear"/>
        <w:spacing w:after="120"/>
      </w:pPr>
      <w:r>
        <w:rPr>
          <w:rFonts w:ascii="Consolas" w:cs="Consolas" w:eastAsia="Consolas" w:hAnsi="Consolas"/>
          <w:sz w:val="20"/>
          <w:szCs w:val="20"/>
        </w:rPr>
        <w:t xml:space="preserve">Exit EBITDA 2030 (per scenario)             = DCF!{col}12 for 2030
Exit multiple                                = 15× (base; sensitivity 12-18×)
Exit Enterprise Value                        = EBITDA₂₀₃₀ × multiple
(−) Exit debt (closing debt year 5)
(+) Exit cash (closing cash year 5)
Exit equity value (total)
Sponsor share %                              = 1 − Management rollover %
Management share %                           = Management rollover %
Sponsor exit equity                          = Exit equity × Sponsor share
Sponsor entry equity                         = From S&amp;U (cheque sponsor wrote)
Sponsor IRR (5y)                             = (Sponsor exit / Sponsor entry)^(1/5) − 1
Sponsor Money-on-Money                       = Sponsor exit / Sponsor entry
Management exit equity                       = Exit equity × Mgmt share
Management entry equity                      = Rollover value at close
Management MoM                               = Mgmt exit / Mgmt entry</w:t>
      </w:r>
    </w:p>
    <w:p>
      <w:pPr>
        <w:pStyle w:val="Heading2"/>
        <w:spacing w:after="120" w:before="240"/>
      </w:pPr>
      <w:r>
        <w:rPr>
          <w:rFonts w:ascii="Arial" w:cs="Arial" w:eastAsia="Arial" w:hAnsi="Arial"/>
          <w:b/>
          <w:bCs/>
          <w:color w:val="1F3864"/>
          <w:sz w:val="26"/>
          <w:szCs w:val="26"/>
        </w:rPr>
        <w:t xml:space="preserve">3.8 Affordability — reverse solve via Goal Seek</w:t>
      </w:r>
    </w:p>
    <w:p>
      <w:pPr>
        <w:spacing w:after="120"/>
      </w:pPr>
      <w:r>
        <w:rPr>
          <w:rFonts w:ascii="Arial" w:cs="Arial" w:eastAsia="Arial" w:hAnsi="Arial"/>
          <w:sz w:val="22"/>
          <w:szCs w:val="22"/>
        </w:rPr>
        <w:t xml:space="preserve">For each (scenario × target IRR) combination, find max Entry EV that produces target sponsor IRR. Use Excel Goal Seek (Data → What-If Analysis → Goal Seek):</w:t>
      </w:r>
    </w:p>
    <w:p>
      <w:pPr>
        <w:pStyle w:val="ListParagraph"/>
        <w:numPr>
          <w:ilvl w:val="0"/>
          <w:numId w:val="2"/>
        </w:numPr>
        <w:spacing w:after="80"/>
      </w:pPr>
      <w:r>
        <w:rPr>
          <w:rFonts w:ascii="Arial" w:cs="Arial" w:eastAsia="Arial" w:hAnsi="Arial"/>
          <w:sz w:val="22"/>
          <w:szCs w:val="22"/>
        </w:rPr>
        <w:t xml:space="preserve">Set cell: Sponsor IRR (e.g., R45)</w:t>
      </w:r>
    </w:p>
    <w:p>
      <w:pPr>
        <w:pStyle w:val="ListParagraph"/>
        <w:numPr>
          <w:ilvl w:val="0"/>
          <w:numId w:val="2"/>
        </w:numPr>
        <w:spacing w:after="80"/>
      </w:pPr>
      <w:r>
        <w:rPr>
          <w:rFonts w:ascii="Arial" w:cs="Arial" w:eastAsia="Arial" w:hAnsi="Arial"/>
          <w:sz w:val="22"/>
          <w:szCs w:val="22"/>
        </w:rPr>
        <w:t xml:space="preserve">To value: 0.18 / 0.225 / 0.25</w:t>
      </w:r>
    </w:p>
    <w:p>
      <w:pPr>
        <w:pStyle w:val="ListParagraph"/>
        <w:numPr>
          <w:ilvl w:val="0"/>
          <w:numId w:val="2"/>
        </w:numPr>
        <w:spacing w:after="80"/>
      </w:pPr>
      <w:r>
        <w:rPr>
          <w:rFonts w:ascii="Arial" w:cs="Arial" w:eastAsia="Arial" w:hAnsi="Arial"/>
          <w:sz w:val="22"/>
          <w:szCs w:val="22"/>
        </w:rPr>
        <w:t xml:space="preserve">By changing cell: Entry EV input (e.g., B5)</w:t>
      </w:r>
    </w:p>
    <w:p>
      <w:pPr>
        <w:spacing w:after="120"/>
      </w:pPr>
      <w:r>
        <w:rPr>
          <w:rFonts w:ascii="Arial" w:cs="Arial" w:eastAsia="Arial" w:hAnsi="Arial"/>
          <w:sz w:val="22"/>
          <w:szCs w:val="22"/>
        </w:rPr>
        <w:t xml:space="preserve">Document the 9 results in a static table at the bottom of LBO_full. Excel does not store goal-seek inputs; the table is for display.</w:t>
      </w:r>
    </w:p>
    <w:p>
      <w:pPr>
        <w:pStyle w:val="Heading2"/>
        <w:spacing w:after="120" w:before="240"/>
      </w:pPr>
      <w:r>
        <w:rPr>
          <w:rFonts w:ascii="Arial" w:cs="Arial" w:eastAsia="Arial" w:hAnsi="Arial"/>
          <w:b/>
          <w:bCs/>
          <w:color w:val="1F3864"/>
          <w:sz w:val="26"/>
          <w:szCs w:val="26"/>
        </w:rPr>
        <w:t xml:space="preserve">3.9 Sensitivity tables (required, dynamic)</w:t>
      </w:r>
    </w:p>
    <w:p>
      <w:pPr>
        <w:pStyle w:val="ListParagraph"/>
        <w:numPr>
          <w:ilvl w:val="0"/>
          <w:numId w:val="2"/>
        </w:numPr>
        <w:spacing w:after="80"/>
      </w:pPr>
      <w:r>
        <w:rPr>
          <w:rFonts w:ascii="Arial" w:cs="Arial" w:eastAsia="Arial" w:hAnsi="Arial"/>
          <w:sz w:val="22"/>
          <w:szCs w:val="22"/>
        </w:rPr>
        <w:t xml:space="preserve">Table 1 — Entry EV × Exit multiple → Sponsor IRR. 5×5 matrix. Entry EV: 250/275/300/325/350. Exit multiple: 12/13/15/17/19×. Base case scenario.</w:t>
      </w:r>
    </w:p>
    <w:p>
      <w:pPr>
        <w:pStyle w:val="ListParagraph"/>
        <w:numPr>
          <w:ilvl w:val="0"/>
          <w:numId w:val="2"/>
        </w:numPr>
        <w:spacing w:after="80"/>
      </w:pPr>
      <w:r>
        <w:rPr>
          <w:rFonts w:ascii="Arial" w:cs="Arial" w:eastAsia="Arial" w:hAnsi="Arial"/>
          <w:sz w:val="22"/>
          <w:szCs w:val="22"/>
        </w:rPr>
        <w:t xml:space="preserve">Table 2 — Leverage × Exit multiple → Sponsor IRR. 5×5 matrix. Leverage: 3.0/3.5/4.0/4.5/5.0× EBITDA. Exit multiple: 12/13/15/17/19×. Base case scenario, Entry EV at €300m.</w:t>
      </w:r>
    </w:p>
    <w:p>
      <w:pPr>
        <w:pStyle w:val="ListParagraph"/>
        <w:numPr>
          <w:ilvl w:val="0"/>
          <w:numId w:val="2"/>
        </w:numPr>
        <w:spacing w:after="80"/>
      </w:pPr>
      <w:r>
        <w:rPr>
          <w:rFonts w:ascii="Arial" w:cs="Arial" w:eastAsia="Arial" w:hAnsi="Arial"/>
          <w:sz w:val="22"/>
          <w:szCs w:val="22"/>
        </w:rPr>
        <w:t xml:space="preserve">Both formulas-only, not hardcodes. Center cell highlighted bordeaux.</w:t>
      </w:r>
    </w:p>
    <w:p>
      <w:pPr>
        <w:pStyle w:val="Heading1"/>
        <w:spacing w:after="160" w:before="320"/>
      </w:pPr>
      <w:r>
        <w:rPr>
          <w:rFonts w:ascii="Arial" w:cs="Arial" w:eastAsia="Arial" w:hAnsi="Arial"/>
          <w:b/>
          <w:bCs/>
          <w:color w:val="1F3864"/>
          <w:sz w:val="32"/>
          <w:szCs w:val="32"/>
        </w:rPr>
        <w:t xml:space="preserve">Section 4 — Outputs Required</w:t>
      </w:r>
    </w:p>
    <w:p>
      <w:pPr>
        <w:spacing w:after="120"/>
      </w:pPr>
      <w:r>
        <w:rPr>
          <w:rFonts w:ascii="Arial" w:cs="Arial" w:eastAsia="Arial" w:hAnsi="Arial"/>
          <w:sz w:val="22"/>
          <w:szCs w:val="22"/>
        </w:rPr>
        <w:t xml:space="preserve">LBO_full tab structure, top-to-bottom:</w:t>
      </w:r>
    </w:p>
    <w:p>
      <w:pPr>
        <w:pStyle w:val="ListParagraph"/>
        <w:numPr>
          <w:ilvl w:val="0"/>
          <w:numId w:val="2"/>
        </w:numPr>
        <w:spacing w:after="80"/>
      </w:pPr>
      <w:r>
        <w:rPr>
          <w:rFonts w:ascii="Arial" w:cs="Arial" w:eastAsia="Arial" w:hAnsi="Arial"/>
          <w:sz w:val="22"/>
          <w:szCs w:val="22"/>
        </w:rPr>
        <w:t xml:space="preserve">Header: title, version, date, sources legend (Cat. A/B/C/D explanation).</w:t>
      </w:r>
    </w:p>
    <w:p>
      <w:pPr>
        <w:pStyle w:val="ListParagraph"/>
        <w:numPr>
          <w:ilvl w:val="0"/>
          <w:numId w:val="2"/>
        </w:numPr>
        <w:spacing w:after="80"/>
      </w:pPr>
      <w:r>
        <w:rPr>
          <w:rFonts w:ascii="Arial" w:cs="Arial" w:eastAsia="Arial" w:hAnsi="Arial"/>
          <w:sz w:val="22"/>
          <w:szCs w:val="22"/>
        </w:rPr>
        <w:t xml:space="preserve">Input block (all 4 categories, Source column populated).</w:t>
      </w:r>
    </w:p>
    <w:p>
      <w:pPr>
        <w:pStyle w:val="ListParagraph"/>
        <w:numPr>
          <w:ilvl w:val="0"/>
          <w:numId w:val="2"/>
        </w:numPr>
        <w:spacing w:after="80"/>
      </w:pPr>
      <w:r>
        <w:rPr>
          <w:rFonts w:ascii="Arial" w:cs="Arial" w:eastAsia="Arial" w:hAnsi="Arial"/>
          <w:sz w:val="22"/>
          <w:szCs w:val="22"/>
        </w:rPr>
        <w:t xml:space="preserve">Sources &amp; Uses at close.</w:t>
      </w:r>
    </w:p>
    <w:p>
      <w:pPr>
        <w:pStyle w:val="ListParagraph"/>
        <w:numPr>
          <w:ilvl w:val="0"/>
          <w:numId w:val="2"/>
        </w:numPr>
        <w:spacing w:after="80"/>
      </w:pPr>
      <w:r>
        <w:rPr>
          <w:rFonts w:ascii="Arial" w:cs="Arial" w:eastAsia="Arial" w:hAnsi="Arial"/>
          <w:sz w:val="22"/>
          <w:szCs w:val="22"/>
        </w:rPr>
        <w:t xml:space="preserve">Capital structure post-close.</w:t>
      </w:r>
    </w:p>
    <w:p>
      <w:pPr>
        <w:pStyle w:val="ListParagraph"/>
        <w:numPr>
          <w:ilvl w:val="0"/>
          <w:numId w:val="2"/>
        </w:numPr>
        <w:spacing w:after="80"/>
      </w:pPr>
      <w:r>
        <w:rPr>
          <w:rFonts w:ascii="Arial" w:cs="Arial" w:eastAsia="Arial" w:hAnsi="Arial"/>
          <w:sz w:val="22"/>
          <w:szCs w:val="22"/>
        </w:rPr>
        <w:t xml:space="preserve">Operating projections (5y × 3 scen, cross-linked).</w:t>
      </w:r>
    </w:p>
    <w:p>
      <w:pPr>
        <w:pStyle w:val="ListParagraph"/>
        <w:numPr>
          <w:ilvl w:val="0"/>
          <w:numId w:val="2"/>
        </w:numPr>
        <w:spacing w:after="80"/>
      </w:pPr>
      <w:r>
        <w:rPr>
          <w:rFonts w:ascii="Arial" w:cs="Arial" w:eastAsia="Arial" w:hAnsi="Arial"/>
          <w:sz w:val="22"/>
          <w:szCs w:val="22"/>
        </w:rPr>
        <w:t xml:space="preserve">Debt schedule (5y × 3 scen).</w:t>
      </w:r>
    </w:p>
    <w:p>
      <w:pPr>
        <w:pStyle w:val="ListParagraph"/>
        <w:numPr>
          <w:ilvl w:val="0"/>
          <w:numId w:val="2"/>
        </w:numPr>
        <w:spacing w:after="80"/>
      </w:pPr>
      <w:r>
        <w:rPr>
          <w:rFonts w:ascii="Arial" w:cs="Arial" w:eastAsia="Arial" w:hAnsi="Arial"/>
          <w:sz w:val="22"/>
          <w:szCs w:val="22"/>
        </w:rPr>
        <w:t xml:space="preserve">Cash flow with sweep mechanics.</w:t>
      </w:r>
    </w:p>
    <w:p>
      <w:pPr>
        <w:pStyle w:val="ListParagraph"/>
        <w:numPr>
          <w:ilvl w:val="0"/>
          <w:numId w:val="2"/>
        </w:numPr>
        <w:spacing w:after="80"/>
      </w:pPr>
      <w:r>
        <w:rPr>
          <w:rFonts w:ascii="Arial" w:cs="Arial" w:eastAsia="Arial" w:hAnsi="Arial"/>
          <w:sz w:val="22"/>
          <w:szCs w:val="22"/>
        </w:rPr>
        <w:t xml:space="preserve">Exit waterfall (3 scenarios).</w:t>
      </w:r>
    </w:p>
    <w:p>
      <w:pPr>
        <w:pStyle w:val="ListParagraph"/>
        <w:numPr>
          <w:ilvl w:val="0"/>
          <w:numId w:val="2"/>
        </w:numPr>
        <w:spacing w:after="80"/>
      </w:pPr>
      <w:r>
        <w:rPr>
          <w:rFonts w:ascii="Arial" w:cs="Arial" w:eastAsia="Arial" w:hAnsi="Arial"/>
          <w:sz w:val="22"/>
          <w:szCs w:val="22"/>
        </w:rPr>
        <w:t xml:space="preserve">Sponsor IRR &amp; MoM per scenario.</w:t>
      </w:r>
    </w:p>
    <w:p>
      <w:pPr>
        <w:pStyle w:val="ListParagraph"/>
        <w:numPr>
          <w:ilvl w:val="0"/>
          <w:numId w:val="2"/>
        </w:numPr>
        <w:spacing w:after="80"/>
      </w:pPr>
      <w:r>
        <w:rPr>
          <w:rFonts w:ascii="Arial" w:cs="Arial" w:eastAsia="Arial" w:hAnsi="Arial"/>
          <w:sz w:val="22"/>
          <w:szCs w:val="22"/>
        </w:rPr>
        <w:t xml:space="preserve">Affordability table (9 max Entry EVs from Goal Seek).</w:t>
      </w:r>
    </w:p>
    <w:p>
      <w:pPr>
        <w:pStyle w:val="ListParagraph"/>
        <w:numPr>
          <w:ilvl w:val="0"/>
          <w:numId w:val="2"/>
        </w:numPr>
        <w:spacing w:after="80"/>
      </w:pPr>
      <w:r>
        <w:rPr>
          <w:rFonts w:ascii="Arial" w:cs="Arial" w:eastAsia="Arial" w:hAnsi="Arial"/>
          <w:sz w:val="22"/>
          <w:szCs w:val="22"/>
        </w:rPr>
        <w:t xml:space="preserve">Sensitivity tables 1 and 2.</w:t>
      </w:r>
    </w:p>
    <w:p>
      <w:pPr>
        <w:pStyle w:val="ListParagraph"/>
        <w:numPr>
          <w:ilvl w:val="0"/>
          <w:numId w:val="2"/>
        </w:numPr>
        <w:spacing w:after="80"/>
      </w:pPr>
      <w:r>
        <w:rPr>
          <w:rFonts w:ascii="Arial" w:cs="Arial" w:eastAsia="Arial" w:hAnsi="Arial"/>
          <w:sz w:val="22"/>
          <w:szCs w:val="22"/>
        </w:rPr>
        <w:t xml:space="preserve">Caveats: quantify EV impact of rate ±100bps, leverage ±0.5×, transaction fees ±1% EV, exit multiple ±2×, CIR removed.</w:t>
      </w:r>
    </w:p>
    <w:p>
      <w:pPr>
        <w:pStyle w:val="ListParagraph"/>
        <w:numPr>
          <w:ilvl w:val="0"/>
          <w:numId w:val="2"/>
        </w:numPr>
        <w:spacing w:after="80"/>
      </w:pPr>
      <w:r>
        <w:rPr>
          <w:rFonts w:ascii="Arial" w:cs="Arial" w:eastAsia="Arial" w:hAnsi="Arial"/>
          <w:sz w:val="22"/>
          <w:szCs w:val="22"/>
        </w:rPr>
        <w:t xml:space="preserve">Sources legend at bottom: every citation used.</w:t>
      </w:r>
    </w:p>
    <w:p>
      <w:pPr>
        <w:pStyle w:val="Heading1"/>
        <w:spacing w:after="160" w:before="320"/>
      </w:pPr>
      <w:r>
        <w:rPr>
          <w:rFonts w:ascii="Arial" w:cs="Arial" w:eastAsia="Arial" w:hAnsi="Arial"/>
          <w:b/>
          <w:bCs/>
          <w:color w:val="1F3864"/>
          <w:sz w:val="32"/>
          <w:szCs w:val="32"/>
        </w:rPr>
        <w:t xml:space="preserve">Section 5 — Verification Toolkit (for the user)</w:t>
      </w:r>
    </w:p>
    <w:p>
      <w:pPr>
        <w:spacing w:after="120"/>
      </w:pPr>
      <w:r>
        <w:rPr>
          <w:rFonts w:ascii="Arial" w:cs="Arial" w:eastAsia="Arial" w:hAnsi="Arial"/>
          <w:b/>
          <w:bCs/>
          <w:sz w:val="22"/>
          <w:szCs w:val="22"/>
        </w:rPr>
        <w:t xml:space="preserve">This section gives you the direct URLs to verify every Category B (market standard) and Category C (Sidetrade-specific) input in under 30 minutes. Print this section, open the URLs, cross-check each value before approving Codex output.</w:t>
      </w:r>
    </w:p>
    <w:p>
      <w:pPr>
        <w:pStyle w:val="Heading2"/>
        <w:spacing w:after="120" w:before="240"/>
      </w:pPr>
      <w:r>
        <w:rPr>
          <w:rFonts w:ascii="Arial" w:cs="Arial" w:eastAsia="Arial" w:hAnsi="Arial"/>
          <w:b/>
          <w:bCs/>
          <w:color w:val="1F3864"/>
          <w:sz w:val="26"/>
          <w:szCs w:val="26"/>
        </w:rPr>
        <w:t xml:space="preserve">5.1 Verify Category B (market standards)</w:t>
      </w:r>
    </w:p>
    <w:p>
      <w:pPr>
        <w:spacing w:after="120"/>
      </w:pPr>
      <w:r>
        <w:rPr>
          <w:rFonts w:ascii="Arial" w:cs="Arial" w:eastAsia="Arial" w:hAnsi="Arial"/>
          <w:b/>
          <w:bCs/>
          <w:sz w:val="22"/>
          <w:szCs w:val="22"/>
        </w:rPr>
        <w:t xml:space="preserve">Euribor 3M current value</w:t>
      </w:r>
    </w:p>
    <w:p>
      <w:pPr>
        <w:pStyle w:val="ListParagraph"/>
        <w:numPr>
          <w:ilvl w:val="0"/>
          <w:numId w:val="2"/>
        </w:numPr>
        <w:spacing w:after="80"/>
      </w:pPr>
      <w:r>
        <w:rPr>
          <w:rFonts w:ascii="Arial" w:cs="Arial" w:eastAsia="Arial" w:hAnsi="Arial"/>
          <w:sz w:val="22"/>
          <w:szCs w:val="22"/>
        </w:rPr>
        <w:t xml:space="preserve">URL: emmi-benchmarks.eu/benchmarks/euribor/rate/</w:t>
      </w:r>
    </w:p>
    <w:p>
      <w:pPr>
        <w:pStyle w:val="ListParagraph"/>
        <w:numPr>
          <w:ilvl w:val="0"/>
          <w:numId w:val="2"/>
        </w:numPr>
        <w:spacing w:after="80"/>
      </w:pPr>
      <w:r>
        <w:rPr>
          <w:rFonts w:ascii="Arial" w:cs="Arial" w:eastAsia="Arial" w:hAnsi="Arial"/>
          <w:sz w:val="22"/>
          <w:szCs w:val="22"/>
        </w:rPr>
        <w:t xml:space="preserve">Look for: 3M maturity rate, most recent value</w:t>
      </w:r>
    </w:p>
    <w:p>
      <w:pPr>
        <w:pStyle w:val="ListParagraph"/>
        <w:numPr>
          <w:ilvl w:val="0"/>
          <w:numId w:val="2"/>
        </w:numPr>
        <w:spacing w:after="80"/>
      </w:pPr>
      <w:r>
        <w:rPr>
          <w:rFonts w:ascii="Arial" w:cs="Arial" w:eastAsia="Arial" w:hAnsi="Arial"/>
          <w:sz w:val="22"/>
          <w:szCs w:val="22"/>
        </w:rPr>
        <w:t xml:space="preserve">Alternative: euribor-rates.eu/en/current-euribor-rates/2/euribor-rate-3-months/</w:t>
      </w:r>
    </w:p>
    <w:p>
      <w:pPr>
        <w:pStyle w:val="ListParagraph"/>
        <w:numPr>
          <w:ilvl w:val="0"/>
          <w:numId w:val="2"/>
        </w:numPr>
        <w:spacing w:after="80"/>
      </w:pPr>
      <w:r>
        <w:rPr>
          <w:rFonts w:ascii="Arial" w:cs="Arial" w:eastAsia="Arial" w:hAnsi="Arial"/>
          <w:sz w:val="22"/>
          <w:szCs w:val="22"/>
        </w:rPr>
        <w:t xml:space="preserve">Alternative: ECB Data Portal series FM.M.U2.EUR.RT.MM.EURIBOR3MD_.HSTA</w:t>
      </w:r>
    </w:p>
    <w:p>
      <w:pPr>
        <w:pStyle w:val="ListParagraph"/>
        <w:numPr>
          <w:ilvl w:val="0"/>
          <w:numId w:val="2"/>
        </w:numPr>
        <w:spacing w:after="80"/>
      </w:pPr>
      <w:r>
        <w:rPr>
          <w:rFonts w:ascii="Arial" w:cs="Arial" w:eastAsia="Arial" w:hAnsi="Arial"/>
          <w:sz w:val="22"/>
          <w:szCs w:val="22"/>
        </w:rPr>
        <w:t xml:space="preserve">Estimated time: 2 minutes</w:t>
      </w:r>
    </w:p>
    <w:p>
      <w:pPr>
        <w:spacing w:after="120"/>
      </w:pPr>
      <w:r>
        <w:rPr>
          <w:rFonts w:ascii="Arial" w:cs="Arial" w:eastAsia="Arial" w:hAnsi="Arial"/>
          <w:b/>
          <w:bCs/>
          <w:sz w:val="22"/>
          <w:szCs w:val="22"/>
        </w:rPr>
        <w:t xml:space="preserve">TLB margin / all-in yield (European leveraged loans)</w:t>
      </w:r>
    </w:p>
    <w:p>
      <w:pPr>
        <w:pStyle w:val="ListParagraph"/>
        <w:numPr>
          <w:ilvl w:val="0"/>
          <w:numId w:val="2"/>
        </w:numPr>
        <w:spacing w:after="80"/>
      </w:pPr>
      <w:r>
        <w:rPr>
          <w:rFonts w:ascii="Arial" w:cs="Arial" w:eastAsia="Arial" w:hAnsi="Arial"/>
          <w:sz w:val="22"/>
          <w:szCs w:val="22"/>
        </w:rPr>
        <w:t xml:space="preserve">URL: spglobal.com/ratings/en/regulatory/article/european-leveraged-finance-monthly (search latest month)</w:t>
      </w:r>
    </w:p>
    <w:p>
      <w:pPr>
        <w:pStyle w:val="ListParagraph"/>
        <w:numPr>
          <w:ilvl w:val="0"/>
          <w:numId w:val="2"/>
        </w:numPr>
        <w:spacing w:after="80"/>
      </w:pPr>
      <w:r>
        <w:rPr>
          <w:rFonts w:ascii="Arial" w:cs="Arial" w:eastAsia="Arial" w:hAnsi="Arial"/>
          <w:sz w:val="22"/>
          <w:szCs w:val="22"/>
        </w:rPr>
        <w:t xml:space="preserve">Look for: "B-rated loan yield to maturity" or "spread to maturity" for European leveraged loans</w:t>
      </w:r>
    </w:p>
    <w:p>
      <w:pPr>
        <w:pStyle w:val="ListParagraph"/>
        <w:numPr>
          <w:ilvl w:val="0"/>
          <w:numId w:val="2"/>
        </w:numPr>
        <w:spacing w:after="80"/>
      </w:pPr>
      <w:r>
        <w:rPr>
          <w:rFonts w:ascii="Arial" w:cs="Arial" w:eastAsia="Arial" w:hAnsi="Arial"/>
          <w:sz w:val="22"/>
          <w:szCs w:val="22"/>
        </w:rPr>
        <w:t xml:space="preserve">Backup: pitchbook.com/news/reports/march-2026-european-leveraged-loan-index-monthly-wrap</w:t>
      </w:r>
    </w:p>
    <w:p>
      <w:pPr>
        <w:pStyle w:val="ListParagraph"/>
        <w:numPr>
          <w:ilvl w:val="0"/>
          <w:numId w:val="2"/>
        </w:numPr>
        <w:spacing w:after="80"/>
      </w:pPr>
      <w:r>
        <w:rPr>
          <w:rFonts w:ascii="Arial" w:cs="Arial" w:eastAsia="Arial" w:hAnsi="Arial"/>
          <w:sz w:val="22"/>
          <w:szCs w:val="22"/>
        </w:rPr>
        <w:t xml:space="preserve">Alternative: AFME European High Yield and Leveraged Loan Report (quarterly, free PDF)</w:t>
      </w:r>
    </w:p>
    <w:p>
      <w:pPr>
        <w:pStyle w:val="ListParagraph"/>
        <w:numPr>
          <w:ilvl w:val="0"/>
          <w:numId w:val="2"/>
        </w:numPr>
        <w:spacing w:after="80"/>
      </w:pPr>
      <w:r>
        <w:rPr>
          <w:rFonts w:ascii="Arial" w:cs="Arial" w:eastAsia="Arial" w:hAnsi="Arial"/>
          <w:sz w:val="22"/>
          <w:szCs w:val="22"/>
        </w:rPr>
        <w:t xml:space="preserve">Estimated time: 5 minutes</w:t>
      </w:r>
    </w:p>
    <w:p>
      <w:pPr>
        <w:spacing w:after="120"/>
      </w:pPr>
      <w:r>
        <w:rPr>
          <w:rFonts w:ascii="Arial" w:cs="Arial" w:eastAsia="Arial" w:hAnsi="Arial"/>
          <w:b/>
          <w:bCs/>
          <w:sz w:val="22"/>
          <w:szCs w:val="22"/>
        </w:rPr>
        <w:t xml:space="preserve">Leverage benchmark mid-market SaaS</w:t>
      </w:r>
    </w:p>
    <w:p>
      <w:pPr>
        <w:pStyle w:val="ListParagraph"/>
        <w:numPr>
          <w:ilvl w:val="0"/>
          <w:numId w:val="2"/>
        </w:numPr>
        <w:spacing w:after="80"/>
      </w:pPr>
      <w:r>
        <w:rPr>
          <w:rFonts w:ascii="Arial" w:cs="Arial" w:eastAsia="Arial" w:hAnsi="Arial"/>
          <w:sz w:val="22"/>
          <w:szCs w:val="22"/>
        </w:rPr>
        <w:t xml:space="preserve">URL: capstonepartners.com/insights/middle-market-leveraged-finance-report/</w:t>
      </w:r>
    </w:p>
    <w:p>
      <w:pPr>
        <w:pStyle w:val="ListParagraph"/>
        <w:numPr>
          <w:ilvl w:val="0"/>
          <w:numId w:val="2"/>
        </w:numPr>
        <w:spacing w:after="80"/>
      </w:pPr>
      <w:r>
        <w:rPr>
          <w:rFonts w:ascii="Arial" w:cs="Arial" w:eastAsia="Arial" w:hAnsi="Arial"/>
          <w:sz w:val="22"/>
          <w:szCs w:val="22"/>
        </w:rPr>
        <w:t xml:space="preserve">Look for: "total leverage" or "debt / EBITDA" for mid-market deals, ideally TMT segment</w:t>
      </w:r>
    </w:p>
    <w:p>
      <w:pPr>
        <w:pStyle w:val="ListParagraph"/>
        <w:numPr>
          <w:ilvl w:val="0"/>
          <w:numId w:val="2"/>
        </w:numPr>
        <w:spacing w:after="80"/>
      </w:pPr>
      <w:r>
        <w:rPr>
          <w:rFonts w:ascii="Arial" w:cs="Arial" w:eastAsia="Arial" w:hAnsi="Arial"/>
          <w:sz w:val="22"/>
          <w:szCs w:val="22"/>
        </w:rPr>
        <w:t xml:space="preserve">Backup: PitchBook European LBO quarterly report — paid but summaries free in articles</w:t>
      </w:r>
    </w:p>
    <w:p>
      <w:pPr>
        <w:pStyle w:val="ListParagraph"/>
        <w:numPr>
          <w:ilvl w:val="0"/>
          <w:numId w:val="2"/>
        </w:numPr>
        <w:spacing w:after="80"/>
      </w:pPr>
      <w:r>
        <w:rPr>
          <w:rFonts w:ascii="Arial" w:cs="Arial" w:eastAsia="Arial" w:hAnsi="Arial"/>
          <w:sz w:val="22"/>
          <w:szCs w:val="22"/>
        </w:rPr>
        <w:t xml:space="preserve">Estimated time: 5 minutes</w:t>
      </w:r>
    </w:p>
    <w:p>
      <w:pPr>
        <w:spacing w:after="120"/>
      </w:pPr>
      <w:r>
        <w:rPr>
          <w:rFonts w:ascii="Arial" w:cs="Arial" w:eastAsia="Arial" w:hAnsi="Arial"/>
          <w:b/>
          <w:bCs/>
          <w:sz w:val="22"/>
          <w:szCs w:val="22"/>
        </w:rPr>
        <w:t xml:space="preserve">M&amp;A advisory fees benchmark</w:t>
      </w:r>
    </w:p>
    <w:p>
      <w:pPr>
        <w:pStyle w:val="ListParagraph"/>
        <w:numPr>
          <w:ilvl w:val="0"/>
          <w:numId w:val="2"/>
        </w:numPr>
        <w:spacing w:after="80"/>
      </w:pPr>
      <w:r>
        <w:rPr>
          <w:rFonts w:ascii="Arial" w:cs="Arial" w:eastAsia="Arial" w:hAnsi="Arial"/>
          <w:sz w:val="22"/>
          <w:szCs w:val="22"/>
        </w:rPr>
        <w:t xml:space="preserve">URL: firmex.com/resources/reports-guides/eu-fee-guide-25/</w:t>
      </w:r>
    </w:p>
    <w:p>
      <w:pPr>
        <w:pStyle w:val="ListParagraph"/>
        <w:numPr>
          <w:ilvl w:val="0"/>
          <w:numId w:val="2"/>
        </w:numPr>
        <w:spacing w:after="80"/>
      </w:pPr>
      <w:r>
        <w:rPr>
          <w:rFonts w:ascii="Arial" w:cs="Arial" w:eastAsia="Arial" w:hAnsi="Arial"/>
          <w:sz w:val="22"/>
          <w:szCs w:val="22"/>
        </w:rPr>
        <w:t xml:space="preserve">Look for: "sell-side success fee" by EBITDA bucket — Sidetrade is €13m EBITDA so €10-30m band applies</w:t>
      </w:r>
    </w:p>
    <w:p>
      <w:pPr>
        <w:pStyle w:val="ListParagraph"/>
        <w:numPr>
          <w:ilvl w:val="0"/>
          <w:numId w:val="2"/>
        </w:numPr>
        <w:spacing w:after="80"/>
      </w:pPr>
      <w:r>
        <w:rPr>
          <w:rFonts w:ascii="Arial" w:cs="Arial" w:eastAsia="Arial" w:hAnsi="Arial"/>
          <w:sz w:val="22"/>
          <w:szCs w:val="22"/>
        </w:rPr>
        <w:t xml:space="preserve">Alternative: mnacommunity.com/insights/ma-fees-by-deal-size/</w:t>
      </w:r>
    </w:p>
    <w:p>
      <w:pPr>
        <w:pStyle w:val="ListParagraph"/>
        <w:numPr>
          <w:ilvl w:val="0"/>
          <w:numId w:val="2"/>
        </w:numPr>
        <w:spacing w:after="80"/>
      </w:pPr>
      <w:r>
        <w:rPr>
          <w:rFonts w:ascii="Arial" w:cs="Arial" w:eastAsia="Arial" w:hAnsi="Arial"/>
          <w:sz w:val="22"/>
          <w:szCs w:val="22"/>
        </w:rPr>
        <w:t xml:space="preserve">Estimated time: 3 minutes</w:t>
      </w:r>
    </w:p>
    <w:p>
      <w:pPr>
        <w:spacing w:after="120"/>
      </w:pPr>
      <w:r>
        <w:rPr>
          <w:rFonts w:ascii="Arial" w:cs="Arial" w:eastAsia="Arial" w:hAnsi="Arial"/>
          <w:b/>
          <w:bCs/>
          <w:sz w:val="22"/>
          <w:szCs w:val="22"/>
        </w:rPr>
        <w:t xml:space="preserve">Management rollover benchmarks</w:t>
      </w:r>
    </w:p>
    <w:p>
      <w:pPr>
        <w:pStyle w:val="ListParagraph"/>
        <w:numPr>
          <w:ilvl w:val="0"/>
          <w:numId w:val="2"/>
        </w:numPr>
        <w:spacing w:after="80"/>
      </w:pPr>
      <w:r>
        <w:rPr>
          <w:rFonts w:ascii="Arial" w:cs="Arial" w:eastAsia="Arial" w:hAnsi="Arial"/>
          <w:sz w:val="22"/>
          <w:szCs w:val="22"/>
        </w:rPr>
        <w:t xml:space="preserve">URL: auxocapitaladvisors.com/rollover-equity-middle-market-ma/</w:t>
      </w:r>
    </w:p>
    <w:p>
      <w:pPr>
        <w:pStyle w:val="ListParagraph"/>
        <w:numPr>
          <w:ilvl w:val="0"/>
          <w:numId w:val="2"/>
        </w:numPr>
        <w:spacing w:after="80"/>
      </w:pPr>
      <w:r>
        <w:rPr>
          <w:rFonts w:ascii="Arial" w:cs="Arial" w:eastAsia="Arial" w:hAnsi="Arial"/>
          <w:sz w:val="22"/>
          <w:szCs w:val="22"/>
        </w:rPr>
        <w:t xml:space="preserve">Look for: typical rollover % range; founder-staying-active band</w:t>
      </w:r>
    </w:p>
    <w:p>
      <w:pPr>
        <w:pStyle w:val="ListParagraph"/>
        <w:numPr>
          <w:ilvl w:val="0"/>
          <w:numId w:val="2"/>
        </w:numPr>
        <w:spacing w:after="80"/>
      </w:pPr>
      <w:r>
        <w:rPr>
          <w:rFonts w:ascii="Arial" w:cs="Arial" w:eastAsia="Arial" w:hAnsi="Arial"/>
          <w:sz w:val="22"/>
          <w:szCs w:val="22"/>
        </w:rPr>
        <w:t xml:space="preserve">Backup: wallstreetprep.com/knowledge/rollover-equity/</w:t>
      </w:r>
    </w:p>
    <w:p>
      <w:pPr>
        <w:pStyle w:val="ListParagraph"/>
        <w:numPr>
          <w:ilvl w:val="0"/>
          <w:numId w:val="2"/>
        </w:numPr>
        <w:spacing w:after="80"/>
      </w:pPr>
      <w:r>
        <w:rPr>
          <w:rFonts w:ascii="Arial" w:cs="Arial" w:eastAsia="Arial" w:hAnsi="Arial"/>
          <w:sz w:val="22"/>
          <w:szCs w:val="22"/>
        </w:rPr>
        <w:t xml:space="preserve">Backup: ibinterviewquestions.com/blog/rollover-equity-lbo-private-equity</w:t>
      </w:r>
    </w:p>
    <w:p>
      <w:pPr>
        <w:pStyle w:val="ListParagraph"/>
        <w:numPr>
          <w:ilvl w:val="0"/>
          <w:numId w:val="2"/>
        </w:numPr>
        <w:spacing w:after="80"/>
      </w:pPr>
      <w:r>
        <w:rPr>
          <w:rFonts w:ascii="Arial" w:cs="Arial" w:eastAsia="Arial" w:hAnsi="Arial"/>
          <w:sz w:val="22"/>
          <w:szCs w:val="22"/>
        </w:rPr>
        <w:t xml:space="preserve">Estimated time: 3 minutes</w:t>
      </w:r>
    </w:p>
    <w:p>
      <w:pPr>
        <w:spacing w:after="120"/>
      </w:pPr>
      <w:r>
        <w:rPr>
          <w:rFonts w:ascii="Arial" w:cs="Arial" w:eastAsia="Arial" w:hAnsi="Arial"/>
          <w:b/>
          <w:bCs/>
          <w:sz w:val="22"/>
          <w:szCs w:val="22"/>
        </w:rPr>
        <w:t xml:space="preserve">Arrangement fees / OID benchmarks</w:t>
      </w:r>
    </w:p>
    <w:p>
      <w:pPr>
        <w:pStyle w:val="ListParagraph"/>
        <w:numPr>
          <w:ilvl w:val="0"/>
          <w:numId w:val="2"/>
        </w:numPr>
        <w:spacing w:after="80"/>
      </w:pPr>
      <w:r>
        <w:rPr>
          <w:rFonts w:ascii="Arial" w:cs="Arial" w:eastAsia="Arial" w:hAnsi="Arial"/>
          <w:sz w:val="22"/>
          <w:szCs w:val="22"/>
        </w:rPr>
        <w:t xml:space="preserve">URL: cleargottlieb.com/-/media/files/latest-in-eu-leveraged-finance/ (Cleary Gottlieb European LevFin commentary, free)</w:t>
      </w:r>
    </w:p>
    <w:p>
      <w:pPr>
        <w:pStyle w:val="ListParagraph"/>
        <w:numPr>
          <w:ilvl w:val="0"/>
          <w:numId w:val="2"/>
        </w:numPr>
        <w:spacing w:after="80"/>
      </w:pPr>
      <w:r>
        <w:rPr>
          <w:rFonts w:ascii="Arial" w:cs="Arial" w:eastAsia="Arial" w:hAnsi="Arial"/>
          <w:sz w:val="22"/>
          <w:szCs w:val="22"/>
        </w:rPr>
        <w:t xml:space="preserve">Alternative: wallstreetoasis.com/forum/private-equity/current-european-leveraged-financing-terms-superthread (anecdotal but indicative)</w:t>
      </w:r>
    </w:p>
    <w:p>
      <w:pPr>
        <w:pStyle w:val="ListParagraph"/>
        <w:numPr>
          <w:ilvl w:val="0"/>
          <w:numId w:val="2"/>
        </w:numPr>
        <w:spacing w:after="80"/>
      </w:pPr>
      <w:r>
        <w:rPr>
          <w:rFonts w:ascii="Arial" w:cs="Arial" w:eastAsia="Arial" w:hAnsi="Arial"/>
          <w:sz w:val="22"/>
          <w:szCs w:val="22"/>
        </w:rPr>
        <w:t xml:space="preserve">Estimated time: 3 minutes</w:t>
      </w:r>
    </w:p>
    <w:p>
      <w:pPr>
        <w:pStyle w:val="Heading2"/>
        <w:spacing w:after="120" w:before="240"/>
      </w:pPr>
      <w:r>
        <w:rPr>
          <w:rFonts w:ascii="Arial" w:cs="Arial" w:eastAsia="Arial" w:hAnsi="Arial"/>
          <w:b/>
          <w:bCs/>
          <w:color w:val="1F3864"/>
          <w:sz w:val="26"/>
          <w:szCs w:val="26"/>
        </w:rPr>
        <w:t xml:space="preserve">5.2 Verify Category C (Sidetrade-specific)</w:t>
      </w:r>
    </w:p>
    <w:p>
      <w:pPr>
        <w:spacing w:after="120"/>
      </w:pPr>
      <w:r>
        <w:rPr>
          <w:rFonts w:ascii="Arial" w:cs="Arial" w:eastAsia="Arial" w:hAnsi="Arial"/>
          <w:b/>
          <w:bCs/>
          <w:sz w:val="22"/>
          <w:szCs w:val="22"/>
        </w:rPr>
        <w:t xml:space="preserve">Olivier Novasque ownership — currently shown as 35%</w:t>
      </w:r>
    </w:p>
    <w:p>
      <w:pPr>
        <w:pStyle w:val="ListParagraph"/>
        <w:numPr>
          <w:ilvl w:val="0"/>
          <w:numId w:val="2"/>
        </w:numPr>
        <w:spacing w:after="80"/>
      </w:pPr>
      <w:r>
        <w:rPr>
          <w:rFonts w:ascii="Arial" w:cs="Arial" w:eastAsia="Arial" w:hAnsi="Arial"/>
          <w:sz w:val="22"/>
          <w:szCs w:val="22"/>
        </w:rPr>
        <w:t xml:space="preserve">Primary: Sidetrade press release Briarwood (Feb-2026) at sidetrade.com/news/briarwoodcap-sidetrade-shareholder-with10pct-2026-02/</w:t>
      </w:r>
    </w:p>
    <w:p>
      <w:pPr>
        <w:pStyle w:val="ListParagraph"/>
        <w:numPr>
          <w:ilvl w:val="0"/>
          <w:numId w:val="2"/>
        </w:numPr>
        <w:spacing w:after="80"/>
      </w:pPr>
      <w:r>
        <w:rPr>
          <w:rFonts w:ascii="Arial" w:cs="Arial" w:eastAsia="Arial" w:hAnsi="Arial"/>
          <w:sz w:val="22"/>
          <w:szCs w:val="22"/>
        </w:rPr>
        <w:t xml:space="preserve">Secondary: MarketScreener UK at uk.marketscreener.com/quote/stock/SIDETRADE-S-A-3033378/company-shareholders/</w:t>
      </w:r>
    </w:p>
    <w:p>
      <w:pPr>
        <w:pStyle w:val="ListParagraph"/>
        <w:numPr>
          <w:ilvl w:val="0"/>
          <w:numId w:val="2"/>
        </w:numPr>
        <w:spacing w:after="80"/>
      </w:pPr>
      <w:r>
        <w:rPr>
          <w:rFonts w:ascii="Arial" w:cs="Arial" w:eastAsia="Arial" w:hAnsi="Arial"/>
          <w:sz w:val="22"/>
          <w:szCs w:val="22"/>
        </w:rPr>
        <w:t xml:space="preserve">Tertiary: zonebourse.com/cours/action/SIDETRADE-S-A-3033378/societe/ (French version)</w:t>
      </w:r>
    </w:p>
    <w:p>
      <w:pPr>
        <w:pStyle w:val="ListParagraph"/>
        <w:numPr>
          <w:ilvl w:val="0"/>
          <w:numId w:val="2"/>
        </w:numPr>
        <w:spacing w:after="80"/>
      </w:pPr>
      <w:r>
        <w:rPr>
          <w:rFonts w:ascii="Arial" w:cs="Arial" w:eastAsia="Arial" w:hAnsi="Arial"/>
          <w:sz w:val="22"/>
          <w:szCs w:val="22"/>
        </w:rPr>
        <w:t xml:space="preserve">Tertiary: stockopedia.com/share-prices/sidetrade-sa-EPA:ALBFR/</w:t>
      </w:r>
    </w:p>
    <w:p>
      <w:pPr>
        <w:pStyle w:val="ListParagraph"/>
        <w:numPr>
          <w:ilvl w:val="0"/>
          <w:numId w:val="2"/>
        </w:numPr>
        <w:spacing w:after="80"/>
      </w:pPr>
      <w:r>
        <w:rPr>
          <w:rFonts w:ascii="Arial" w:cs="Arial" w:eastAsia="Arial" w:hAnsi="Arial"/>
          <w:sz w:val="22"/>
          <w:szCs w:val="22"/>
        </w:rPr>
        <w:t xml:space="preserve">Look for: "Olivier Novasque" or "founder" percentage. Confirm 35%.</w:t>
      </w:r>
    </w:p>
    <w:p>
      <w:pPr>
        <w:pStyle w:val="ListParagraph"/>
        <w:numPr>
          <w:ilvl w:val="0"/>
          <w:numId w:val="2"/>
        </w:numPr>
        <w:spacing w:after="80"/>
      </w:pPr>
      <w:r>
        <w:rPr>
          <w:rFonts w:ascii="Arial" w:cs="Arial" w:eastAsia="Arial" w:hAnsi="Arial"/>
          <w:sz w:val="22"/>
          <w:szCs w:val="22"/>
        </w:rPr>
        <w:t xml:space="preserve">Estimated time: 5 minutes</w:t>
      </w:r>
    </w:p>
    <w:p>
      <w:pPr>
        <w:spacing w:after="120"/>
      </w:pPr>
      <w:r>
        <w:rPr>
          <w:rFonts w:ascii="Arial" w:cs="Arial" w:eastAsia="Arial" w:hAnsi="Arial"/>
          <w:b/>
          <w:bCs/>
          <w:sz w:val="22"/>
          <w:szCs w:val="22"/>
        </w:rPr>
        <w:t xml:space="preserve">BSAP details — strike, count, vesting</w:t>
      </w:r>
    </w:p>
    <w:p>
      <w:pPr>
        <w:pStyle w:val="ListParagraph"/>
        <w:numPr>
          <w:ilvl w:val="0"/>
          <w:numId w:val="2"/>
        </w:numPr>
        <w:spacing w:after="80"/>
      </w:pPr>
      <w:r>
        <w:rPr>
          <w:rFonts w:ascii="Arial" w:cs="Arial" w:eastAsia="Arial" w:hAnsi="Arial"/>
          <w:sz w:val="22"/>
          <w:szCs w:val="22"/>
        </w:rPr>
        <w:t xml:space="preserve">Primary: Sidetrade FY25 Statutory Report Note 30, downloadable from Sidetrade IR section at sidetrade.com/company/investors/</w:t>
      </w:r>
    </w:p>
    <w:p>
      <w:pPr>
        <w:pStyle w:val="ListParagraph"/>
        <w:numPr>
          <w:ilvl w:val="0"/>
          <w:numId w:val="2"/>
        </w:numPr>
        <w:spacing w:after="80"/>
      </w:pPr>
      <w:r>
        <w:rPr>
          <w:rFonts w:ascii="Arial" w:cs="Arial" w:eastAsia="Arial" w:hAnsi="Arial"/>
          <w:sz w:val="22"/>
          <w:szCs w:val="22"/>
        </w:rPr>
        <w:t xml:space="preserve">Look for: "BSAP 2021" and "BSAP 2023" — number outstanding, exercise price per warrant, vesting schedule</w:t>
      </w:r>
    </w:p>
    <w:p>
      <w:pPr>
        <w:pStyle w:val="ListParagraph"/>
        <w:numPr>
          <w:ilvl w:val="0"/>
          <w:numId w:val="2"/>
        </w:numPr>
        <w:spacing w:after="80"/>
      </w:pPr>
      <w:r>
        <w:rPr>
          <w:rFonts w:ascii="Arial" w:cs="Arial" w:eastAsia="Arial" w:hAnsi="Arial"/>
          <w:sz w:val="22"/>
          <w:szCs w:val="22"/>
        </w:rPr>
        <w:t xml:space="preserve">Cross-check: FY25_base!B69 explanation already cites Note 30 with counts</w:t>
      </w:r>
    </w:p>
    <w:p>
      <w:pPr>
        <w:pStyle w:val="ListParagraph"/>
        <w:numPr>
          <w:ilvl w:val="0"/>
          <w:numId w:val="2"/>
        </w:numPr>
        <w:spacing w:after="80"/>
      </w:pPr>
      <w:r>
        <w:rPr>
          <w:rFonts w:ascii="Arial" w:cs="Arial" w:eastAsia="Arial" w:hAnsi="Arial"/>
          <w:sz w:val="22"/>
          <w:szCs w:val="22"/>
        </w:rPr>
        <w:t xml:space="preserve">Estimated time: 10 minutes (manual PDF search)</w:t>
      </w:r>
    </w:p>
    <w:p>
      <w:pPr>
        <w:spacing w:after="120"/>
      </w:pPr>
      <w:r>
        <w:rPr>
          <w:rFonts w:ascii="Arial" w:cs="Arial" w:eastAsia="Arial" w:hAnsi="Arial"/>
          <w:b/>
          <w:bCs/>
          <w:sz w:val="22"/>
          <w:szCs w:val="22"/>
        </w:rPr>
        <w:t xml:space="preserve">Earn-outs (Amalto, CreditPoint, ezyCollect)</w:t>
      </w:r>
    </w:p>
    <w:p>
      <w:pPr>
        <w:pStyle w:val="ListParagraph"/>
        <w:numPr>
          <w:ilvl w:val="0"/>
          <w:numId w:val="2"/>
        </w:numPr>
        <w:spacing w:after="80"/>
      </w:pPr>
      <w:r>
        <w:rPr>
          <w:rFonts w:ascii="Arial" w:cs="Arial" w:eastAsia="Arial" w:hAnsi="Arial"/>
          <w:sz w:val="22"/>
          <w:szCs w:val="22"/>
        </w:rPr>
        <w:t xml:space="preserve">Primary: Sidetrade FY25 Statutory Report Note 10 (financial debt) and Note 14 (provisions / earn-outs)</w:t>
      </w:r>
    </w:p>
    <w:p>
      <w:pPr>
        <w:pStyle w:val="ListParagraph"/>
        <w:numPr>
          <w:ilvl w:val="0"/>
          <w:numId w:val="2"/>
        </w:numPr>
        <w:spacing w:after="80"/>
      </w:pPr>
      <w:r>
        <w:rPr>
          <w:rFonts w:ascii="Arial" w:cs="Arial" w:eastAsia="Arial" w:hAnsi="Arial"/>
          <w:sz w:val="22"/>
          <w:szCs w:val="22"/>
        </w:rPr>
        <w:t xml:space="preserve">Look for: contingent consideration outstanding, payment schedule</w:t>
      </w:r>
    </w:p>
    <w:p>
      <w:pPr>
        <w:pStyle w:val="ListParagraph"/>
        <w:numPr>
          <w:ilvl w:val="0"/>
          <w:numId w:val="2"/>
        </w:numPr>
        <w:spacing w:after="80"/>
      </w:pPr>
      <w:r>
        <w:rPr>
          <w:rFonts w:ascii="Arial" w:cs="Arial" w:eastAsia="Arial" w:hAnsi="Arial"/>
          <w:sz w:val="22"/>
          <w:szCs w:val="22"/>
        </w:rPr>
        <w:t xml:space="preserve">Estimated time: 5 minutes</w:t>
      </w:r>
    </w:p>
    <w:p>
      <w:pPr>
        <w:spacing w:after="120"/>
      </w:pPr>
      <w:r>
        <w:rPr>
          <w:rFonts w:ascii="Arial" w:cs="Arial" w:eastAsia="Arial" w:hAnsi="Arial"/>
          <w:b/>
          <w:bCs/>
          <w:sz w:val="22"/>
          <w:szCs w:val="22"/>
        </w:rPr>
        <w:t xml:space="preserve">Existing debt structure — terms, maturity, covenants</w:t>
      </w:r>
    </w:p>
    <w:p>
      <w:pPr>
        <w:pStyle w:val="ListParagraph"/>
        <w:numPr>
          <w:ilvl w:val="0"/>
          <w:numId w:val="2"/>
        </w:numPr>
        <w:spacing w:after="80"/>
      </w:pPr>
      <w:r>
        <w:rPr>
          <w:rFonts w:ascii="Arial" w:cs="Arial" w:eastAsia="Arial" w:hAnsi="Arial"/>
          <w:sz w:val="22"/>
          <w:szCs w:val="22"/>
        </w:rPr>
        <w:t xml:space="preserve">Primary: Sidetrade FY25 Statutory Report Note 10</w:t>
      </w:r>
    </w:p>
    <w:p>
      <w:pPr>
        <w:pStyle w:val="ListParagraph"/>
        <w:numPr>
          <w:ilvl w:val="0"/>
          <w:numId w:val="2"/>
        </w:numPr>
        <w:spacing w:after="80"/>
      </w:pPr>
      <w:r>
        <w:rPr>
          <w:rFonts w:ascii="Arial" w:cs="Arial" w:eastAsia="Arial" w:hAnsi="Arial"/>
          <w:sz w:val="22"/>
          <w:szCs w:val="22"/>
        </w:rPr>
        <w:t xml:space="preserve">Look for: BNP €10m loan terms, LCL €15m (ezyCollect acquisition) terms, BPI / BNP legacy €5.8m terms</w:t>
      </w:r>
    </w:p>
    <w:p>
      <w:pPr>
        <w:pStyle w:val="ListParagraph"/>
        <w:numPr>
          <w:ilvl w:val="0"/>
          <w:numId w:val="2"/>
        </w:numPr>
        <w:spacing w:after="80"/>
      </w:pPr>
      <w:r>
        <w:rPr>
          <w:rFonts w:ascii="Arial" w:cs="Arial" w:eastAsia="Arial" w:hAnsi="Arial"/>
          <w:sz w:val="22"/>
          <w:szCs w:val="22"/>
        </w:rPr>
        <w:t xml:space="preserve">Specifically check: maturity dates, interest rates, covenants (Net debt / EBITDA &lt; 2.5×)</w:t>
      </w:r>
    </w:p>
    <w:p>
      <w:pPr>
        <w:pStyle w:val="ListParagraph"/>
        <w:numPr>
          <w:ilvl w:val="0"/>
          <w:numId w:val="2"/>
        </w:numPr>
        <w:spacing w:after="80"/>
      </w:pPr>
      <w:r>
        <w:rPr>
          <w:rFonts w:ascii="Arial" w:cs="Arial" w:eastAsia="Arial" w:hAnsi="Arial"/>
          <w:sz w:val="22"/>
          <w:szCs w:val="22"/>
        </w:rPr>
        <w:t xml:space="preserve">This matters because we are refinancing all of it at close</w:t>
      </w:r>
    </w:p>
    <w:p>
      <w:pPr>
        <w:pStyle w:val="ListParagraph"/>
        <w:numPr>
          <w:ilvl w:val="0"/>
          <w:numId w:val="2"/>
        </w:numPr>
        <w:spacing w:after="80"/>
      </w:pPr>
      <w:r>
        <w:rPr>
          <w:rFonts w:ascii="Arial" w:cs="Arial" w:eastAsia="Arial" w:hAnsi="Arial"/>
          <w:sz w:val="22"/>
          <w:szCs w:val="22"/>
        </w:rPr>
        <w:t xml:space="preserve">Estimated time: 10 minutes</w:t>
      </w:r>
    </w:p>
    <w:p>
      <w:pPr>
        <w:spacing w:after="120"/>
      </w:pPr>
      <w:r>
        <w:rPr>
          <w:rFonts w:ascii="Arial" w:cs="Arial" w:eastAsia="Arial" w:hAnsi="Arial"/>
          <w:b/>
          <w:bCs/>
          <w:sz w:val="22"/>
          <w:szCs w:val="22"/>
        </w:rPr>
        <w:t xml:space="preserve">Treasury shares market value</w:t>
      </w:r>
    </w:p>
    <w:p>
      <w:pPr>
        <w:pStyle w:val="ListParagraph"/>
        <w:numPr>
          <w:ilvl w:val="0"/>
          <w:numId w:val="2"/>
        </w:numPr>
        <w:spacing w:after="80"/>
      </w:pPr>
      <w:r>
        <w:rPr>
          <w:rFonts w:ascii="Arial" w:cs="Arial" w:eastAsia="Arial" w:hAnsi="Arial"/>
          <w:sz w:val="22"/>
          <w:szCs w:val="22"/>
        </w:rPr>
        <w:t xml:space="preserve">Primary: Stat Report Note 6 (own shares)</w:t>
      </w:r>
    </w:p>
    <w:p>
      <w:pPr>
        <w:pStyle w:val="ListParagraph"/>
        <w:numPr>
          <w:ilvl w:val="0"/>
          <w:numId w:val="2"/>
        </w:numPr>
        <w:spacing w:after="80"/>
      </w:pPr>
      <w:r>
        <w:rPr>
          <w:rFonts w:ascii="Arial" w:cs="Arial" w:eastAsia="Arial" w:hAnsi="Arial"/>
          <w:sz w:val="22"/>
          <w:szCs w:val="22"/>
        </w:rPr>
        <w:t xml:space="preserve">Already in FY25_base — 85,300 shares × current price</w:t>
      </w:r>
    </w:p>
    <w:p>
      <w:pPr>
        <w:pStyle w:val="ListParagraph"/>
        <w:numPr>
          <w:ilvl w:val="0"/>
          <w:numId w:val="2"/>
        </w:numPr>
        <w:spacing w:after="80"/>
      </w:pPr>
      <w:r>
        <w:rPr>
          <w:rFonts w:ascii="Arial" w:cs="Arial" w:eastAsia="Arial" w:hAnsi="Arial"/>
          <w:sz w:val="22"/>
          <w:szCs w:val="22"/>
        </w:rPr>
        <w:t xml:space="preserve">Cross-check current price on euronext.com or boursorama.com (ticker ALBFR)</w:t>
      </w:r>
    </w:p>
    <w:p>
      <w:pPr>
        <w:pStyle w:val="ListParagraph"/>
        <w:numPr>
          <w:ilvl w:val="0"/>
          <w:numId w:val="2"/>
        </w:numPr>
        <w:spacing w:after="80"/>
      </w:pPr>
      <w:r>
        <w:rPr>
          <w:rFonts w:ascii="Arial" w:cs="Arial" w:eastAsia="Arial" w:hAnsi="Arial"/>
          <w:sz w:val="22"/>
          <w:szCs w:val="22"/>
        </w:rPr>
        <w:t xml:space="preserve">Estimated time: 2 minutes</w:t>
      </w:r>
    </w:p>
    <w:p>
      <w:pPr>
        <w:pStyle w:val="Heading1"/>
        <w:spacing w:after="160" w:before="320"/>
      </w:pPr>
      <w:r>
        <w:rPr>
          <w:rFonts w:ascii="Arial" w:cs="Arial" w:eastAsia="Arial" w:hAnsi="Arial"/>
          <w:b/>
          <w:bCs/>
          <w:color w:val="1F3864"/>
          <w:sz w:val="32"/>
          <w:szCs w:val="32"/>
        </w:rPr>
        <w:t xml:space="preserve">Section 6 — Formatting and Conventions</w:t>
      </w:r>
    </w:p>
    <w:p>
      <w:pPr>
        <w:pStyle w:val="ListParagraph"/>
        <w:numPr>
          <w:ilvl w:val="0"/>
          <w:numId w:val="2"/>
        </w:numPr>
        <w:spacing w:after="80"/>
      </w:pPr>
      <w:r>
        <w:rPr>
          <w:rFonts w:ascii="Arial" w:cs="Arial" w:eastAsia="Arial" w:hAnsi="Arial"/>
          <w:sz w:val="22"/>
          <w:szCs w:val="22"/>
        </w:rPr>
        <w:t xml:space="preserve">Font: Arial 10pt body, Arial 12pt bold for section titles. Match existing workbook style.</w:t>
      </w:r>
    </w:p>
    <w:p>
      <w:pPr>
        <w:pStyle w:val="ListParagraph"/>
        <w:numPr>
          <w:ilvl w:val="0"/>
          <w:numId w:val="2"/>
        </w:numPr>
        <w:spacing w:after="80"/>
      </w:pPr>
      <w:r>
        <w:rPr>
          <w:rFonts w:ascii="Arial" w:cs="Arial" w:eastAsia="Arial" w:hAnsi="Arial"/>
          <w:sz w:val="22"/>
          <w:szCs w:val="22"/>
        </w:rPr>
        <w:t xml:space="preserve">Color coding (industry standard): blue RGB(0,0,255) = hardcoded inputs; black = formulas; green RGB(0,128,0) = cross-sheet links; red RGB(192,0,0) = errors or warnings.</w:t>
      </w:r>
    </w:p>
    <w:p>
      <w:pPr>
        <w:pStyle w:val="ListParagraph"/>
        <w:numPr>
          <w:ilvl w:val="0"/>
          <w:numId w:val="2"/>
        </w:numPr>
        <w:spacing w:after="80"/>
      </w:pPr>
      <w:r>
        <w:rPr>
          <w:rFonts w:ascii="Arial" w:cs="Arial" w:eastAsia="Arial" w:hAnsi="Arial"/>
          <w:sz w:val="22"/>
          <w:szCs w:val="22"/>
        </w:rPr>
        <w:t xml:space="preserve">Number formatting: €m with 1 decimal (€54.0m); multiples 1 decimal × (4.0×); percentages 1 decimal (22.5%); years as text (2026 not 2,026); zeros as "−" via format "#,##0;(#,##0);-".</w:t>
      </w:r>
    </w:p>
    <w:p>
      <w:pPr>
        <w:pStyle w:val="ListParagraph"/>
        <w:numPr>
          <w:ilvl w:val="0"/>
          <w:numId w:val="2"/>
        </w:numPr>
        <w:spacing w:after="80"/>
      </w:pPr>
      <w:r>
        <w:rPr>
          <w:rFonts w:ascii="Arial" w:cs="Arial" w:eastAsia="Arial" w:hAnsi="Arial"/>
          <w:sz w:val="22"/>
          <w:szCs w:val="22"/>
        </w:rPr>
        <w:t xml:space="preserve">Column widths: A=40 for labels, B-H=14 for figures, last column 60 for Source notes.</w:t>
      </w:r>
    </w:p>
    <w:p>
      <w:pPr>
        <w:pStyle w:val="ListParagraph"/>
        <w:numPr>
          <w:ilvl w:val="0"/>
          <w:numId w:val="2"/>
        </w:numPr>
        <w:spacing w:after="80"/>
      </w:pPr>
      <w:r>
        <w:rPr>
          <w:rFonts w:ascii="Arial" w:cs="Arial" w:eastAsia="Arial" w:hAnsi="Arial"/>
          <w:sz w:val="22"/>
          <w:szCs w:val="22"/>
        </w:rPr>
        <w:t xml:space="preserve">Every input cell that is NOT cross-linked must have a Source column populated. Source field can be: (i) cell reference to a Cat. A/B/C/D source above, (ii) literal citation text, or (iii) explicit "Assumption — modelling".</w:t>
      </w:r>
    </w:p>
    <w:p>
      <w:pPr>
        <w:pStyle w:val="ListParagraph"/>
        <w:numPr>
          <w:ilvl w:val="0"/>
          <w:numId w:val="2"/>
        </w:numPr>
        <w:spacing w:after="80"/>
      </w:pPr>
      <w:r>
        <w:rPr>
          <w:rFonts w:ascii="Arial" w:cs="Arial" w:eastAsia="Arial" w:hAnsi="Arial"/>
          <w:sz w:val="22"/>
          <w:szCs w:val="22"/>
        </w:rPr>
        <w:t xml:space="preserve">Section headers: dark blue fill RGB(31,56,100), white text. Sub-section headers: light blue fill RGB(220,230,241), black text.</w:t>
      </w:r>
    </w:p>
    <w:p>
      <w:pPr>
        <w:pStyle w:val="Heading1"/>
        <w:spacing w:after="160" w:before="320"/>
      </w:pPr>
      <w:r>
        <w:rPr>
          <w:rFonts w:ascii="Arial" w:cs="Arial" w:eastAsia="Arial" w:hAnsi="Arial"/>
          <w:b/>
          <w:bCs/>
          <w:color w:val="1F3864"/>
          <w:sz w:val="32"/>
          <w:szCs w:val="32"/>
        </w:rPr>
        <w:t xml:space="preserve">Section 7 — Out of Scope (v1)</w:t>
      </w:r>
    </w:p>
    <w:p>
      <w:pPr>
        <w:pStyle w:val="ListParagraph"/>
        <w:numPr>
          <w:ilvl w:val="0"/>
          <w:numId w:val="2"/>
        </w:numPr>
        <w:spacing w:after="80"/>
      </w:pPr>
      <w:r>
        <w:rPr>
          <w:rFonts w:ascii="Arial" w:cs="Arial" w:eastAsia="Arial" w:hAnsi="Arial"/>
          <w:sz w:val="22"/>
          <w:szCs w:val="22"/>
        </w:rPr>
        <w:t xml:space="preserve">Multiple debt tranches (TLB + Mezz + PIK).</w:t>
      </w:r>
    </w:p>
    <w:p>
      <w:pPr>
        <w:pStyle w:val="ListParagraph"/>
        <w:numPr>
          <w:ilvl w:val="0"/>
          <w:numId w:val="2"/>
        </w:numPr>
        <w:spacing w:after="80"/>
      </w:pPr>
      <w:r>
        <w:rPr>
          <w:rFonts w:ascii="Arial" w:cs="Arial" w:eastAsia="Arial" w:hAnsi="Arial"/>
          <w:sz w:val="22"/>
          <w:szCs w:val="22"/>
        </w:rPr>
        <w:t xml:space="preserve">PIK toggle on subordinated debt.</w:t>
      </w:r>
    </w:p>
    <w:p>
      <w:pPr>
        <w:pStyle w:val="ListParagraph"/>
        <w:numPr>
          <w:ilvl w:val="0"/>
          <w:numId w:val="2"/>
        </w:numPr>
        <w:spacing w:after="80"/>
      </w:pPr>
      <w:r>
        <w:rPr>
          <w:rFonts w:ascii="Arial" w:cs="Arial" w:eastAsia="Arial" w:hAnsi="Arial"/>
          <w:sz w:val="22"/>
          <w:szCs w:val="22"/>
        </w:rPr>
        <w:t xml:space="preserve">Detailed covenant testing (springing covenants, headroom calculation).</w:t>
      </w:r>
    </w:p>
    <w:p>
      <w:pPr>
        <w:pStyle w:val="ListParagraph"/>
        <w:numPr>
          <w:ilvl w:val="0"/>
          <w:numId w:val="2"/>
        </w:numPr>
        <w:spacing w:after="80"/>
      </w:pPr>
      <w:r>
        <w:rPr>
          <w:rFonts w:ascii="Arial" w:cs="Arial" w:eastAsia="Arial" w:hAnsi="Arial"/>
          <w:sz w:val="22"/>
          <w:szCs w:val="22"/>
        </w:rPr>
        <w:t xml:space="preserve">Tax loss carryforwards from pre-existing Sidetrade NOLs.</w:t>
      </w:r>
    </w:p>
    <w:p>
      <w:pPr>
        <w:pStyle w:val="ListParagraph"/>
        <w:numPr>
          <w:ilvl w:val="0"/>
          <w:numId w:val="2"/>
        </w:numPr>
        <w:spacing w:after="80"/>
      </w:pPr>
      <w:r>
        <w:rPr>
          <w:rFonts w:ascii="Arial" w:cs="Arial" w:eastAsia="Arial" w:hAnsi="Arial"/>
          <w:sz w:val="22"/>
          <w:szCs w:val="22"/>
        </w:rPr>
        <w:t xml:space="preserve">Holdco / structure tax (interest deductibility limitations beyond ATAD).</w:t>
      </w:r>
    </w:p>
    <w:p>
      <w:pPr>
        <w:pStyle w:val="ListParagraph"/>
        <w:numPr>
          <w:ilvl w:val="0"/>
          <w:numId w:val="2"/>
        </w:numPr>
        <w:spacing w:after="80"/>
      </w:pPr>
      <w:r>
        <w:rPr>
          <w:rFonts w:ascii="Arial" w:cs="Arial" w:eastAsia="Arial" w:hAnsi="Arial"/>
          <w:sz w:val="22"/>
          <w:szCs w:val="22"/>
        </w:rPr>
        <w:t xml:space="preserve">Vendor loan / deferred consideration modelling beyond simple lump-sum payment.</w:t>
      </w:r>
    </w:p>
    <w:p>
      <w:pPr>
        <w:pStyle w:val="ListParagraph"/>
        <w:numPr>
          <w:ilvl w:val="0"/>
          <w:numId w:val="2"/>
        </w:numPr>
        <w:spacing w:after="80"/>
      </w:pPr>
      <w:r>
        <w:rPr>
          <w:rFonts w:ascii="Arial" w:cs="Arial" w:eastAsia="Arial" w:hAnsi="Arial"/>
          <w:sz w:val="22"/>
          <w:szCs w:val="22"/>
        </w:rPr>
        <w:t xml:space="preserve">Working capital peg adjustment at close (closing accounts mechanism).</w:t>
      </w:r>
    </w:p>
    <w:p>
      <w:pPr>
        <w:pStyle w:val="ListParagraph"/>
        <w:numPr>
          <w:ilvl w:val="0"/>
          <w:numId w:val="2"/>
        </w:numPr>
        <w:spacing w:after="80"/>
      </w:pPr>
      <w:r>
        <w:rPr>
          <w:rFonts w:ascii="Arial" w:cs="Arial" w:eastAsia="Arial" w:hAnsi="Arial"/>
          <w:sz w:val="22"/>
          <w:szCs w:val="22"/>
        </w:rPr>
        <w:t xml:space="preserve">Treasury management fees / monitoring fees to sponsor.</w:t>
      </w:r>
    </w:p>
    <w:p>
      <w:pPr>
        <w:pStyle w:val="ListParagraph"/>
        <w:numPr>
          <w:ilvl w:val="0"/>
          <w:numId w:val="2"/>
        </w:numPr>
        <w:spacing w:after="80"/>
      </w:pPr>
      <w:r>
        <w:rPr>
          <w:rFonts w:ascii="Arial" w:cs="Arial" w:eastAsia="Arial" w:hAnsi="Arial"/>
          <w:sz w:val="22"/>
          <w:szCs w:val="22"/>
        </w:rPr>
        <w:t xml:space="preserve">MIP option pool for non-founder management.</w:t>
      </w:r>
    </w:p>
    <w:p>
      <w:pPr>
        <w:pStyle w:val="ListParagraph"/>
        <w:numPr>
          <w:ilvl w:val="0"/>
          <w:numId w:val="2"/>
        </w:numPr>
        <w:spacing w:after="80"/>
      </w:pPr>
      <w:r>
        <w:rPr>
          <w:rFonts w:ascii="Arial" w:cs="Arial" w:eastAsia="Arial" w:hAnsi="Arial"/>
          <w:sz w:val="22"/>
          <w:szCs w:val="22"/>
        </w:rPr>
        <w:t xml:space="preserve">Earnout step-up adjustments tied to EBITDA achievement.</w:t>
      </w:r>
    </w:p>
    <w:p>
      <w:pPr>
        <w:pStyle w:val="Heading1"/>
        <w:spacing w:after="160" w:before="320"/>
      </w:pPr>
      <w:r>
        <w:rPr>
          <w:rFonts w:ascii="Arial" w:cs="Arial" w:eastAsia="Arial" w:hAnsi="Arial"/>
          <w:b/>
          <w:bCs/>
          <w:color w:val="1F3864"/>
          <w:sz w:val="32"/>
          <w:szCs w:val="32"/>
        </w:rPr>
        <w:t xml:space="preserve">Section 8 — Verification and Sanity Checks</w:t>
      </w:r>
    </w:p>
    <w:p>
      <w:pPr>
        <w:spacing w:after="120"/>
      </w:pPr>
      <w:r>
        <w:rPr>
          <w:rFonts w:ascii="Arial" w:cs="Arial" w:eastAsia="Arial" w:hAnsi="Arial"/>
          <w:sz w:val="22"/>
          <w:szCs w:val="22"/>
        </w:rPr>
        <w:t xml:space="preserve">Codex must verify and report results in a verification block at the bottom of LBO_full:</w:t>
      </w:r>
    </w:p>
    <w:p>
      <w:pPr>
        <w:pStyle w:val="ListParagraph"/>
        <w:numPr>
          <w:ilvl w:val="0"/>
          <w:numId w:val="2"/>
        </w:numPr>
        <w:spacing w:after="80"/>
      </w:pPr>
      <w:r>
        <w:rPr>
          <w:rFonts w:ascii="Arial" w:cs="Arial" w:eastAsia="Arial" w:hAnsi="Arial"/>
          <w:sz w:val="22"/>
          <w:szCs w:val="22"/>
        </w:rPr>
        <w:t xml:space="preserve">Total Sources = Total Uses (zero balancing residual).</w:t>
      </w:r>
    </w:p>
    <w:p>
      <w:pPr>
        <w:pStyle w:val="ListParagraph"/>
        <w:numPr>
          <w:ilvl w:val="0"/>
          <w:numId w:val="2"/>
        </w:numPr>
        <w:spacing w:after="80"/>
      </w:pPr>
      <w:r>
        <w:rPr>
          <w:rFonts w:ascii="Arial" w:cs="Arial" w:eastAsia="Arial" w:hAnsi="Arial"/>
          <w:sz w:val="22"/>
          <w:szCs w:val="22"/>
        </w:rPr>
        <w:t xml:space="preserve">At Entry EV = DCF Base €301.2m, sponsor IRR should fall between 18% and 25% (consistent with affordability range).</w:t>
      </w:r>
    </w:p>
    <w:p>
      <w:pPr>
        <w:pStyle w:val="ListParagraph"/>
        <w:numPr>
          <w:ilvl w:val="0"/>
          <w:numId w:val="2"/>
        </w:numPr>
        <w:spacing w:after="80"/>
      </w:pPr>
      <w:r>
        <w:rPr>
          <w:rFonts w:ascii="Arial" w:cs="Arial" w:eastAsia="Arial" w:hAnsi="Arial"/>
          <w:sz w:val="22"/>
          <w:szCs w:val="22"/>
        </w:rPr>
        <w:t xml:space="preserve">Closing debt year 5 ≥ 0 (no negative debt).</w:t>
      </w:r>
    </w:p>
    <w:p>
      <w:pPr>
        <w:pStyle w:val="ListParagraph"/>
        <w:numPr>
          <w:ilvl w:val="0"/>
          <w:numId w:val="2"/>
        </w:numPr>
        <w:spacing w:after="80"/>
      </w:pPr>
      <w:r>
        <w:rPr>
          <w:rFonts w:ascii="Arial" w:cs="Arial" w:eastAsia="Arial" w:hAnsi="Arial"/>
          <w:sz w:val="22"/>
          <w:szCs w:val="22"/>
        </w:rPr>
        <w:t xml:space="preserve">Closing cash year 5 ≥ min cash (sweep enforces this).</w:t>
      </w:r>
    </w:p>
    <w:p>
      <w:pPr>
        <w:pStyle w:val="ListParagraph"/>
        <w:numPr>
          <w:ilvl w:val="0"/>
          <w:numId w:val="2"/>
        </w:numPr>
        <w:spacing w:after="80"/>
      </w:pPr>
      <w:r>
        <w:rPr>
          <w:rFonts w:ascii="Arial" w:cs="Arial" w:eastAsia="Arial" w:hAnsi="Arial"/>
          <w:sz w:val="22"/>
          <w:szCs w:val="22"/>
        </w:rPr>
        <w:t xml:space="preserve">Tax line never negative.</w:t>
      </w:r>
    </w:p>
    <w:p>
      <w:pPr>
        <w:pStyle w:val="ListParagraph"/>
        <w:numPr>
          <w:ilvl w:val="0"/>
          <w:numId w:val="2"/>
        </w:numPr>
        <w:spacing w:after="80"/>
      </w:pPr>
      <w:r>
        <w:rPr>
          <w:rFonts w:ascii="Arial" w:cs="Arial" w:eastAsia="Arial" w:hAnsi="Arial"/>
          <w:sz w:val="22"/>
          <w:szCs w:val="22"/>
        </w:rPr>
        <w:t xml:space="preserve">ATAD cap binding indicator (TRUE/FALSE per year). Should be FALSE for Base at 4× leverage.</w:t>
      </w:r>
    </w:p>
    <w:p>
      <w:pPr>
        <w:pStyle w:val="ListParagraph"/>
        <w:numPr>
          <w:ilvl w:val="0"/>
          <w:numId w:val="2"/>
        </w:numPr>
        <w:spacing w:after="80"/>
      </w:pPr>
      <w:r>
        <w:rPr>
          <w:rFonts w:ascii="Arial" w:cs="Arial" w:eastAsia="Arial" w:hAnsi="Arial"/>
          <w:sz w:val="22"/>
          <w:szCs w:val="22"/>
        </w:rPr>
        <w:t xml:space="preserve">Iterative calc convergence: |closing debt year 5 (iter n) − (iter n−1)| &lt; €0.01m.</w:t>
      </w:r>
    </w:p>
    <w:p>
      <w:pPr>
        <w:pStyle w:val="Heading1"/>
        <w:spacing w:after="160" w:before="320"/>
      </w:pPr>
      <w:r>
        <w:rPr>
          <w:rFonts w:ascii="Arial" w:cs="Arial" w:eastAsia="Arial" w:hAnsi="Arial"/>
          <w:b/>
          <w:bCs/>
          <w:color w:val="1F3864"/>
          <w:sz w:val="32"/>
          <w:szCs w:val="32"/>
        </w:rPr>
        <w:t xml:space="preserve">Section 9 — Delivery Format</w:t>
      </w:r>
    </w:p>
    <w:p>
      <w:pPr>
        <w:pStyle w:val="ListParagraph"/>
        <w:numPr>
          <w:ilvl w:val="0"/>
          <w:numId w:val="2"/>
        </w:numPr>
        <w:spacing w:after="80"/>
      </w:pPr>
      <w:r>
        <w:rPr>
          <w:rFonts w:ascii="Arial" w:cs="Arial" w:eastAsia="Arial" w:hAnsi="Arial"/>
          <w:sz w:val="22"/>
          <w:szCs w:val="22"/>
        </w:rPr>
        <w:t xml:space="preserve">Single Excel file: Sidetrade_Valuation_2026_v2.xlsx (preserve original, add v2 suffix).</w:t>
      </w:r>
    </w:p>
    <w:p>
      <w:pPr>
        <w:pStyle w:val="ListParagraph"/>
        <w:numPr>
          <w:ilvl w:val="0"/>
          <w:numId w:val="2"/>
        </w:numPr>
        <w:spacing w:after="80"/>
      </w:pPr>
      <w:r>
        <w:rPr>
          <w:rFonts w:ascii="Arial" w:cs="Arial" w:eastAsia="Arial" w:hAnsi="Arial"/>
          <w:sz w:val="22"/>
          <w:szCs w:val="22"/>
        </w:rPr>
        <w:t xml:space="preserve">New tab LBO_full positioned immediately after LBO_old (renamed).</w:t>
      </w:r>
    </w:p>
    <w:p>
      <w:pPr>
        <w:pStyle w:val="ListParagraph"/>
        <w:numPr>
          <w:ilvl w:val="0"/>
          <w:numId w:val="2"/>
        </w:numPr>
        <w:spacing w:after="80"/>
      </w:pPr>
      <w:r>
        <w:rPr>
          <w:rFonts w:ascii="Arial" w:cs="Arial" w:eastAsia="Arial" w:hAnsi="Arial"/>
          <w:sz w:val="22"/>
          <w:szCs w:val="22"/>
        </w:rPr>
        <w:t xml:space="preserve">Cover tab — update R19 to reference new LBO_full outputs. Use IRR 22.5% Base case as central LBO reference (replacing hardcoded €283m).</w:t>
      </w:r>
    </w:p>
    <w:p>
      <w:pPr>
        <w:pStyle w:val="ListParagraph"/>
        <w:numPr>
          <w:ilvl w:val="0"/>
          <w:numId w:val="2"/>
        </w:numPr>
        <w:spacing w:after="80"/>
      </w:pPr>
      <w:r>
        <w:rPr>
          <w:rFonts w:ascii="Arial" w:cs="Arial" w:eastAsia="Arial" w:hAnsi="Arial"/>
          <w:sz w:val="22"/>
          <w:szCs w:val="22"/>
        </w:rPr>
        <w:t xml:space="preserve">Football_field tab — update LBO row to reference new outputs.</w:t>
      </w:r>
    </w:p>
    <w:p>
      <w:pPr>
        <w:pStyle w:val="ListParagraph"/>
        <w:numPr>
          <w:ilvl w:val="0"/>
          <w:numId w:val="2"/>
        </w:numPr>
        <w:spacing w:after="80"/>
      </w:pPr>
      <w:r>
        <w:rPr>
          <w:rFonts w:ascii="Arial" w:cs="Arial" w:eastAsia="Arial" w:hAnsi="Arial"/>
          <w:sz w:val="22"/>
          <w:szCs w:val="22"/>
        </w:rPr>
        <w:t xml:space="preserve">Summary block at top of LBO_full lists every assumption with its category (A/B/C/D) and source citation. This is the user's audit trail.</w:t>
      </w:r>
    </w:p>
    <w:p>
      <w:pPr>
        <w:pStyle w:val="Heading1"/>
        <w:spacing w:after="160" w:before="320"/>
      </w:pPr>
      <w:r>
        <w:rPr>
          <w:rFonts w:ascii="Arial" w:cs="Arial" w:eastAsia="Arial" w:hAnsi="Arial"/>
          <w:b/>
          <w:bCs/>
          <w:color w:val="1F3864"/>
          <w:sz w:val="32"/>
          <w:szCs w:val="32"/>
        </w:rPr>
        <w:t xml:space="preserve">Section 10 — User's post-delivery checklist</w:t>
      </w:r>
    </w:p>
    <w:p>
      <w:pPr>
        <w:spacing w:after="120"/>
      </w:pPr>
      <w:r>
        <w:rPr>
          <w:rFonts w:ascii="Arial" w:cs="Arial" w:eastAsia="Arial" w:hAnsi="Arial"/>
          <w:sz w:val="22"/>
          <w:szCs w:val="22"/>
        </w:rPr>
        <w:t xml:space="preserve">Before publication, the user must:</w:t>
      </w:r>
    </w:p>
    <w:p>
      <w:pPr>
        <w:pStyle w:val="ListParagraph"/>
        <w:numPr>
          <w:ilvl w:val="0"/>
          <w:numId w:val="2"/>
        </w:numPr>
        <w:spacing w:after="80"/>
      </w:pPr>
      <w:r>
        <w:rPr>
          <w:rFonts w:ascii="Arial" w:cs="Arial" w:eastAsia="Arial" w:hAnsi="Arial"/>
          <w:sz w:val="22"/>
          <w:szCs w:val="22"/>
        </w:rPr>
        <w:t xml:space="preserve">Walk through Section 5 (Verification Toolkit) and confirm or update each Category B value with the latest market reading.</w:t>
      </w:r>
    </w:p>
    <w:p>
      <w:pPr>
        <w:pStyle w:val="ListParagraph"/>
        <w:numPr>
          <w:ilvl w:val="0"/>
          <w:numId w:val="2"/>
        </w:numPr>
        <w:spacing w:after="80"/>
      </w:pPr>
      <w:r>
        <w:rPr>
          <w:rFonts w:ascii="Arial" w:cs="Arial" w:eastAsia="Arial" w:hAnsi="Arial"/>
          <w:sz w:val="22"/>
          <w:szCs w:val="22"/>
        </w:rPr>
        <w:t xml:space="preserve">Open Sidetrade Stat Report and verify Category C values (Novasque ownership, BSAP, earn-outs, existing debt).</w:t>
      </w:r>
    </w:p>
    <w:p>
      <w:pPr>
        <w:pStyle w:val="ListParagraph"/>
        <w:numPr>
          <w:ilvl w:val="0"/>
          <w:numId w:val="2"/>
        </w:numPr>
        <w:spacing w:after="80"/>
      </w:pPr>
      <w:r>
        <w:rPr>
          <w:rFonts w:ascii="Arial" w:cs="Arial" w:eastAsia="Arial" w:hAnsi="Arial"/>
          <w:sz w:val="22"/>
          <w:szCs w:val="22"/>
        </w:rPr>
        <w:t xml:space="preserve">Decide management rollover % (within 25-50% range) and document the rationale in the input cell's Source field.</w:t>
      </w:r>
    </w:p>
    <w:p>
      <w:pPr>
        <w:pStyle w:val="ListParagraph"/>
        <w:numPr>
          <w:ilvl w:val="0"/>
          <w:numId w:val="2"/>
        </w:numPr>
        <w:spacing w:after="80"/>
      </w:pPr>
      <w:r>
        <w:rPr>
          <w:rFonts w:ascii="Arial" w:cs="Arial" w:eastAsia="Arial" w:hAnsi="Arial"/>
          <w:sz w:val="22"/>
          <w:szCs w:val="22"/>
        </w:rPr>
        <w:t xml:space="preserve">Run sensitivity analysis on the final affordability table and write a 3-paragraph commentary explaining which assumptions drive the EV range.</w:t>
      </w:r>
    </w:p>
    <w:p>
      <w:pPr>
        <w:pStyle w:val="ListParagraph"/>
        <w:numPr>
          <w:ilvl w:val="0"/>
          <w:numId w:val="2"/>
        </w:numPr>
        <w:spacing w:after="80"/>
      </w:pPr>
      <w:r>
        <w:rPr>
          <w:rFonts w:ascii="Arial" w:cs="Arial" w:eastAsia="Arial" w:hAnsi="Arial"/>
          <w:sz w:val="22"/>
          <w:szCs w:val="22"/>
        </w:rPr>
        <w:t xml:space="preserve">Cross-check the new LBO_full output against the previous hardcoded range (€135m / €283m / €455m). Significant deviation is expected and reflects the new rigour; document the explanation.</w:t>
      </w:r>
    </w:p>
    <w:p>
      <w:pPr>
        <w:pStyle w:val="Heading1"/>
        <w:spacing w:after="160" w:before="320"/>
      </w:pPr>
      <w:r>
        <w:rPr>
          <w:rFonts w:ascii="Arial" w:cs="Arial" w:eastAsia="Arial" w:hAnsi="Arial"/>
          <w:b/>
          <w:bCs/>
          <w:color w:val="1F3864"/>
          <w:sz w:val="32"/>
          <w:szCs w:val="32"/>
        </w:rPr>
        <w:t xml:space="preserve">Appendix — Source URLs (full list)</w:t>
      </w:r>
    </w:p>
    <w:p>
      <w:pPr>
        <w:pStyle w:val="Heading3"/>
        <w:spacing w:after="100" w:before="200"/>
      </w:pPr>
      <w:r>
        <w:rPr>
          <w:rFonts w:ascii="Arial" w:cs="Arial" w:eastAsia="Arial" w:hAnsi="Arial"/>
          <w:b/>
          <w:bCs/>
          <w:color w:val="2F5496"/>
          <w:sz w:val="22"/>
          <w:szCs w:val="22"/>
        </w:rPr>
        <w:t xml:space="preserve">Regulatory / official</w:t>
      </w:r>
    </w:p>
    <w:p>
      <w:pPr>
        <w:pStyle w:val="ListParagraph"/>
        <w:numPr>
          <w:ilvl w:val="0"/>
          <w:numId w:val="2"/>
        </w:numPr>
        <w:spacing w:after="80"/>
      </w:pPr>
      <w:r>
        <w:rPr>
          <w:rFonts w:ascii="Arial" w:cs="Arial" w:eastAsia="Arial" w:hAnsi="Arial"/>
          <w:sz w:val="22"/>
          <w:szCs w:val="22"/>
        </w:rPr>
        <w:t xml:space="preserve">CGI art. 219 (IS): legifrance.gouv.fr/codes/article_lc/LEGIARTI000051648131</w:t>
      </w:r>
    </w:p>
    <w:p>
      <w:pPr>
        <w:pStyle w:val="ListParagraph"/>
        <w:numPr>
          <w:ilvl w:val="0"/>
          <w:numId w:val="2"/>
        </w:numPr>
        <w:spacing w:after="80"/>
      </w:pPr>
      <w:r>
        <w:rPr>
          <w:rFonts w:ascii="Arial" w:cs="Arial" w:eastAsia="Arial" w:hAnsi="Arial"/>
          <w:sz w:val="22"/>
          <w:szCs w:val="22"/>
        </w:rPr>
        <w:t xml:space="preserve">CGI art. 212 bis (ATAD): legifrance.gouv.fr/codes/article_lc/LEGIARTI000037946264</w:t>
      </w:r>
    </w:p>
    <w:p>
      <w:pPr>
        <w:pStyle w:val="ListParagraph"/>
        <w:numPr>
          <w:ilvl w:val="0"/>
          <w:numId w:val="2"/>
        </w:numPr>
        <w:spacing w:after="80"/>
      </w:pPr>
      <w:r>
        <w:rPr>
          <w:rFonts w:ascii="Arial" w:cs="Arial" w:eastAsia="Arial" w:hAnsi="Arial"/>
          <w:sz w:val="22"/>
          <w:szCs w:val="22"/>
        </w:rPr>
        <w:t xml:space="preserve">BOI-IS-BASE-35-40-10 (ATAD doctrine): bofip.impots.gouv.fr/bofip/11457-PGP.html</w:t>
      </w:r>
    </w:p>
    <w:p>
      <w:pPr>
        <w:pStyle w:val="ListParagraph"/>
        <w:numPr>
          <w:ilvl w:val="0"/>
          <w:numId w:val="2"/>
        </w:numPr>
        <w:spacing w:after="80"/>
      </w:pPr>
      <w:r>
        <w:rPr>
          <w:rFonts w:ascii="Arial" w:cs="Arial" w:eastAsia="Arial" w:hAnsi="Arial"/>
          <w:sz w:val="22"/>
          <w:szCs w:val="22"/>
        </w:rPr>
        <w:t xml:space="preserve">AMF Info Financière (Sidetrade DEU + Stat Report): amf-france.org/fr/recherche-information-emetteurs</w:t>
      </w:r>
    </w:p>
    <w:p>
      <w:pPr>
        <w:pStyle w:val="Heading3"/>
        <w:spacing w:after="100" w:before="200"/>
      </w:pPr>
      <w:r>
        <w:rPr>
          <w:rFonts w:ascii="Arial" w:cs="Arial" w:eastAsia="Arial" w:hAnsi="Arial"/>
          <w:b/>
          <w:bCs/>
          <w:color w:val="2F5496"/>
          <w:sz w:val="22"/>
          <w:szCs w:val="22"/>
        </w:rPr>
        <w:t xml:space="preserve">Market data / rates</w:t>
      </w:r>
    </w:p>
    <w:p>
      <w:pPr>
        <w:pStyle w:val="ListParagraph"/>
        <w:numPr>
          <w:ilvl w:val="0"/>
          <w:numId w:val="2"/>
        </w:numPr>
        <w:spacing w:after="80"/>
      </w:pPr>
      <w:r>
        <w:rPr>
          <w:rFonts w:ascii="Arial" w:cs="Arial" w:eastAsia="Arial" w:hAnsi="Arial"/>
          <w:sz w:val="22"/>
          <w:szCs w:val="22"/>
        </w:rPr>
        <w:t xml:space="preserve">EMMI Euribor (daily): emmi-benchmarks.eu/benchmarks/euribor/rate/</w:t>
      </w:r>
    </w:p>
    <w:p>
      <w:pPr>
        <w:pStyle w:val="ListParagraph"/>
        <w:numPr>
          <w:ilvl w:val="0"/>
          <w:numId w:val="2"/>
        </w:numPr>
        <w:spacing w:after="80"/>
      </w:pPr>
      <w:r>
        <w:rPr>
          <w:rFonts w:ascii="Arial" w:cs="Arial" w:eastAsia="Arial" w:hAnsi="Arial"/>
          <w:sz w:val="22"/>
          <w:szCs w:val="22"/>
        </w:rPr>
        <w:t xml:space="preserve">ECB Data Portal Euribor 3M: data.ecb.europa.eu/data/datasets/FM/FM.M.U2.EUR.RT.MM.EURIBOR3MD_.HSTA</w:t>
      </w:r>
    </w:p>
    <w:p>
      <w:pPr>
        <w:pStyle w:val="ListParagraph"/>
        <w:numPr>
          <w:ilvl w:val="0"/>
          <w:numId w:val="2"/>
        </w:numPr>
        <w:spacing w:after="80"/>
      </w:pPr>
      <w:r>
        <w:rPr>
          <w:rFonts w:ascii="Arial" w:cs="Arial" w:eastAsia="Arial" w:hAnsi="Arial"/>
          <w:sz w:val="22"/>
          <w:szCs w:val="22"/>
        </w:rPr>
        <w:t xml:space="preserve">S&amp;P Global European LevFin Monthly: spglobal.com/ratings/en/regulatory/article/european-leveraged-finance-monthly-march-2026-s101674532</w:t>
      </w:r>
    </w:p>
    <w:p>
      <w:pPr>
        <w:pStyle w:val="ListParagraph"/>
        <w:numPr>
          <w:ilvl w:val="0"/>
          <w:numId w:val="2"/>
        </w:numPr>
        <w:spacing w:after="80"/>
      </w:pPr>
      <w:r>
        <w:rPr>
          <w:rFonts w:ascii="Arial" w:cs="Arial" w:eastAsia="Arial" w:hAnsi="Arial"/>
          <w:sz w:val="22"/>
          <w:szCs w:val="22"/>
        </w:rPr>
        <w:t xml:space="preserve">AFME HYLL Quarterly: afme.eu/media/b5imnopc/hyll-report-2q-2025.pdf</w:t>
      </w:r>
    </w:p>
    <w:p>
      <w:pPr>
        <w:pStyle w:val="ListParagraph"/>
        <w:numPr>
          <w:ilvl w:val="0"/>
          <w:numId w:val="2"/>
        </w:numPr>
        <w:spacing w:after="80"/>
      </w:pPr>
      <w:r>
        <w:rPr>
          <w:rFonts w:ascii="Arial" w:cs="Arial" w:eastAsia="Arial" w:hAnsi="Arial"/>
          <w:sz w:val="22"/>
          <w:szCs w:val="22"/>
        </w:rPr>
        <w:t xml:space="preserve">PitchBook European LBO: pitchbook.com/news/reports/march-2026-european-leveraged-loan-index-monthly-wrap</w:t>
      </w:r>
    </w:p>
    <w:p>
      <w:pPr>
        <w:pStyle w:val="Heading3"/>
        <w:spacing w:after="100" w:before="200"/>
      </w:pPr>
      <w:r>
        <w:rPr>
          <w:rFonts w:ascii="Arial" w:cs="Arial" w:eastAsia="Arial" w:hAnsi="Arial"/>
          <w:b/>
          <w:bCs/>
          <w:color w:val="2F5496"/>
          <w:sz w:val="22"/>
          <w:szCs w:val="22"/>
        </w:rPr>
        <w:t xml:space="preserve">Mid-market LBO conventions</w:t>
      </w:r>
    </w:p>
    <w:p>
      <w:pPr>
        <w:pStyle w:val="ListParagraph"/>
        <w:numPr>
          <w:ilvl w:val="0"/>
          <w:numId w:val="2"/>
        </w:numPr>
        <w:spacing w:after="80"/>
      </w:pPr>
      <w:r>
        <w:rPr>
          <w:rFonts w:ascii="Arial" w:cs="Arial" w:eastAsia="Arial" w:hAnsi="Arial"/>
          <w:sz w:val="22"/>
          <w:szCs w:val="22"/>
        </w:rPr>
        <w:t xml:space="preserve">Capstone Middle-Market LevFin Update Q1-2026: capstonepartners.com/insights/middle-market-leveraged-finance-report/</w:t>
      </w:r>
    </w:p>
    <w:p>
      <w:pPr>
        <w:pStyle w:val="ListParagraph"/>
        <w:numPr>
          <w:ilvl w:val="0"/>
          <w:numId w:val="2"/>
        </w:numPr>
        <w:spacing w:after="80"/>
      </w:pPr>
      <w:r>
        <w:rPr>
          <w:rFonts w:ascii="Arial" w:cs="Arial" w:eastAsia="Arial" w:hAnsi="Arial"/>
          <w:sz w:val="22"/>
          <w:szCs w:val="22"/>
        </w:rPr>
        <w:t xml:space="preserve">Cleary Gottlieb European LevFin: cleargottlieb.com/-/media/files/latest-in-eu-leveraged-finance/latest-in-european-leveraged-finance-market-flex.pdf</w:t>
      </w:r>
    </w:p>
    <w:p>
      <w:pPr>
        <w:pStyle w:val="ListParagraph"/>
        <w:numPr>
          <w:ilvl w:val="0"/>
          <w:numId w:val="2"/>
        </w:numPr>
        <w:spacing w:after="80"/>
      </w:pPr>
      <w:r>
        <w:rPr>
          <w:rFonts w:ascii="Arial" w:cs="Arial" w:eastAsia="Arial" w:hAnsi="Arial"/>
          <w:sz w:val="22"/>
          <w:szCs w:val="22"/>
        </w:rPr>
        <w:t xml:space="preserve">Firmex M&amp;A Fee Guide 2024-2025 European Edition: firmex.com/resources/reports-guides/eu-fee-guide-25/</w:t>
      </w:r>
    </w:p>
    <w:p>
      <w:pPr>
        <w:pStyle w:val="ListParagraph"/>
        <w:numPr>
          <w:ilvl w:val="0"/>
          <w:numId w:val="2"/>
        </w:numPr>
        <w:spacing w:after="80"/>
      </w:pPr>
      <w:r>
        <w:rPr>
          <w:rFonts w:ascii="Arial" w:cs="Arial" w:eastAsia="Arial" w:hAnsi="Arial"/>
          <w:sz w:val="22"/>
          <w:szCs w:val="22"/>
        </w:rPr>
        <w:t xml:space="preserve">Wall Street Oasis European LevFin Superthread: wallstreetoasis.com/forum/private-equity/current-european-leveraged-financing-terms-superthread</w:t>
      </w:r>
    </w:p>
    <w:p>
      <w:pPr>
        <w:pStyle w:val="Heading3"/>
        <w:spacing w:after="100" w:before="200"/>
      </w:pPr>
      <w:r>
        <w:rPr>
          <w:rFonts w:ascii="Arial" w:cs="Arial" w:eastAsia="Arial" w:hAnsi="Arial"/>
          <w:b/>
          <w:bCs/>
          <w:color w:val="2F5496"/>
          <w:sz w:val="22"/>
          <w:szCs w:val="22"/>
        </w:rPr>
        <w:t xml:space="preserve">LBO mechanics / rollover</w:t>
      </w:r>
    </w:p>
    <w:p>
      <w:pPr>
        <w:pStyle w:val="ListParagraph"/>
        <w:numPr>
          <w:ilvl w:val="0"/>
          <w:numId w:val="2"/>
        </w:numPr>
        <w:spacing w:after="80"/>
      </w:pPr>
      <w:r>
        <w:rPr>
          <w:rFonts w:ascii="Arial" w:cs="Arial" w:eastAsia="Arial" w:hAnsi="Arial"/>
          <w:sz w:val="22"/>
          <w:szCs w:val="22"/>
        </w:rPr>
        <w:t xml:space="preserve">Auxo Capital Advisors rollover equity: auxocapitaladvisors.com/rollover-equity-middle-market-ma/</w:t>
      </w:r>
    </w:p>
    <w:p>
      <w:pPr>
        <w:pStyle w:val="ListParagraph"/>
        <w:numPr>
          <w:ilvl w:val="0"/>
          <w:numId w:val="2"/>
        </w:numPr>
        <w:spacing w:after="80"/>
      </w:pPr>
      <w:r>
        <w:rPr>
          <w:rFonts w:ascii="Arial" w:cs="Arial" w:eastAsia="Arial" w:hAnsi="Arial"/>
          <w:sz w:val="22"/>
          <w:szCs w:val="22"/>
        </w:rPr>
        <w:t xml:space="preserve">Wall Street Prep rollover equity: wallstreetprep.com/knowledge/rollover-equity/</w:t>
      </w:r>
    </w:p>
    <w:p>
      <w:pPr>
        <w:pStyle w:val="ListParagraph"/>
        <w:numPr>
          <w:ilvl w:val="0"/>
          <w:numId w:val="2"/>
        </w:numPr>
        <w:spacing w:after="80"/>
      </w:pPr>
      <w:r>
        <w:rPr>
          <w:rFonts w:ascii="Arial" w:cs="Arial" w:eastAsia="Arial" w:hAnsi="Arial"/>
          <w:sz w:val="22"/>
          <w:szCs w:val="22"/>
        </w:rPr>
        <w:t xml:space="preserve">Wall Street Prep OID: wallstreetprep.com/knowledge/original-issue-discount-oid/</w:t>
      </w:r>
    </w:p>
    <w:p>
      <w:pPr>
        <w:pStyle w:val="ListParagraph"/>
        <w:numPr>
          <w:ilvl w:val="0"/>
          <w:numId w:val="2"/>
        </w:numPr>
        <w:spacing w:after="80"/>
      </w:pPr>
      <w:r>
        <w:rPr>
          <w:rFonts w:ascii="Arial" w:cs="Arial" w:eastAsia="Arial" w:hAnsi="Arial"/>
          <w:sz w:val="22"/>
          <w:szCs w:val="22"/>
        </w:rPr>
        <w:t xml:space="preserve">Financial Edge management rollover: fe.training/free-resources/lbo/management-rollover/</w:t>
      </w:r>
    </w:p>
    <w:p>
      <w:pPr>
        <w:pStyle w:val="ListParagraph"/>
        <w:numPr>
          <w:ilvl w:val="0"/>
          <w:numId w:val="2"/>
        </w:numPr>
        <w:spacing w:after="80"/>
      </w:pPr>
      <w:r>
        <w:rPr>
          <w:rFonts w:ascii="Arial" w:cs="Arial" w:eastAsia="Arial" w:hAnsi="Arial"/>
          <w:sz w:val="22"/>
          <w:szCs w:val="22"/>
        </w:rPr>
        <w:t xml:space="preserve">Sullivan &amp; Cromwell LBO management compensation: sullcrom.com/SullivanCromwell/_Assets/PDFs/General/Friestedt_Article_Management_Compensation_LBOs.pdf</w:t>
      </w:r>
    </w:p>
    <w:p>
      <w:pPr>
        <w:pStyle w:val="Heading3"/>
        <w:spacing w:after="100" w:before="200"/>
      </w:pPr>
      <w:r>
        <w:rPr>
          <w:rFonts w:ascii="Arial" w:cs="Arial" w:eastAsia="Arial" w:hAnsi="Arial"/>
          <w:b/>
          <w:bCs/>
          <w:color w:val="2F5496"/>
          <w:sz w:val="22"/>
          <w:szCs w:val="22"/>
        </w:rPr>
        <w:t xml:space="preserve">Sidetrade-specific</w:t>
      </w:r>
    </w:p>
    <w:p>
      <w:pPr>
        <w:pStyle w:val="ListParagraph"/>
        <w:numPr>
          <w:ilvl w:val="0"/>
          <w:numId w:val="2"/>
        </w:numPr>
        <w:spacing w:after="80"/>
      </w:pPr>
      <w:r>
        <w:rPr>
          <w:rFonts w:ascii="Arial" w:cs="Arial" w:eastAsia="Arial" w:hAnsi="Arial"/>
          <w:sz w:val="22"/>
          <w:szCs w:val="22"/>
        </w:rPr>
        <w:t xml:space="preserve">Sidetrade IR investor news: sidetrade.com/company/investors/</w:t>
      </w:r>
    </w:p>
    <w:p>
      <w:pPr>
        <w:pStyle w:val="ListParagraph"/>
        <w:numPr>
          <w:ilvl w:val="0"/>
          <w:numId w:val="2"/>
        </w:numPr>
        <w:spacing w:after="80"/>
      </w:pPr>
      <w:r>
        <w:rPr>
          <w:rFonts w:ascii="Arial" w:cs="Arial" w:eastAsia="Arial" w:hAnsi="Arial"/>
          <w:sz w:val="22"/>
          <w:szCs w:val="22"/>
        </w:rPr>
        <w:t xml:space="preserve">Briarwood Chase press release Feb-2026: sidetrade.com/news/briarwoodcap-sidetrade-shareholder-with10pct-2026-02/</w:t>
      </w:r>
    </w:p>
    <w:p>
      <w:pPr>
        <w:pStyle w:val="ListParagraph"/>
        <w:numPr>
          <w:ilvl w:val="0"/>
          <w:numId w:val="2"/>
        </w:numPr>
        <w:spacing w:after="80"/>
      </w:pPr>
      <w:r>
        <w:rPr>
          <w:rFonts w:ascii="Arial" w:cs="Arial" w:eastAsia="Arial" w:hAnsi="Arial"/>
          <w:sz w:val="22"/>
          <w:szCs w:val="22"/>
        </w:rPr>
        <w:t xml:space="preserve">Mission Trail Capital press release Mar-2026: sidetrade.com/news/mission-trail-capital-sidetrade-shareholder-with5pct-2026-03/</w:t>
      </w:r>
    </w:p>
    <w:p>
      <w:pPr>
        <w:pStyle w:val="ListParagraph"/>
        <w:numPr>
          <w:ilvl w:val="0"/>
          <w:numId w:val="2"/>
        </w:numPr>
        <w:spacing w:after="80"/>
      </w:pPr>
      <w:r>
        <w:rPr>
          <w:rFonts w:ascii="Arial" w:cs="Arial" w:eastAsia="Arial" w:hAnsi="Arial"/>
          <w:sz w:val="22"/>
          <w:szCs w:val="22"/>
        </w:rPr>
        <w:t xml:space="preserve">Sidetrade 2025 Annual Results: sidetrade.com/news/2025-annual-results/</w:t>
      </w:r>
    </w:p>
    <w:p>
      <w:pPr>
        <w:pStyle w:val="ListParagraph"/>
        <w:numPr>
          <w:ilvl w:val="0"/>
          <w:numId w:val="2"/>
        </w:numPr>
        <w:spacing w:after="80"/>
      </w:pPr>
      <w:r>
        <w:rPr>
          <w:rFonts w:ascii="Arial" w:cs="Arial" w:eastAsia="Arial" w:hAnsi="Arial"/>
          <w:sz w:val="22"/>
          <w:szCs w:val="22"/>
        </w:rPr>
        <w:t xml:space="preserve">MarketScreener shareholder structure: uk.marketscreener.com/quote/stock/SIDETRADE-S-A-3033378/company-shareholders/</w:t>
      </w:r>
    </w:p>
    <w:p>
      <w:pPr>
        <w:pStyle w:val="ListParagraph"/>
        <w:numPr>
          <w:ilvl w:val="0"/>
          <w:numId w:val="2"/>
        </w:numPr>
        <w:spacing w:after="80"/>
      </w:pPr>
      <w:r>
        <w:rPr>
          <w:rFonts w:ascii="Arial" w:cs="Arial" w:eastAsia="Arial" w:hAnsi="Arial"/>
          <w:sz w:val="22"/>
          <w:szCs w:val="22"/>
        </w:rPr>
        <w:t xml:space="preserve">Stockopedia profile: stockopedia.com/share-prices/sidetrade-sa-EPA:ALBFR/</w:t>
      </w:r>
    </w:p>
    <w:p>
      <w:pPr>
        <w:pStyle w:val="ListParagraph"/>
        <w:numPr>
          <w:ilvl w:val="0"/>
          <w:numId w:val="2"/>
        </w:numPr>
        <w:spacing w:after="80"/>
      </w:pPr>
      <w:r>
        <w:rPr>
          <w:rFonts w:ascii="Arial" w:cs="Arial" w:eastAsia="Arial" w:hAnsi="Arial"/>
          <w:sz w:val="22"/>
          <w:szCs w:val="22"/>
        </w:rPr>
        <w:t xml:space="preserve">Damodaran data (for WACC cross-check): pages.stern.nyu.edu/~adamodar/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2026-05-30T23:42:06.456Z</dcterms:created>
  <dcterms:modified xsi:type="dcterms:W3CDTF">2026-05-30T23:42:06.457Z</dcterms:modified>
</cp:coreProperties>
</file>

<file path=docProps/custom.xml><?xml version="1.0" encoding="utf-8"?>
<Properties xmlns="http://schemas.openxmlformats.org/officeDocument/2006/custom-properties" xmlns:vt="http://schemas.openxmlformats.org/officeDocument/2006/docPropsVTypes"/>
</file>