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Sidetrade LBO Model — Build Specification v3.0</w:t>
      </w:r>
    </w:p>
    <w:p>
      <w:pPr>
        <w:spacing w:after="120"/>
      </w:pPr>
      <w:r>
        <w:rPr>
          <w:rFonts w:ascii="Arial" w:cs="Arial" w:eastAsia="Arial" w:hAnsi="Arial"/>
          <w:b/>
          <w:bCs/>
          <w:sz w:val="22"/>
          <w:szCs w:val="22"/>
        </w:rPr>
        <w:t xml:space="preserve">Target file: </w:t>
      </w:r>
      <w:r>
        <w:rPr>
          <w:rFonts w:ascii="Arial" w:cs="Arial" w:eastAsia="Arial" w:hAnsi="Arial"/>
          <w:sz w:val="22"/>
          <w:szCs w:val="22"/>
        </w:rPr>
        <w:t xml:space="preserve">Sidetrade_Valuation_2026.xlsx (attached). </w:t>
      </w:r>
      <w:r>
        <w:rPr>
          <w:rFonts w:ascii="Arial" w:cs="Arial" w:eastAsia="Arial" w:hAnsi="Arial"/>
          <w:b/>
          <w:bCs/>
          <w:sz w:val="22"/>
          <w:szCs w:val="22"/>
        </w:rPr>
        <w:t xml:space="preserve">New tab to create: </w:t>
      </w:r>
      <w:r>
        <w:rPr>
          <w:rFonts w:ascii="Arial" w:cs="Arial" w:eastAsia="Arial" w:hAnsi="Arial"/>
          <w:sz w:val="22"/>
          <w:szCs w:val="22"/>
        </w:rPr>
        <w:t xml:space="preserve">LBO_full. Keep existing LBO tab as archive — rename to LBO_old, do not delete.</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Build a rigorous LBO model with proper debt schedule, interest mechanics, ATAD-compliant tax shield, exit waterfall. Output: 9 affordability Enterprise Values (3 scenarios × 3 IRR targets) plus sensitivity tables. Replace the simplified LBO range that currently exists in the workbook.</w:t>
      </w:r>
    </w:p>
    <w:p>
      <w:pPr>
        <w:spacing w:after="120"/>
      </w:pPr>
      <w:r>
        <w:rPr>
          <w:rFonts w:ascii="Arial" w:cs="Arial" w:eastAsia="Arial" w:hAnsi="Arial"/>
          <w:b/>
          <w:bCs/>
          <w:sz w:val="22"/>
          <w:szCs w:val="22"/>
        </w:rPr>
        <w:t xml:space="preserve">Versioning note: </w:t>
      </w:r>
      <w:r>
        <w:rPr>
          <w:rFonts w:ascii="Arial" w:cs="Arial" w:eastAsia="Arial" w:hAnsi="Arial"/>
          <w:i/>
          <w:iCs/>
          <w:sz w:val="22"/>
          <w:szCs w:val="22"/>
        </w:rPr>
        <w:t xml:space="preserve">v3 vs v2: (a) French IS / social contribution decomposed correctly per user audit; (b) ATAD URLs updated; (c) Sidetrade-specific data verified directly against Statutory Report FY25 (KPMG/Yuma Audit, 21-Apr-2026); (d) BSAP corrected to bonus shares (free, no strike); (e) earn-outs precise per Note 29; (f) existing debt structure detailed per Note 10; (g) Section 5 simplified — most Cat C verification already complete.</w:t>
      </w:r>
    </w:p>
    <w:p>
      <w:pPr>
        <w:spacing w:after="120"/>
      </w:pPr>
      <w:r>
        <w:rPr>
          <w:rFonts w:ascii="Arial" w:cs="Arial" w:eastAsia="Arial" w:hAnsi="Arial"/>
          <w:color w:val="C00000"/>
          <w:sz w:val="22"/>
          <w:szCs w:val="22"/>
        </w:rPr>
        <w:t xml:space="preserve">CRITICAL RULE — every hardcoded input must have a Source column populated (citation or explicit "Assumption" tag). No orphan numbers. Codex must not invent.</w:t>
      </w:r>
    </w:p>
    <w:p>
      <w:pPr>
        <w:pStyle w:val="Heading1"/>
        <w:spacing w:after="160" w:before="320"/>
      </w:pPr>
      <w:r>
        <w:rPr>
          <w:rFonts w:ascii="Arial" w:cs="Arial" w:eastAsia="Arial" w:hAnsi="Arial"/>
          <w:b/>
          <w:bCs/>
          <w:color w:val="1F3864"/>
          <w:sz w:val="32"/>
          <w:szCs w:val="32"/>
        </w:rPr>
        <w:t xml:space="preserve">Section 1 — Context and Reuse</w:t>
      </w:r>
    </w:p>
    <w:p>
      <w:pPr>
        <w:pStyle w:val="Heading2"/>
        <w:spacing w:after="120" w:before="240"/>
      </w:pPr>
      <w:r>
        <w:rPr>
          <w:rFonts w:ascii="Arial" w:cs="Arial" w:eastAsia="Arial" w:hAnsi="Arial"/>
          <w:b/>
          <w:bCs/>
          <w:color w:val="1F3864"/>
          <w:sz w:val="26"/>
          <w:szCs w:val="26"/>
        </w:rPr>
        <w:t xml:space="preserve">1.1 What already exists in the workbook (reuse, do not modify)</w:t>
      </w:r>
    </w:p>
    <w:p>
      <w:pPr>
        <w:pStyle w:val="ListParagraph"/>
        <w:numPr>
          <w:ilvl w:val="0"/>
          <w:numId w:val="2"/>
        </w:numPr>
        <w:spacing w:after="80"/>
      </w:pPr>
      <w:r>
        <w:rPr>
          <w:rFonts w:ascii="Arial" w:cs="Arial" w:eastAsia="Arial" w:hAnsi="Arial"/>
          <w:sz w:val="22"/>
          <w:szCs w:val="22"/>
        </w:rPr>
        <w:t xml:space="preserve">Inputs tab: scenario drivers (Bear/Base/Bull) in columns B/C/D. Reuse rows 14-18 (revenue growth), 22 (EBITDA margin 2030), 30-33 (D&amp;A/Capex/ΔBFR/CIR), 37-38 (WACC, g).</w:t>
      </w:r>
    </w:p>
    <w:p>
      <w:pPr>
        <w:pStyle w:val="ListParagraph"/>
        <w:numPr>
          <w:ilvl w:val="0"/>
          <w:numId w:val="2"/>
        </w:numPr>
        <w:spacing w:after="80"/>
      </w:pPr>
      <w:r>
        <w:rPr>
          <w:rFonts w:ascii="Arial" w:cs="Arial" w:eastAsia="Arial" w:hAnsi="Arial"/>
          <w:sz w:val="22"/>
          <w:szCs w:val="22"/>
        </w:rPr>
        <w:t xml:space="preserve">FY25_base tab: full FY25 reconciliation. Net debt strict €14.654m (B49), diluted shares 1,536,790 (B69), gross debt €30.981m (B43), cash €5.402m (B40), securities €10.925m (B41).</w:t>
      </w:r>
    </w:p>
    <w:p>
      <w:pPr>
        <w:pStyle w:val="ListParagraph"/>
        <w:numPr>
          <w:ilvl w:val="0"/>
          <w:numId w:val="2"/>
        </w:numPr>
        <w:spacing w:after="80"/>
      </w:pPr>
      <w:r>
        <w:rPr>
          <w:rFonts w:ascii="Arial" w:cs="Arial" w:eastAsia="Arial" w:hAnsi="Arial"/>
          <w:sz w:val="22"/>
          <w:szCs w:val="22"/>
        </w:rPr>
        <w:t xml:space="preserve">DCF tab: 5-year projections per scenario. Revenue row 7, EBITDA row 12, D&amp;A row 13, Capex row 19, ΔBFR row 20. Year groups: B-D = 2026, E-G = 2027, H-J = 2028, K-M = 2029, N-P = 2030.</w:t>
      </w:r>
    </w:p>
    <w:p>
      <w:pPr>
        <w:pStyle w:val="ListParagraph"/>
        <w:numPr>
          <w:ilvl w:val="0"/>
          <w:numId w:val="2"/>
        </w:numPr>
        <w:spacing w:after="80"/>
      </w:pPr>
      <w:r>
        <w:rPr>
          <w:rFonts w:ascii="Arial" w:cs="Arial" w:eastAsia="Arial" w:hAnsi="Arial"/>
          <w:sz w:val="22"/>
          <w:szCs w:val="22"/>
        </w:rPr>
        <w:t xml:space="preserve">Equity_bridge tab has a units bug at row 19. DO NOT TOUCH — will be fixed separately.</w:t>
      </w:r>
    </w:p>
    <w:p>
      <w:pPr>
        <w:pStyle w:val="Heading2"/>
        <w:spacing w:after="120" w:before="240"/>
      </w:pPr>
      <w:r>
        <w:rPr>
          <w:rFonts w:ascii="Arial" w:cs="Arial" w:eastAsia="Arial" w:hAnsi="Arial"/>
          <w:b/>
          <w:bCs/>
          <w:color w:val="1F3864"/>
          <w:sz w:val="26"/>
          <w:szCs w:val="26"/>
        </w:rPr>
        <w:t xml:space="preserve">1.2 What this build does NOT modify</w:t>
      </w:r>
    </w:p>
    <w:p>
      <w:pPr>
        <w:pStyle w:val="ListParagraph"/>
        <w:numPr>
          <w:ilvl w:val="0"/>
          <w:numId w:val="2"/>
        </w:numPr>
        <w:spacing w:after="80"/>
      </w:pPr>
      <w:r>
        <w:rPr>
          <w:rFonts w:ascii="Arial" w:cs="Arial" w:eastAsia="Arial" w:hAnsi="Arial"/>
          <w:sz w:val="22"/>
          <w:szCs w:val="22"/>
        </w:rPr>
        <w:t xml:space="preserve">All tabs except: rename current LBO to LBO_old, create new LBO_full, update Cover R19 and Football_field R8 to point to new outputs. Nothing else changes.</w:t>
      </w:r>
    </w:p>
    <w:p>
      <w:pPr>
        <w:pStyle w:val="ListParagraph"/>
        <w:numPr>
          <w:ilvl w:val="0"/>
          <w:numId w:val="2"/>
        </w:numPr>
        <w:spacing w:after="80"/>
      </w:pPr>
      <w:r>
        <w:rPr>
          <w:rFonts w:ascii="Arial" w:cs="Arial" w:eastAsia="Arial" w:hAnsi="Arial"/>
          <w:sz w:val="22"/>
          <w:szCs w:val="22"/>
        </w:rPr>
        <w:t xml:space="preserve">Do not add new global assumptions in Inputs tab. All LBO-specific assumptions live in LBO_full input block.</w:t>
      </w:r>
    </w:p>
    <w:p>
      <w:pPr>
        <w:pStyle w:val="Heading1"/>
        <w:spacing w:after="160" w:before="320"/>
      </w:pPr>
      <w:r>
        <w:rPr>
          <w:rFonts w:ascii="Arial" w:cs="Arial" w:eastAsia="Arial" w:hAnsi="Arial"/>
          <w:b/>
          <w:bCs/>
          <w:color w:val="1F3864"/>
          <w:sz w:val="32"/>
          <w:szCs w:val="32"/>
        </w:rPr>
        <w:t xml:space="preserve">Section 2 — Inputs Catalog (v3 — verified against primary sources)</w:t>
      </w:r>
    </w:p>
    <w:p>
      <w:pPr>
        <w:spacing w:after="120"/>
      </w:pPr>
      <w:r>
        <w:rPr>
          <w:rFonts w:ascii="Arial" w:cs="Arial" w:eastAsia="Arial" w:hAnsi="Arial"/>
          <w:b/>
          <w:bCs/>
          <w:sz w:val="22"/>
          <w:szCs w:val="22"/>
        </w:rPr>
        <w:t xml:space="preserve">Four categories: </w:t>
      </w:r>
      <w:r>
        <w:rPr>
          <w:rFonts w:ascii="Arial" w:cs="Arial" w:eastAsia="Arial" w:hAnsi="Arial"/>
          <w:sz w:val="22"/>
          <w:szCs w:val="22"/>
        </w:rPr>
        <w:t xml:space="preserve">(A) Verified regulatory / Sidetrade primary sources. (B) Market standard sourced via market reports. (C) Sidetrade-specific verified against Statutory Report FY25. (D) Pure modelling assumptions to sensitise.</w:t>
      </w:r>
    </w:p>
    <w:p>
      <w:pPr>
        <w:pStyle w:val="Heading2"/>
        <w:spacing w:after="120" w:before="240"/>
      </w:pPr>
      <w:r>
        <w:rPr>
          <w:rFonts w:ascii="Arial" w:cs="Arial" w:eastAsia="Arial" w:hAnsi="Arial"/>
          <w:b/>
          <w:bCs/>
          <w:color w:val="1F3864"/>
          <w:sz w:val="26"/>
          <w:szCs w:val="26"/>
        </w:rPr>
        <w:t xml:space="preserve">2.1 Category A — Verified regulatory and Sidetrade primary sources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3300"/>
        <w:gridCol w:w="1400"/>
      </w:tblGrid>
      <w:t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URL / page</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French normal corporate income tax rate (IS)</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25.0%</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CGI art. 219</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legifrance.gouv.fr/codes/article_lc/LEGIARTI000053542939</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French social contribution on IS</w:t>
            </w:r>
          </w:p>
        </w:tc>
        <w:tc>
          <w:tcPr>
            <w:tcW w:type="dxa" w:w="2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3.3% × MAX(0, normal IS − €0.763m), if applicable</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CGI art. 235 ter ZC</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legifrance.gouv.fr/codes/article_lc/LEGIARTI000031011715</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Implied effective IS rate for Sidetrade EBIT range</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25.5% – 25.8%</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Computed from above. EBIT €10-30m post-shield → IS €2.5-7.5m → contribution applies above €0.763m threshold</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Calculated in input block</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ATAD net interest deductibility cap</w:t>
            </w:r>
          </w:p>
        </w:tc>
        <w:tc>
          <w:tcPr>
            <w:tcW w:type="dxa" w:w="2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MAX(€3m, 30% × fiscal EBITDA)</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CGI art. 212 bis; BOI-IS-BASE-35-40-10</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legifrance.gouv.fr/codes/article_lc/LEGIARTI000049641637 + bofip.impots.gouv.fr/bofip/11782-PGP.html</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FY25 EBITDA incl. CIR</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€13.384m</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Statutory Report FY25 (KPMG/Yuma, 21-Apr-2026), accounts p.5 / PDF p.10</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Already in Inputs!B7</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FY25 strict net debt</w:t>
            </w:r>
          </w:p>
        </w:tc>
        <w:tc>
          <w:tcPr>
            <w:tcW w:type="dxa" w:w="2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€14.654m (calculated: €30.981m loans − €16.327m net cash)</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accounts p.3 (balance sheet), p.18 (Note 6 Net cash), p.20 (Note 10 Loans)</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Already in FY25_base!B49</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diluted shares</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1,536,790 (= 1,497,346 basic + 10,742 BSAP 2021 + 28,702 BSAP 2023)</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Notes 8, 9 / accounts p.18-19 / PDF p.23-24; Note 30 EPS p.28 / PDF p.33</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Already in FY25_base!B69</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FY25 turnover</w:t>
            </w:r>
          </w:p>
        </w:tc>
        <w:tc>
          <w:tcPr>
            <w:tcW w:type="dxa" w:w="2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€61.416m (subscriptions €53.594m + services €7.904m)</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15 / accounts p.23 / PDF p.28</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Already in Inputs!B6</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FY25 EBIT incl. CIR</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€10.267m (statutory EBIT €6.784m + CIR reclassified €3.482m)</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accounts p.4 + Note 22 / PDF p.9 + p.30</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Already in Inputs!B8</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FY25 income tax</w:t>
            </w:r>
          </w:p>
        </w:tc>
        <w:tc>
          <w:tcPr>
            <w:tcW w:type="dxa" w:w="2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+€2.150m (NET CREDIT — CIR reclassement exceeds normal tax)</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22 / accounts p.25 / PDF p.30</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Important for LBO tax shield context</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FY25 effective tax rate (statutory)</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Effectively negative — CIR reclassement +€3.420m exceeds theoretical IS €(1.720)m</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22 tax reconciliation table</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Forward Bear/Base/Bull uses 25/22/20% as conservative normalization</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financial expenses FY25 (interest on existing debt)</w:t>
            </w:r>
          </w:p>
        </w:tc>
        <w:tc>
          <w:tcPr>
            <w:tcW w:type="dxa" w:w="2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€237k (3 months ezyCollect loans + full year legacy)</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20 / accounts p.24 / PDF p.29</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For sanity check vs LBO interest</w:t>
            </w:r>
          </w:p>
        </w:tc>
      </w:tr>
    </w:tbl>
    <w:p>
      <w:pPr>
        <w:pStyle w:val="Heading2"/>
        <w:spacing w:after="120" w:before="240"/>
      </w:pPr>
      <w:r>
        <w:rPr>
          <w:rFonts w:ascii="Arial" w:cs="Arial" w:eastAsia="Arial" w:hAnsi="Arial"/>
          <w:b/>
          <w:bCs/>
          <w:color w:val="1F3864"/>
          <w:sz w:val="26"/>
          <w:szCs w:val="26"/>
        </w:rPr>
        <w:t xml:space="preserve">2.2 Category B — Market standards (sourced via market reports — March 2026 reads)</w:t>
      </w:r>
    </w:p>
    <w:p>
      <w:pPr>
        <w:spacing w:after="120"/>
      </w:pPr>
      <w:r>
        <w:rPr>
          <w:rFonts w:ascii="Arial" w:cs="Arial" w:eastAsia="Arial" w:hAnsi="Arial"/>
          <w:sz w:val="22"/>
          <w:szCs w:val="22"/>
        </w:rPr>
        <w:t xml:space="preserve">All values sourced from public market reports late-2025 to early-2026. The user should pull the latest reading before final publication and adjust if material drift (&gt;50bps for rates, &gt;0.5× for leverage).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200"/>
        <w:gridCol w:w="1600"/>
      </w:tblGrid>
      <w:t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 (Mar 2026)</w:t>
            </w:r>
          </w:p>
        </w:tc>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Verification</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Euribor 3M (base rate)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[USER PULLS LATEST]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EMMI / ECB Data Portal</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emmi-benchmarks.eu/benchmarks/euribor/rate/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TLB spread over Euribor (B-rated, European median)</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+479 bps</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S&amp;P Global European LevFin Monthly Mar-2026</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spglobal.com/ratings/en/regulatory/article/european-leveraged-finance-monthly-march-2026-s101674532</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TLB all-in yield (B-rated, market median)</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7.01%</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Same source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Same URL</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Senior secured private credit all-in yield</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8.5–11.0%</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AFME HYLL Quarterly + DD Talks European market</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afme.eu/media/b5imnopc/hyll-report-2q-2025.pdf</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Arrangement fees (TLB / direct lending)</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2.5–2.75% of debt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Cleary Gottlieb European LevFin commentary</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cleargottlieb.com (latest LevFin market flex piece)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Original Issue Discount (OID)</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1–2% (98–99 cents on par)</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European mid-market LevFin convention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Wall Street Prep OID educational reference</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Total financing fees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 of new debt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Calculated: arrangement + OID</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Mandatory amortisation rate (TLB)</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 of original principal / year</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European TLB convention (bullet 99% at maturity)</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Standard</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Cash sweep percentage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50–75% of excess FCF (step-down)</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European LevFin term sheet convention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Higher at higher leverage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Leverage at close — mid-market SaaS LBO</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4.0–6.0× total / EBITDA (senior 3.0–4.5×)</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Capstone Middle-Market LevFin Q1-2026; PitchBook European LBO</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capstonepartners.com/insights/middle-market-leveraged-finance-report/</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M&amp;A advisory success fees — mid-market</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3–5% of EV for €10–30m EBITDA target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Firmex M&amp;A Fee Guide 2024-2025 European Edition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firmex.com/resources/reports-guides/eu-fee-guide-25/</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Transaction fees total (advisor + legal + DD)</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2.5–3.5% of EV</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Firmex Guide + Cleary Gottlieb European LevFin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Same sources</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Management equity rollover — average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20% of consideration</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Auxo Capital + IB Interview Questions + Sullivan &amp; Cromwell</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auxocapitaladvisors.com/rollover-equity-middle-market-ma/</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Management equity rollover — founder staying active</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25–40% (upper end)</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Wall Street Prep; FE Training; Auxo Capital</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Standard mid-market sponsor control deal</w:t>
            </w:r>
          </w:p>
        </w:tc>
      </w:tr>
    </w:tbl>
    <w:p>
      <w:pPr>
        <w:pStyle w:val="Heading2"/>
        <w:spacing w:after="120" w:before="240"/>
      </w:pPr>
      <w:r>
        <w:rPr>
          <w:rFonts w:ascii="Arial" w:cs="Arial" w:eastAsia="Arial" w:hAnsi="Arial"/>
          <w:b/>
          <w:bCs/>
          <w:color w:val="1F3864"/>
          <w:sz w:val="26"/>
          <w:szCs w:val="26"/>
        </w:rPr>
        <w:t xml:space="preserve">2.3 Category C — Sidetrade-specific (verified against Statutory Report FY25)</w:t>
      </w:r>
    </w:p>
    <w:p>
      <w:pPr>
        <w:spacing w:after="120"/>
      </w:pPr>
      <w:r>
        <w:rPr>
          <w:rFonts w:ascii="Arial" w:cs="Arial" w:eastAsia="Arial" w:hAnsi="Arial"/>
          <w:b/>
          <w:bCs/>
          <w:sz w:val="22"/>
          <w:szCs w:val="22"/>
        </w:rPr>
        <w:t xml:space="preserve">All Sidetrade-specific values below are now verified directly in the Statutory Report attached to this spec. No further user verification needed for the items listed.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200"/>
        <w:gridCol w:w="1600"/>
      </w:tblGrid>
      <w:t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Verified value</w:t>
            </w:r>
          </w:p>
        </w:tc>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 (Stat Report)</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Olivier Novasque ownership</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35% of share capital</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press release Feb-2026; MarketScreener; corroborated by Note 27 senior management pay disclosure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March 3, 2026 data</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Briarwood Chase Management ownership</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&gt;10% (post 2x stake increase)</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press release Feb-2026</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Feb 2026</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Mission Trail Capital ownership</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press release Mar-2026</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March 24, 2026</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Free float (residual)</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~50% (= 100% − 35% − 10% − 5%)</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Calculated</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Includes treasury shares 85,300 ~5.7%</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Treasury shares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85,300 shares — book value €6,609k (~€77/share book cost)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8 / accounts p.18 / PDF p.23 + Note 6 share buyback contract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Held under ODDO BHF liquidity contract — NOT a market-value reference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Basic shares outstanding</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1,497,346 (€1 nominal, share capital €1,497,346)</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8 / accounts p.18 / PDF p.23</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Includes treasury (not deducted in basic count)</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BSAP 2021 — bonus shares (FREE — no strike)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10,742 shares of which 1,074 to corporate officers</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9 / accounts p.19 / PDF p.24</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Allocated 21-Mar-2024, 2-yr vesting → vest March 2026</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BSAP 2023 — bonus shares (FREE — no strike)</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28,702 shares of which 4,074 to corporate officers</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9 / accounts p.19 / PDF p.24</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Allocated March 2024 + March 2025, vest 2026/2027</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Diluted shares (used for per-share valuation)</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1,536,790 (basic + both BSAP)</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Note 30 EPS / accounts p.28 / PDF p.33</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Already in FY25_base!B69</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Earn-outs provisioned at 31-Dec-2025</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€455k total = Amalto €277k + CreditPoint €178k</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29 / accounts p.27 / PDF p.32</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These are formal earn-out provisions</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ezyCollect contingent earn-out</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Not provisioned at 31-Dec-2025</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29 / accounts p.27 / PDF p.32</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Contingent on future turnover; will be assessed during PPA period ending 31-Dec-2026</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ezyCollect deferred consideration to shareholder</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€1,459k (in Other debts Note 13)</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13 / accounts p.21 / PDF p.26</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Distinct from earn-out — fixed deferred payment</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Existing debt — total principal</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€30.756m (loans only, before €141k interest + €84k deposits = €30.981m total in B43)</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10 / accounts p.20-21 / PDF p.25-26</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 separate tranches</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Existing debt — covenant</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Net debt / EBITDA &lt; 2.5× on BNP €10m + LCL €15m ezyCollect loans</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10 + Note 28 / accounts p.21 + p.27</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Respected at 31-Dec-2025; refinanced at LBO close → covenant disappears</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Novasque 2025 cash compensation</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€290k fixed + €76,875 variable + €3,871 benefits ≈ €371k cash; NO stock options or performance shares received in 2025</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27 / accounts p.27 / PDF p.32</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Important: no equity comp post-LBO will need to be designed separately</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CIR FY25</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€3.482m</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5 (other receivables) + Note 22 (tax reconciliation)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FY24: €2.560m; FY23: €2.352m → growing trend</w:t>
            </w:r>
          </w:p>
        </w:tc>
      </w:tr>
    </w:tbl>
    <w:p>
      <w:pPr>
        <w:pStyle w:val="Heading3"/>
        <w:spacing w:after="100" w:before="200"/>
      </w:pPr>
      <w:r>
        <w:rPr>
          <w:rFonts w:ascii="Arial" w:cs="Arial" w:eastAsia="Arial" w:hAnsi="Arial"/>
          <w:b/>
          <w:bCs/>
          <w:color w:val="2F5496"/>
          <w:sz w:val="22"/>
          <w:szCs w:val="22"/>
        </w:rPr>
        <w:t xml:space="preserve">2.3.1 Existing debt detail (Stat Report Note 10)</w:t>
      </w:r>
    </w:p>
    <w:p>
      <w:pPr>
        <w:spacing w:after="120"/>
      </w:pPr>
      <w:r>
        <w:rPr>
          <w:rFonts w:ascii="Arial" w:cs="Arial" w:eastAsia="Arial" w:hAnsi="Arial"/>
          <w:sz w:val="22"/>
          <w:szCs w:val="22"/>
        </w:rPr>
        <w:t xml:space="preserve">To be refinanced in full at LBO close. Total principal €30.756m across 5 tranches: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500"/>
        <w:gridCol w:w="1700"/>
        <w:gridCol w:w="1700"/>
      </w:tblGrid>
      <w:tr>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Tranche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Origin</w:t>
            </w:r>
          </w:p>
        </w:tc>
        <w:tc>
          <w:tcPr>
            <w:tcW w:type="dxa" w:w="1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Original amount</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Balance 31-Dec-2025</w:t>
            </w:r>
          </w:p>
        </w:tc>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Maturity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BNP Amalto</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May 2021 (82-month)</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€6.5m</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Variable 0.8%</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€2.5m</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29-Apr-2028</w:t>
            </w:r>
          </w:p>
        </w:tc>
      </w:tr>
      <w:tr>
        <w:tc>
          <w:tcPr>
            <w:tcW w:type="dxa" w:w="2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BPI Amalto #1</w:t>
            </w:r>
          </w:p>
        </w:tc>
        <w:tc>
          <w:tcPr>
            <w:tcW w:type="dxa" w:w="18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May 2021 (84-month)</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€5.0m</w:t>
            </w:r>
          </w:p>
        </w:tc>
        <w:tc>
          <w:tcPr>
            <w:tcW w:type="dxa" w:w="1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Fixed 1.07%</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€2.5m</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Jul 2030</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BPI Amalto #2</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May 2021 (84-month)</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€1.5m</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Fixed 1.07%</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€0.8m</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Jul 2030</w:t>
            </w:r>
          </w:p>
        </w:tc>
      </w:tr>
      <w:tr>
        <w:tc>
          <w:tcPr>
            <w:tcW w:type="dxa" w:w="2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LCL ezyCollect</w:t>
            </w:r>
          </w:p>
        </w:tc>
        <w:tc>
          <w:tcPr>
            <w:tcW w:type="dxa" w:w="18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Oct 2025 (84-month)</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€15.0m</w:t>
            </w:r>
          </w:p>
        </w:tc>
        <w:tc>
          <w:tcPr>
            <w:tcW w:type="dxa" w:w="1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Fixed 2.78%</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€15.0m</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22-Oct-2032</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BNP ezyCollect</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Oct 2025 (84-month)</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€10.0m</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Fixed 2.93%</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€10.0m</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21-Oct-2032</w:t>
            </w:r>
          </w:p>
        </w:tc>
      </w:tr>
      <w:tr>
        <w:tc>
          <w:tcPr>
            <w:tcW w:type="dxa" w:w="2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TOTAL PRINCIPAL</w:t>
            </w:r>
          </w:p>
        </w:tc>
        <w:tc>
          <w:tcPr>
            <w:tcW w:type="dxa" w:w="18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€38.0m raised</w:t>
            </w:r>
          </w:p>
        </w:tc>
        <w:tc>
          <w:tcPr>
            <w:tcW w:type="dxa" w:w="1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Weighted avg ~2.4%</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€30.8m outstanding</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after="120"/>
      </w:pPr>
      <w:r>
        <w:rPr>
          <w:rFonts w:ascii="Arial" w:cs="Arial" w:eastAsia="Arial" w:hAnsi="Arial"/>
          <w:b/>
          <w:bCs/>
          <w:sz w:val="22"/>
          <w:szCs w:val="22"/>
        </w:rPr>
        <w:t xml:space="preserve">Implication for LBO: </w:t>
      </w:r>
      <w:r>
        <w:rPr>
          <w:rFonts w:ascii="Arial" w:cs="Arial" w:eastAsia="Arial" w:hAnsi="Arial"/>
          <w:sz w:val="22"/>
          <w:szCs w:val="22"/>
        </w:rPr>
        <w:t xml:space="preserve">All existing debt is well below market LBO rates (weighted ~2.4% vs new TLB ~7-8%). The existing covenant &lt;2.5× is consistent with the Sidetrade conservative balance sheet. Refinancing at close removes both the rate advantage and the covenant restriction.</w:t>
      </w:r>
    </w:p>
    <w:p>
      <w:pPr>
        <w:pStyle w:val="Heading3"/>
        <w:spacing w:after="100" w:before="200"/>
      </w:pPr>
      <w:r>
        <w:rPr>
          <w:rFonts w:ascii="Arial" w:cs="Arial" w:eastAsia="Arial" w:hAnsi="Arial"/>
          <w:b/>
          <w:bCs/>
          <w:color w:val="2F5496"/>
          <w:sz w:val="22"/>
          <w:szCs w:val="22"/>
        </w:rPr>
        <w:t xml:space="preserve">2.3.2 BSAP mechanics — IMPORTANT correction from v2</w:t>
      </w:r>
    </w:p>
    <w:p>
      <w:pPr>
        <w:spacing w:after="120"/>
      </w:pPr>
      <w:r>
        <w:rPr>
          <w:rFonts w:ascii="Arial" w:cs="Arial" w:eastAsia="Arial" w:hAnsi="Arial"/>
          <w:sz w:val="22"/>
          <w:szCs w:val="22"/>
        </w:rPr>
        <w:t xml:space="preserve">BSAPs are </w:t>
      </w:r>
      <w:r>
        <w:rPr>
          <w:rFonts w:ascii="Arial" w:cs="Arial" w:eastAsia="Arial" w:hAnsi="Arial"/>
          <w:b/>
          <w:bCs/>
          <w:sz w:val="22"/>
          <w:szCs w:val="22"/>
        </w:rPr>
        <w:t xml:space="preserve">bonus shares</w:t>
      </w:r>
      <w:r>
        <w:rPr>
          <w:rFonts w:ascii="Arial" w:cs="Arial" w:eastAsia="Arial" w:hAnsi="Arial"/>
          <w:sz w:val="22"/>
          <w:szCs w:val="22"/>
        </w:rPr>
        <w:t xml:space="preserve"> (Plan d'Attribution Gratuite d'Actions — free shares), NOT warrants/BSA with strike price. Therefore:</w:t>
      </w:r>
    </w:p>
    <w:p>
      <w:pPr>
        <w:pStyle w:val="ListParagraph"/>
        <w:numPr>
          <w:ilvl w:val="0"/>
          <w:numId w:val="2"/>
        </w:numPr>
        <w:spacing w:after="80"/>
      </w:pPr>
      <w:r>
        <w:rPr>
          <w:rFonts w:ascii="Arial" w:cs="Arial" w:eastAsia="Arial" w:hAnsi="Arial"/>
          <w:sz w:val="22"/>
          <w:szCs w:val="22"/>
        </w:rPr>
        <w:t xml:space="preserve">There is NO strike to pay at exercise — these are free shares granted to employees / corporate officers.</w:t>
      </w:r>
    </w:p>
    <w:p>
      <w:pPr>
        <w:pStyle w:val="ListParagraph"/>
        <w:numPr>
          <w:ilvl w:val="0"/>
          <w:numId w:val="2"/>
        </w:numPr>
        <w:spacing w:after="80"/>
      </w:pPr>
      <w:r>
        <w:rPr>
          <w:rFonts w:ascii="Arial" w:cs="Arial" w:eastAsia="Arial" w:hAnsi="Arial"/>
          <w:sz w:val="22"/>
          <w:szCs w:val="22"/>
        </w:rPr>
        <w:t xml:space="preserve">At LBO close, BSAPs are typically accelerated (full vesting) and the beneficiary receives the offer price per share.</w:t>
      </w:r>
    </w:p>
    <w:p>
      <w:pPr>
        <w:pStyle w:val="ListParagraph"/>
        <w:numPr>
          <w:ilvl w:val="0"/>
          <w:numId w:val="2"/>
        </w:numPr>
        <w:spacing w:after="80"/>
      </w:pPr>
      <w:r>
        <w:rPr>
          <w:rFonts w:ascii="Arial" w:cs="Arial" w:eastAsia="Arial" w:hAnsi="Arial"/>
          <w:sz w:val="22"/>
          <w:szCs w:val="22"/>
        </w:rPr>
        <w:t xml:space="preserve">The diluted share count of 1,536,790 already includes them — so the per-share valuation calculation captures them automatically.</w:t>
      </w:r>
    </w:p>
    <w:p>
      <w:pPr>
        <w:pStyle w:val="ListParagraph"/>
        <w:numPr>
          <w:ilvl w:val="0"/>
          <w:numId w:val="2"/>
        </w:numPr>
        <w:spacing w:after="80"/>
      </w:pPr>
      <w:r>
        <w:rPr>
          <w:rFonts w:ascii="Arial" w:cs="Arial" w:eastAsia="Arial" w:hAnsi="Arial"/>
          <w:b/>
          <w:bCs/>
          <w:sz w:val="22"/>
          <w:szCs w:val="22"/>
        </w:rPr>
        <w:t xml:space="preserve">In Sources &amp; Uses: no separate "BSAP settlement" line is needed. </w:t>
      </w:r>
      <w:r>
        <w:rPr>
          <w:rFonts w:ascii="Arial" w:cs="Arial" w:eastAsia="Arial" w:hAnsi="Arial"/>
          <w:sz w:val="22"/>
          <w:szCs w:val="22"/>
        </w:rPr>
        <w:t xml:space="preserve">The Equity Value to selling shareholders, divided by diluted shares 1,536,790, gives the per-share offer; multiplying back gives the full equity payout including BSAP holders.</w:t>
      </w:r>
    </w:p>
    <w:p>
      <w:pPr>
        <w:pStyle w:val="Heading2"/>
        <w:spacing w:after="120" w:before="240"/>
      </w:pPr>
      <w:r>
        <w:rPr>
          <w:rFonts w:ascii="Arial" w:cs="Arial" w:eastAsia="Arial" w:hAnsi="Arial"/>
          <w:b/>
          <w:bCs/>
          <w:color w:val="1F3864"/>
          <w:sz w:val="26"/>
          <w:szCs w:val="26"/>
        </w:rPr>
        <w:t xml:space="preserve">2.4 Category D — Modelling assumptions (no public source — justify in-model)</w:t>
      </w:r>
    </w:p>
    <w:p>
      <w:pPr>
        <w:spacing w:after="120"/>
      </w:pPr>
      <w:r>
        <w:rPr>
          <w:rFonts w:ascii="Arial" w:cs="Arial" w:eastAsia="Arial" w:hAnsi="Arial"/>
          <w:sz w:val="22"/>
          <w:szCs w:val="22"/>
        </w:rPr>
        <w:t xml:space="preserve">Pure modelling choices. Flag </w:t>
      </w:r>
      <w:r>
        <w:rPr>
          <w:rFonts w:ascii="Arial" w:cs="Arial" w:eastAsia="Arial" w:hAnsi="Arial"/>
          <w:i/>
          <w:iCs/>
          <w:sz w:val="22"/>
          <w:szCs w:val="22"/>
        </w:rPr>
        <w:t xml:space="preserve">"Assumption — modelling"</w:t>
      </w:r>
      <w:r>
        <w:rPr>
          <w:rFonts w:ascii="Arial" w:cs="Arial" w:eastAsia="Arial" w:hAnsi="Arial"/>
          <w:sz w:val="22"/>
          <w:szCs w:val="22"/>
        </w:rPr>
        <w:t xml:space="preserve"> in Source column and sensitise.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00"/>
        <w:gridCol w:w="1600"/>
      </w:tblGrid>
      <w:tr>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Suggested value</w:t>
            </w:r>
          </w:p>
        </w:tc>
        <w:tc>
          <w:tcPr>
            <w:tcW w:type="dxa" w:w="3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Sensitivity range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Min cash on balance sheet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€8m</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1 month OpEx (Sidetrade OpEx ~€48m/yr); standard for €60m SaaS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€5m – €12m</w:t>
            </w:r>
          </w:p>
        </w:tc>
      </w:tr>
      <w:tr>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IRR targets for affordability</w:t>
            </w:r>
          </w:p>
        </w:tc>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18% / 22.5% / 25%</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Mid-market PE convention (no public benchmark publication)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Cite as "PE sponsor convention"</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Holding period</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 years</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Standard PE hold; matches DCF horizon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Fixed</w:t>
            </w:r>
          </w:p>
        </w:tc>
      </w:tr>
      <w:tr>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Exit multiple (Year 5)</w:t>
            </w:r>
          </w:p>
        </w:tc>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15× EBITDA 2030</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Cross-check with Inputs!B39. Conservative vs trading comps 22-25×</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12×–18×</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Equity rollover %</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35% of Novasque consideration</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Founder staying active, upper end of typical range. Yields ~12% NewCo stake for Novasque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25%–50%</w:t>
            </w:r>
          </w:p>
        </w:tc>
      </w:tr>
      <w:tr>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Forward effective tax rate (3 scenarios)</w:t>
            </w:r>
          </w:p>
        </w:tc>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25% / 22% / 20%</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From DCF Inputs!B31. Conservative normalization vs FY25 actual negative effective rate due to CIR</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Use as-is</w:t>
            </w:r>
          </w:p>
        </w:tc>
      </w:tr>
    </w:tbl>
    <w:p>
      <w:pPr>
        <w:pStyle w:val="Heading1"/>
        <w:spacing w:after="160" w:before="320"/>
      </w:pPr>
      <w:r>
        <w:rPr>
          <w:rFonts w:ascii="Arial" w:cs="Arial" w:eastAsia="Arial" w:hAnsi="Arial"/>
          <w:b/>
          <w:bCs/>
          <w:color w:val="1F3864"/>
          <w:sz w:val="32"/>
          <w:szCs w:val="32"/>
        </w:rPr>
        <w:t xml:space="preserve">Section 3 — Modelling Mechanics</w:t>
      </w:r>
    </w:p>
    <w:p>
      <w:pPr>
        <w:pStyle w:val="Heading2"/>
        <w:spacing w:after="120" w:before="240"/>
      </w:pPr>
      <w:r>
        <w:rPr>
          <w:rFonts w:ascii="Arial" w:cs="Arial" w:eastAsia="Arial" w:hAnsi="Arial"/>
          <w:b/>
          <w:bCs/>
          <w:color w:val="1F3864"/>
          <w:sz w:val="26"/>
          <w:szCs w:val="26"/>
        </w:rPr>
        <w:t xml:space="preserve">3.1 Sources &amp; Uses (at close, €m) — REVISED v3</w:t>
      </w:r>
    </w:p>
    <w:p>
      <w:pPr>
        <w:shd w:fill="F4F4F4" w:val="clear"/>
        <w:spacing w:after="120"/>
      </w:pPr>
      <w:r>
        <w:rPr>
          <w:rFonts w:ascii="Consolas" w:cs="Consolas" w:eastAsia="Consolas" w:hAnsi="Consolas"/>
          <w:sz w:val="20"/>
          <w:szCs w:val="20"/>
        </w:rPr>
        <w:t xml:space="preserve">USES                                                              €m
──────────────────────────────────────────────────────────────────────────
Equity Value to selling shareholders                          computed
   = Entry EV + Existing cash − Existing debt − Mgmt rollover value
   (cash-and-debt-free pricing convention)
Refinance existing financial debt                             30.981
Cash to balance sheet (top up to min cash €8m)                computed
   = MAX(0, Min cash − Existing cash post-payout)
Provisioned earn-outs payment (Amalto + CreditPoint)          0.455
   (assume settled at close to clear contingent liabilities)
ezyCollect deferred consideration                             1.459
   (already a fixed debt-like obligation per Note 13)
Transaction fees (3% × Entry EV)                              computed
Financing fees (3% × New debt)                                computed
──────────────────────────────────────────────────────────────────────────
TOTAL USES                                                    sum
NOTE: NO separate BSAP settlement line. Bonus shares are free —
diluted share count of 1,536,790 already captures the dilution.
SOURCES                                                       €m       %
────────────────────────────────────────────────────────────────────────────────
New TLB (target leverage × EBITDA FY25)                       computed
   Recommended base: 4.0× × €13.4m = €53.5m
RCF drawn at close                                            0.000
   Committed but undrawn; €15m commitment fee 50bps assumed
Existing cash rolled (= min cash €8m, residual to sellers)    8.000
Management equity rollover (non-cash)                         computed
   = Novasque ownership 35% × rollover % × Entry EV
   At 35% rollover: 35% × 35% × €301m = ~€37m
Sponsor equity check (balancing figure)                       balancing
────────────────────────────────────────────────────────────────────────────────
TOTAL SOURCES = TOTAL USES                                    check</w:t>
      </w:r>
    </w:p>
    <w:p>
      <w:pPr>
        <w:spacing w:after="120"/>
      </w:pPr>
      <w:r>
        <w:rPr>
          <w:rFonts w:ascii="Arial" w:cs="Arial" w:eastAsia="Arial" w:hAnsi="Arial"/>
          <w:b/>
          <w:bCs/>
          <w:sz w:val="22"/>
          <w:szCs w:val="22"/>
        </w:rPr>
        <w:t xml:space="preserve">ezyCollect contingent earn-out: </w:t>
      </w:r>
      <w:r>
        <w:rPr>
          <w:rFonts w:ascii="Arial" w:cs="Arial" w:eastAsia="Arial" w:hAnsi="Arial"/>
          <w:sz w:val="22"/>
          <w:szCs w:val="22"/>
        </w:rPr>
        <w:t xml:space="preserve">NOT included in Uses because it is contingent on future ezyCollect turnover and not provisioned at 31-Dec-2025. Treat as a post-close liability of NewCo, payable when (and if) triggered. Disclose in caveats.</w:t>
      </w:r>
    </w:p>
    <w:p>
      <w:pPr>
        <w:pStyle w:val="Heading2"/>
        <w:spacing w:after="120" w:before="240"/>
      </w:pPr>
      <w:r>
        <w:rPr>
          <w:rFonts w:ascii="Arial" w:cs="Arial" w:eastAsia="Arial" w:hAnsi="Arial"/>
          <w:b/>
          <w:bCs/>
          <w:color w:val="1F3864"/>
          <w:sz w:val="26"/>
          <w:szCs w:val="26"/>
        </w:rPr>
        <w:t xml:space="preserve">3.2 Capital structure post-close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500"/>
      </w:tblGrid>
      <w:tr>
        <w:tc>
          <w:tcPr>
            <w:tcW w:type="dxa" w:w="3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Line</w:t>
            </w:r>
          </w:p>
        </w:tc>
        <w:tc>
          <w:tcPr>
            <w:tcW w:type="dxa" w:w="4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Total debt</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New TLB (single tranche v1)</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From S&amp;U</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Cash on BS</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Min cash (€8m)</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Category D</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Net debt</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Total debt − Cash</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Computed</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Net leverage at close</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Net debt / EBITDA FY25</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Cross-check ≤ 5.0×</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Contingent liabilities (ezyCollect EO)</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TBD on PPA completion 31-Dec-2026</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Disclose only</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Total equity value (sponsor + management)</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Entry EV − Net debt</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Computed</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Sponsor share %</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1 − Management rollover %</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Result</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Management share %</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Novasque rollover value / Total equity</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Result</w:t>
            </w:r>
          </w:p>
        </w:tc>
      </w:tr>
    </w:tbl>
    <w:p>
      <w:pPr>
        <w:pStyle w:val="Heading2"/>
        <w:spacing w:after="120" w:before="240"/>
      </w:pPr>
      <w:r>
        <w:rPr>
          <w:rFonts w:ascii="Arial" w:cs="Arial" w:eastAsia="Arial" w:hAnsi="Arial"/>
          <w:b/>
          <w:bCs/>
          <w:color w:val="1F3864"/>
          <w:sz w:val="26"/>
          <w:szCs w:val="26"/>
        </w:rPr>
        <w:t xml:space="preserve">3.3 Operating projections (5 years × 3 scenarios)</w:t>
      </w:r>
    </w:p>
    <w:p>
      <w:pPr>
        <w:spacing w:after="120"/>
      </w:pPr>
      <w:r>
        <w:rPr>
          <w:rFonts w:ascii="Arial" w:cs="Arial" w:eastAsia="Arial" w:hAnsi="Arial"/>
          <w:sz w:val="22"/>
          <w:szCs w:val="22"/>
        </w:rPr>
        <w:t xml:space="preserve">Cross-link from DCF tab. For each year t = 2026..2030, per scenario:</w:t>
      </w:r>
    </w:p>
    <w:p>
      <w:pPr>
        <w:pStyle w:val="ListParagraph"/>
        <w:numPr>
          <w:ilvl w:val="0"/>
          <w:numId w:val="2"/>
        </w:numPr>
        <w:spacing w:after="80"/>
      </w:pPr>
      <w:r>
        <w:rPr>
          <w:rFonts w:ascii="Arial" w:cs="Arial" w:eastAsia="Arial" w:hAnsi="Arial"/>
          <w:sz w:val="22"/>
          <w:szCs w:val="22"/>
        </w:rPr>
        <w:t xml:space="preserve">Revenue_t = DCF!{col}7</w:t>
      </w:r>
    </w:p>
    <w:p>
      <w:pPr>
        <w:pStyle w:val="ListParagraph"/>
        <w:numPr>
          <w:ilvl w:val="0"/>
          <w:numId w:val="2"/>
        </w:numPr>
        <w:spacing w:after="80"/>
      </w:pPr>
      <w:r>
        <w:rPr>
          <w:rFonts w:ascii="Arial" w:cs="Arial" w:eastAsia="Arial" w:hAnsi="Arial"/>
          <w:sz w:val="22"/>
          <w:szCs w:val="22"/>
        </w:rPr>
        <w:t xml:space="preserve">EBITDA_t = DCF!{col}12</w:t>
      </w:r>
    </w:p>
    <w:p>
      <w:pPr>
        <w:pStyle w:val="ListParagraph"/>
        <w:numPr>
          <w:ilvl w:val="0"/>
          <w:numId w:val="2"/>
        </w:numPr>
        <w:spacing w:after="80"/>
      </w:pPr>
      <w:r>
        <w:rPr>
          <w:rFonts w:ascii="Arial" w:cs="Arial" w:eastAsia="Arial" w:hAnsi="Arial"/>
          <w:sz w:val="22"/>
          <w:szCs w:val="22"/>
        </w:rPr>
        <w:t xml:space="preserve">D&amp;A_t = DCF!{col}13</w:t>
      </w:r>
    </w:p>
    <w:p>
      <w:pPr>
        <w:pStyle w:val="ListParagraph"/>
        <w:numPr>
          <w:ilvl w:val="0"/>
          <w:numId w:val="2"/>
        </w:numPr>
        <w:spacing w:after="80"/>
      </w:pPr>
      <w:r>
        <w:rPr>
          <w:rFonts w:ascii="Arial" w:cs="Arial" w:eastAsia="Arial" w:hAnsi="Arial"/>
          <w:sz w:val="22"/>
          <w:szCs w:val="22"/>
        </w:rPr>
        <w:t xml:space="preserve">EBIT_t = EBITDA_t − D&amp;A_t</w:t>
      </w:r>
    </w:p>
    <w:p>
      <w:pPr>
        <w:pStyle w:val="ListParagraph"/>
        <w:numPr>
          <w:ilvl w:val="0"/>
          <w:numId w:val="2"/>
        </w:numPr>
        <w:spacing w:after="80"/>
      </w:pPr>
      <w:r>
        <w:rPr>
          <w:rFonts w:ascii="Arial" w:cs="Arial" w:eastAsia="Arial" w:hAnsi="Arial"/>
          <w:sz w:val="22"/>
          <w:szCs w:val="22"/>
        </w:rPr>
        <w:t xml:space="preserve">Capex_t = − DCF!{col}19</w:t>
      </w:r>
    </w:p>
    <w:p>
      <w:pPr>
        <w:pStyle w:val="ListParagraph"/>
        <w:numPr>
          <w:ilvl w:val="0"/>
          <w:numId w:val="2"/>
        </w:numPr>
        <w:spacing w:after="80"/>
      </w:pPr>
      <w:r>
        <w:rPr>
          <w:rFonts w:ascii="Arial" w:cs="Arial" w:eastAsia="Arial" w:hAnsi="Arial"/>
          <w:sz w:val="22"/>
          <w:szCs w:val="22"/>
        </w:rPr>
        <w:t xml:space="preserve">ΔBFR_t = − DCF!{col}20</w:t>
      </w:r>
    </w:p>
    <w:p>
      <w:pPr>
        <w:spacing w:after="120"/>
      </w:pPr>
      <w:r>
        <w:rPr>
          <w:rFonts w:ascii="Arial" w:cs="Arial" w:eastAsia="Arial" w:hAnsi="Arial"/>
          <w:b/>
          <w:bCs/>
          <w:sz w:val="22"/>
          <w:szCs w:val="22"/>
        </w:rPr>
        <w:t xml:space="preserve">Do not reuse DCF row 21 (Unlevered FCF). </w:t>
      </w:r>
      <w:r>
        <w:rPr>
          <w:rFonts w:ascii="Arial" w:cs="Arial" w:eastAsia="Arial" w:hAnsi="Arial"/>
          <w:sz w:val="22"/>
          <w:szCs w:val="22"/>
        </w:rPr>
        <w:t xml:space="preserve">For LBO we re-derive FCF starting from EBIT and explicitly modelling interest expense.</w:t>
      </w:r>
    </w:p>
    <w:p>
      <w:pPr>
        <w:pStyle w:val="Heading2"/>
        <w:spacing w:after="120" w:before="240"/>
      </w:pPr>
      <w:r>
        <w:rPr>
          <w:rFonts w:ascii="Arial" w:cs="Arial" w:eastAsia="Arial" w:hAnsi="Arial"/>
          <w:b/>
          <w:bCs/>
          <w:color w:val="1F3864"/>
          <w:sz w:val="26"/>
          <w:szCs w:val="26"/>
        </w:rPr>
        <w:t xml:space="preserve">3.4 Debt schedule (TLB only, no second tranche in v1)</w:t>
      </w:r>
    </w:p>
    <w:p>
      <w:pPr>
        <w:shd w:fill="F4F4F4" w:val="clear"/>
        <w:spacing w:after="120"/>
      </w:pPr>
      <w:r>
        <w:rPr>
          <w:rFonts w:ascii="Consolas" w:cs="Consolas" w:eastAsia="Consolas" w:hAnsi="Consolas"/>
          <w:sz w:val="20"/>
          <w:szCs w:val="20"/>
        </w:rPr>
        <w:t xml:space="preserve">                            2026         2027         2028         2029         2030
─────────────────────────────────────────────────────────────────────────────────────
Opening debt (€m)           D_init       D_close26    D_close27    D_close28    D_close29
(−) Mandatory amort (1%)    −0.01 × D_init (each year — base on ORIGINAL principal)
(−) Cash sweep              From cash flow section (3.6) — 75% of excess
Closing debt (€m)           Opening − Amort − Sweep
Average debt                = (Opening + Closing) / 2
Interest @ all-in rate      Avg debt × rate
                                  rate = Euribor 3M (Cat. B latest) + 475-525 bps</w:t>
      </w:r>
    </w:p>
    <w:p>
      <w:pPr>
        <w:spacing w:after="120"/>
      </w:pPr>
      <w:r>
        <w:rPr>
          <w:rFonts w:ascii="Arial" w:cs="Arial" w:eastAsia="Arial" w:hAnsi="Arial"/>
          <w:b/>
          <w:bCs/>
          <w:sz w:val="22"/>
          <w:szCs w:val="22"/>
        </w:rPr>
        <w:t xml:space="preserve">Circular reference handling — REQUIRED: </w:t>
      </w:r>
      <w:r>
        <w:rPr>
          <w:rFonts w:ascii="Arial" w:cs="Arial" w:eastAsia="Arial" w:hAnsi="Arial"/>
          <w:sz w:val="22"/>
          <w:szCs w:val="22"/>
        </w:rPr>
        <w:t xml:space="preserve">Interest depends on average debt → depends on sweep → depends on FCF after interest. Enable iterative calculation in Excel: File → Options → Formulas → Enable iterative calculation. Max iterations = 100, max change = 0.001.</w:t>
      </w:r>
    </w:p>
    <w:p>
      <w:pPr>
        <w:spacing w:after="120"/>
      </w:pPr>
      <w:r>
        <w:rPr>
          <w:rFonts w:ascii="Arial" w:cs="Arial" w:eastAsia="Arial" w:hAnsi="Arial"/>
          <w:b/>
          <w:bCs/>
          <w:sz w:val="22"/>
          <w:szCs w:val="22"/>
        </w:rPr>
        <w:t xml:space="preserve">Alternative for v1 (simpler — avoids iterative): </w:t>
      </w:r>
      <w:r>
        <w:rPr>
          <w:rFonts w:ascii="Arial" w:cs="Arial" w:eastAsia="Arial" w:hAnsi="Arial"/>
          <w:sz w:val="22"/>
          <w:szCs w:val="22"/>
        </w:rPr>
        <w:t xml:space="preserve">Compute interest on opening debt only. Overstates interest by ~5% year 1 to ~25% year 5. Document choice explicitly.</w:t>
      </w:r>
    </w:p>
    <w:p>
      <w:pPr>
        <w:pStyle w:val="Heading2"/>
        <w:spacing w:after="120" w:before="240"/>
      </w:pPr>
      <w:r>
        <w:rPr>
          <w:rFonts w:ascii="Arial" w:cs="Arial" w:eastAsia="Arial" w:hAnsi="Arial"/>
          <w:b/>
          <w:bCs/>
          <w:color w:val="1F3864"/>
          <w:sz w:val="26"/>
          <w:szCs w:val="26"/>
        </w:rPr>
        <w:t xml:space="preserve">3.5 P&amp;L flow with ATAD-compliant tax shield</w:t>
      </w:r>
    </w:p>
    <w:p>
      <w:pPr>
        <w:shd w:fill="F4F4F4" w:val="clear"/>
        <w:spacing w:after="120"/>
      </w:pPr>
      <w:r>
        <w:rPr>
          <w:rFonts w:ascii="Consolas" w:cs="Consolas" w:eastAsia="Consolas" w:hAnsi="Consolas"/>
          <w:sz w:val="20"/>
          <w:szCs w:val="20"/>
        </w:rPr>
        <w:t xml:space="preserve">EBITDA                                          (from DCF cross-link)
(−) D&amp;A                                         (from DCF cross-link)
EBIT
(−) Interest expense                            = Avg debt × all-in rate
EBT (Earnings Before Tax)
ATAD cap calculation per art. 212 bis CGI:
  Tax EBITDA_t          = EBITDA_t (ATAD definition for standalone entities)
  Cap_t                 = MAX(€3m, 30% × Tax EBITDA_t)
  Deductible interest_t = MIN(Actual interest_t, Cap_t)
  Non-deductible_t      = Actual interest_t − Deductible interest_t
  Carryforward_t        = Carryforward_(t-1) + Non-deductible_t
                          (display only — not reused in v1)
Taxable income_t       = EBIT_t − Deductible interest_t
                         (NB: this is BEFORE CIR offset; see below)
Theoretical IS_t       = Taxable income_t × 25% (CGI art. 219)
Social contribution_t  = 3.3% × MAX(0, Theoretical IS_t − €0.763m)
Theoretical tax_t      = Theoretical IS_t + Social contribution_t
CIR offset_t           = €3.5m (held flat per DCF assumption Inputs!B34)
                         NB: presented as reduction of income tax line
                              per ANC reg. 2020-01
Net cash tax_t         = MAX(0, Theoretical tax_t − CIR offset_t)
Net income (after-tax) = EBT_t − Net cash tax_t</w:t>
      </w:r>
    </w:p>
    <w:p>
      <w:pPr>
        <w:spacing w:after="120"/>
      </w:pPr>
      <w:r>
        <w:rPr>
          <w:rFonts w:ascii="Arial" w:cs="Arial" w:eastAsia="Arial" w:hAnsi="Arial"/>
          <w:b/>
          <w:bCs/>
          <w:sz w:val="22"/>
          <w:szCs w:val="22"/>
        </w:rPr>
        <w:t xml:space="preserve">Critical note on CIR: </w:t>
      </w:r>
      <w:r>
        <w:rPr>
          <w:rFonts w:ascii="Arial" w:cs="Arial" w:eastAsia="Arial" w:hAnsi="Arial"/>
          <w:sz w:val="22"/>
          <w:szCs w:val="22"/>
        </w:rPr>
        <w:t xml:space="preserve">Sidetrade's actual FY25 tax line was POSITIVE (€2.150m credit) because CIR reclassement (€3.420m) exceeded theoretical IS at 25% (€1.720m). Going forward with LBO interest deduction further reducing taxable income, the net cash tax may be zero or slightly negative for early years. The model should use </w:t>
      </w:r>
      <w:r>
        <w:rPr>
          <w:rFonts w:ascii="Arial" w:cs="Arial" w:eastAsia="Arial" w:hAnsi="Arial"/>
          <w:b/>
          <w:bCs/>
          <w:sz w:val="22"/>
          <w:szCs w:val="22"/>
        </w:rPr>
        <w:t xml:space="preserve">MAX(0, ...)</w:t>
      </w:r>
      <w:r>
        <w:rPr>
          <w:rFonts w:ascii="Arial" w:cs="Arial" w:eastAsia="Arial" w:hAnsi="Arial"/>
          <w:sz w:val="22"/>
          <w:szCs w:val="22"/>
        </w:rPr>
        <w:t xml:space="preserve"> floor on cash tax to avoid implicit tax credits accruing. The CIR carryforward (if cash tax goes to zero) is a real fiscal asset under French law but should be flagged in caveats — not monetised in v1.</w:t>
      </w:r>
    </w:p>
    <w:p>
      <w:pPr>
        <w:pStyle w:val="Heading2"/>
        <w:spacing w:after="120" w:before="240"/>
      </w:pPr>
      <w:r>
        <w:rPr>
          <w:rFonts w:ascii="Arial" w:cs="Arial" w:eastAsia="Arial" w:hAnsi="Arial"/>
          <w:b/>
          <w:bCs/>
          <w:color w:val="1F3864"/>
          <w:sz w:val="26"/>
          <w:szCs w:val="26"/>
        </w:rPr>
        <w:t xml:space="preserve">3.6 Cash flow with sweep mechanics</w:t>
      </w:r>
    </w:p>
    <w:p>
      <w:pPr>
        <w:shd w:fill="F4F4F4" w:val="clear"/>
        <w:spacing w:after="120"/>
      </w:pPr>
      <w:r>
        <w:rPr>
          <w:rFonts w:ascii="Consolas" w:cs="Consolas" w:eastAsia="Consolas" w:hAnsi="Consolas"/>
          <w:sz w:val="20"/>
          <w:szCs w:val="20"/>
        </w:rPr>
        <w:t xml:space="preserve">Net income (from P&amp;L)
(+) D&amp;A                                         (non-cash addback)
(−) Capex
(−) ΔBFR
(−) Mandatory amortisation                      = 1% × initial debt
─────────────────────────────────────────────────────────────────────
Cash available before sweep                     = Prior cash + above
Excess over min cash                            = MAX(0, Cash available − Min cash)
Cash sweep                                      = 75% × Excess
Closing cash                                    = Cash available − Sweep
Total debt paydown                              = Mandatory + Sweep
Closing debt                                    = Opening debt − Total paydown</w:t>
      </w:r>
    </w:p>
    <w:p>
      <w:pPr>
        <w:pStyle w:val="Heading2"/>
        <w:spacing w:after="120" w:before="240"/>
      </w:pPr>
      <w:r>
        <w:rPr>
          <w:rFonts w:ascii="Arial" w:cs="Arial" w:eastAsia="Arial" w:hAnsi="Arial"/>
          <w:b/>
          <w:bCs/>
          <w:color w:val="1F3864"/>
          <w:sz w:val="26"/>
          <w:szCs w:val="26"/>
        </w:rPr>
        <w:t xml:space="preserve">3.7 Exit waterfall (Year 5 = 2030)</w:t>
      </w:r>
    </w:p>
    <w:p>
      <w:pPr>
        <w:shd w:fill="F4F4F4" w:val="clear"/>
        <w:spacing w:after="120"/>
      </w:pPr>
      <w:r>
        <w:rPr>
          <w:rFonts w:ascii="Consolas" w:cs="Consolas" w:eastAsia="Consolas" w:hAnsi="Consolas"/>
          <w:sz w:val="20"/>
          <w:szCs w:val="20"/>
        </w:rPr>
        <w:t xml:space="preserve">Exit EBITDA 2030 (per scenario)             = DCF!{col}12 for 2030
Exit multiple                                = 15× (base; sensitivity 12-18×)
Exit Enterprise Value                        = EBITDA₂₀₃₀ × multiple
(−) Exit debt (closing debt year 5)
(+) Exit cash (closing cash year 5)
Exit equity value (total)
Sponsor share %                              = 1 − Management rollover %
Management share %                           = Management rollover %
Sponsor exit equity                          = Exit equity × Sponsor share
Sponsor entry equity                         = From S&amp;U (cheque sponsor wrote)
Sponsor IRR (5y)                             = (Sponsor exit / Sponsor entry)^(1/5) − 1
Sponsor Money-on-Money                       = Sponsor exit / Sponsor entry</w:t>
      </w:r>
    </w:p>
    <w:p>
      <w:pPr>
        <w:pStyle w:val="Heading2"/>
        <w:spacing w:after="120" w:before="240"/>
      </w:pPr>
      <w:r>
        <w:rPr>
          <w:rFonts w:ascii="Arial" w:cs="Arial" w:eastAsia="Arial" w:hAnsi="Arial"/>
          <w:b/>
          <w:bCs/>
          <w:color w:val="1F3864"/>
          <w:sz w:val="26"/>
          <w:szCs w:val="26"/>
        </w:rPr>
        <w:t xml:space="preserve">3.8 Affordability — reverse solve via Goal Seek</w:t>
      </w:r>
    </w:p>
    <w:p>
      <w:pPr>
        <w:spacing w:after="120"/>
      </w:pPr>
      <w:r>
        <w:rPr>
          <w:rFonts w:ascii="Arial" w:cs="Arial" w:eastAsia="Arial" w:hAnsi="Arial"/>
          <w:sz w:val="22"/>
          <w:szCs w:val="22"/>
        </w:rPr>
        <w:t xml:space="preserve">For each (scenario × target IRR), Goal Seek the Entry EV that produces the target sponsor IRR.</w:t>
      </w:r>
    </w:p>
    <w:p>
      <w:pPr>
        <w:pStyle w:val="ListParagraph"/>
        <w:numPr>
          <w:ilvl w:val="0"/>
          <w:numId w:val="2"/>
        </w:numPr>
        <w:spacing w:after="80"/>
      </w:pPr>
      <w:r>
        <w:rPr>
          <w:rFonts w:ascii="Arial" w:cs="Arial" w:eastAsia="Arial" w:hAnsi="Arial"/>
          <w:sz w:val="22"/>
          <w:szCs w:val="22"/>
        </w:rPr>
        <w:t xml:space="preserve">Set cell: Sponsor IRR</w:t>
      </w:r>
    </w:p>
    <w:p>
      <w:pPr>
        <w:pStyle w:val="ListParagraph"/>
        <w:numPr>
          <w:ilvl w:val="0"/>
          <w:numId w:val="2"/>
        </w:numPr>
        <w:spacing w:after="80"/>
      </w:pPr>
      <w:r>
        <w:rPr>
          <w:rFonts w:ascii="Arial" w:cs="Arial" w:eastAsia="Arial" w:hAnsi="Arial"/>
          <w:sz w:val="22"/>
          <w:szCs w:val="22"/>
        </w:rPr>
        <w:t xml:space="preserve">To value: 0.18 / 0.225 / 0.25</w:t>
      </w:r>
    </w:p>
    <w:p>
      <w:pPr>
        <w:pStyle w:val="ListParagraph"/>
        <w:numPr>
          <w:ilvl w:val="0"/>
          <w:numId w:val="2"/>
        </w:numPr>
        <w:spacing w:after="80"/>
      </w:pPr>
      <w:r>
        <w:rPr>
          <w:rFonts w:ascii="Arial" w:cs="Arial" w:eastAsia="Arial" w:hAnsi="Arial"/>
          <w:sz w:val="22"/>
          <w:szCs w:val="22"/>
        </w:rPr>
        <w:t xml:space="preserve">By changing cell: Entry EV input</w:t>
      </w:r>
    </w:p>
    <w:p>
      <w:pPr>
        <w:spacing w:after="120"/>
      </w:pPr>
      <w:r>
        <w:rPr>
          <w:rFonts w:ascii="Arial" w:cs="Arial" w:eastAsia="Arial" w:hAnsi="Arial"/>
          <w:sz w:val="22"/>
          <w:szCs w:val="22"/>
        </w:rPr>
        <w:t xml:space="preserve">9 goal seeks total. Document results in a static table; Excel does not store goal-seek history.</w:t>
      </w:r>
    </w:p>
    <w:p>
      <w:pPr>
        <w:pStyle w:val="Heading2"/>
        <w:spacing w:after="120" w:before="240"/>
      </w:pPr>
      <w:r>
        <w:rPr>
          <w:rFonts w:ascii="Arial" w:cs="Arial" w:eastAsia="Arial" w:hAnsi="Arial"/>
          <w:b/>
          <w:bCs/>
          <w:color w:val="1F3864"/>
          <w:sz w:val="26"/>
          <w:szCs w:val="26"/>
        </w:rPr>
        <w:t xml:space="preserve">3.9 Sensitivity tables (required, dynamic formulas)</w:t>
      </w:r>
    </w:p>
    <w:p>
      <w:pPr>
        <w:pStyle w:val="ListParagraph"/>
        <w:numPr>
          <w:ilvl w:val="0"/>
          <w:numId w:val="2"/>
        </w:numPr>
        <w:spacing w:after="80"/>
      </w:pPr>
      <w:r>
        <w:rPr>
          <w:rFonts w:ascii="Arial" w:cs="Arial" w:eastAsia="Arial" w:hAnsi="Arial"/>
          <w:sz w:val="22"/>
          <w:szCs w:val="22"/>
        </w:rPr>
        <w:t xml:space="preserve">Table 1 — Entry EV × Exit multiple → Sponsor IRR. 5×5 matrix. Entry EV: 250/275/300/325/350. Exit multiple: 12/13/15/17/19×. Base scenario.</w:t>
      </w:r>
    </w:p>
    <w:p>
      <w:pPr>
        <w:pStyle w:val="ListParagraph"/>
        <w:numPr>
          <w:ilvl w:val="0"/>
          <w:numId w:val="2"/>
        </w:numPr>
        <w:spacing w:after="80"/>
      </w:pPr>
      <w:r>
        <w:rPr>
          <w:rFonts w:ascii="Arial" w:cs="Arial" w:eastAsia="Arial" w:hAnsi="Arial"/>
          <w:sz w:val="22"/>
          <w:szCs w:val="22"/>
        </w:rPr>
        <w:t xml:space="preserve">Table 2 — Leverage × Exit multiple → Sponsor IRR. 5×5 matrix. Leverage: 3.0/3.5/4.0/4.5/5.0× EBITDA. Exit multiple: 12/13/15/17/19×. Base scenario, Entry EV €300m.</w:t>
      </w:r>
    </w:p>
    <w:p>
      <w:pPr>
        <w:pStyle w:val="ListParagraph"/>
        <w:numPr>
          <w:ilvl w:val="0"/>
          <w:numId w:val="2"/>
        </w:numPr>
        <w:spacing w:after="80"/>
      </w:pPr>
      <w:r>
        <w:rPr>
          <w:rFonts w:ascii="Arial" w:cs="Arial" w:eastAsia="Arial" w:hAnsi="Arial"/>
          <w:sz w:val="22"/>
          <w:szCs w:val="22"/>
        </w:rPr>
        <w:t xml:space="preserve">Both formulas-only. Center cell highlighted bordeaux.</w:t>
      </w:r>
    </w:p>
    <w:p>
      <w:pPr>
        <w:pStyle w:val="Heading1"/>
        <w:spacing w:after="160" w:before="320"/>
      </w:pPr>
      <w:r>
        <w:rPr>
          <w:rFonts w:ascii="Arial" w:cs="Arial" w:eastAsia="Arial" w:hAnsi="Arial"/>
          <w:b/>
          <w:bCs/>
          <w:color w:val="1F3864"/>
          <w:sz w:val="32"/>
          <w:szCs w:val="32"/>
        </w:rPr>
        <w:t xml:space="preserve">Section 4 — Outputs Required</w:t>
      </w:r>
    </w:p>
    <w:p>
      <w:pPr>
        <w:spacing w:after="120"/>
      </w:pPr>
      <w:r>
        <w:rPr>
          <w:rFonts w:ascii="Arial" w:cs="Arial" w:eastAsia="Arial" w:hAnsi="Arial"/>
          <w:sz w:val="22"/>
          <w:szCs w:val="22"/>
        </w:rPr>
        <w:t xml:space="preserve">LBO_full tab structure, top-to-bottom:</w:t>
      </w:r>
    </w:p>
    <w:p>
      <w:pPr>
        <w:pStyle w:val="ListParagraph"/>
        <w:numPr>
          <w:ilvl w:val="0"/>
          <w:numId w:val="2"/>
        </w:numPr>
        <w:spacing w:after="80"/>
      </w:pPr>
      <w:r>
        <w:rPr>
          <w:rFonts w:ascii="Arial" w:cs="Arial" w:eastAsia="Arial" w:hAnsi="Arial"/>
          <w:sz w:val="22"/>
          <w:szCs w:val="22"/>
        </w:rPr>
        <w:t xml:space="preserve">Header: title, version, date, sources legend.</w:t>
      </w:r>
    </w:p>
    <w:p>
      <w:pPr>
        <w:pStyle w:val="ListParagraph"/>
        <w:numPr>
          <w:ilvl w:val="0"/>
          <w:numId w:val="2"/>
        </w:numPr>
        <w:spacing w:after="80"/>
      </w:pPr>
      <w:r>
        <w:rPr>
          <w:rFonts w:ascii="Arial" w:cs="Arial" w:eastAsia="Arial" w:hAnsi="Arial"/>
          <w:sz w:val="22"/>
          <w:szCs w:val="22"/>
        </w:rPr>
        <w:t xml:space="preserve">Input block (Cat. A + B + C + D, Source column populated).</w:t>
      </w:r>
    </w:p>
    <w:p>
      <w:pPr>
        <w:pStyle w:val="ListParagraph"/>
        <w:numPr>
          <w:ilvl w:val="0"/>
          <w:numId w:val="2"/>
        </w:numPr>
        <w:spacing w:after="80"/>
      </w:pPr>
      <w:r>
        <w:rPr>
          <w:rFonts w:ascii="Arial" w:cs="Arial" w:eastAsia="Arial" w:hAnsi="Arial"/>
          <w:sz w:val="22"/>
          <w:szCs w:val="22"/>
        </w:rPr>
        <w:t xml:space="preserve">Sources &amp; Uses at close.</w:t>
      </w:r>
    </w:p>
    <w:p>
      <w:pPr>
        <w:pStyle w:val="ListParagraph"/>
        <w:numPr>
          <w:ilvl w:val="0"/>
          <w:numId w:val="2"/>
        </w:numPr>
        <w:spacing w:after="80"/>
      </w:pPr>
      <w:r>
        <w:rPr>
          <w:rFonts w:ascii="Arial" w:cs="Arial" w:eastAsia="Arial" w:hAnsi="Arial"/>
          <w:sz w:val="22"/>
          <w:szCs w:val="22"/>
        </w:rPr>
        <w:t xml:space="preserve">Capital structure post-close.</w:t>
      </w:r>
    </w:p>
    <w:p>
      <w:pPr>
        <w:pStyle w:val="ListParagraph"/>
        <w:numPr>
          <w:ilvl w:val="0"/>
          <w:numId w:val="2"/>
        </w:numPr>
        <w:spacing w:after="80"/>
      </w:pPr>
      <w:r>
        <w:rPr>
          <w:rFonts w:ascii="Arial" w:cs="Arial" w:eastAsia="Arial" w:hAnsi="Arial"/>
          <w:sz w:val="22"/>
          <w:szCs w:val="22"/>
        </w:rPr>
        <w:t xml:space="preserve">Operating projections (5y × 3 scen, cross-linked).</w:t>
      </w:r>
    </w:p>
    <w:p>
      <w:pPr>
        <w:pStyle w:val="ListParagraph"/>
        <w:numPr>
          <w:ilvl w:val="0"/>
          <w:numId w:val="2"/>
        </w:numPr>
        <w:spacing w:after="80"/>
      </w:pPr>
      <w:r>
        <w:rPr>
          <w:rFonts w:ascii="Arial" w:cs="Arial" w:eastAsia="Arial" w:hAnsi="Arial"/>
          <w:sz w:val="22"/>
          <w:szCs w:val="22"/>
        </w:rPr>
        <w:t xml:space="preserve">Debt schedule (5y × 3 scen).</w:t>
      </w:r>
    </w:p>
    <w:p>
      <w:pPr>
        <w:pStyle w:val="ListParagraph"/>
        <w:numPr>
          <w:ilvl w:val="0"/>
          <w:numId w:val="2"/>
        </w:numPr>
        <w:spacing w:after="80"/>
      </w:pPr>
      <w:r>
        <w:rPr>
          <w:rFonts w:ascii="Arial" w:cs="Arial" w:eastAsia="Arial" w:hAnsi="Arial"/>
          <w:sz w:val="22"/>
          <w:szCs w:val="22"/>
        </w:rPr>
        <w:t xml:space="preserve">Cash flow with sweep mechanics.</w:t>
      </w:r>
    </w:p>
    <w:p>
      <w:pPr>
        <w:pStyle w:val="ListParagraph"/>
        <w:numPr>
          <w:ilvl w:val="0"/>
          <w:numId w:val="2"/>
        </w:numPr>
        <w:spacing w:after="80"/>
      </w:pPr>
      <w:r>
        <w:rPr>
          <w:rFonts w:ascii="Arial" w:cs="Arial" w:eastAsia="Arial" w:hAnsi="Arial"/>
          <w:sz w:val="22"/>
          <w:szCs w:val="22"/>
        </w:rPr>
        <w:t xml:space="preserve">Exit waterfall.</w:t>
      </w:r>
    </w:p>
    <w:p>
      <w:pPr>
        <w:pStyle w:val="ListParagraph"/>
        <w:numPr>
          <w:ilvl w:val="0"/>
          <w:numId w:val="2"/>
        </w:numPr>
        <w:spacing w:after="80"/>
      </w:pPr>
      <w:r>
        <w:rPr>
          <w:rFonts w:ascii="Arial" w:cs="Arial" w:eastAsia="Arial" w:hAnsi="Arial"/>
          <w:sz w:val="22"/>
          <w:szCs w:val="22"/>
        </w:rPr>
        <w:t xml:space="preserve">Sponsor IRR &amp; MoM per scenario.</w:t>
      </w:r>
    </w:p>
    <w:p>
      <w:pPr>
        <w:pStyle w:val="ListParagraph"/>
        <w:numPr>
          <w:ilvl w:val="0"/>
          <w:numId w:val="2"/>
        </w:numPr>
        <w:spacing w:after="80"/>
      </w:pPr>
      <w:r>
        <w:rPr>
          <w:rFonts w:ascii="Arial" w:cs="Arial" w:eastAsia="Arial" w:hAnsi="Arial"/>
          <w:sz w:val="22"/>
          <w:szCs w:val="22"/>
        </w:rPr>
        <w:t xml:space="preserve">Affordability table (9 max Entry EVs from Goal Seek).</w:t>
      </w:r>
    </w:p>
    <w:p>
      <w:pPr>
        <w:pStyle w:val="ListParagraph"/>
        <w:numPr>
          <w:ilvl w:val="0"/>
          <w:numId w:val="2"/>
        </w:numPr>
        <w:spacing w:after="80"/>
      </w:pPr>
      <w:r>
        <w:rPr>
          <w:rFonts w:ascii="Arial" w:cs="Arial" w:eastAsia="Arial" w:hAnsi="Arial"/>
          <w:sz w:val="22"/>
          <w:szCs w:val="22"/>
        </w:rPr>
        <w:t xml:space="preserve">Sensitivity Tables 1 and 2.</w:t>
      </w:r>
    </w:p>
    <w:p>
      <w:pPr>
        <w:pStyle w:val="ListParagraph"/>
        <w:numPr>
          <w:ilvl w:val="0"/>
          <w:numId w:val="2"/>
        </w:numPr>
        <w:spacing w:after="80"/>
      </w:pPr>
      <w:r>
        <w:rPr>
          <w:rFonts w:ascii="Arial" w:cs="Arial" w:eastAsia="Arial" w:hAnsi="Arial"/>
          <w:sz w:val="22"/>
          <w:szCs w:val="22"/>
        </w:rPr>
        <w:t xml:space="preserve">Caveats: quantify EV impact of rate ±100bps, leverage ±0.5×, fees ±1% EV, exit multiple ±2×, CIR removed, ezyCollect contingent EO crystallises.</w:t>
      </w:r>
    </w:p>
    <w:p>
      <w:pPr>
        <w:pStyle w:val="ListParagraph"/>
        <w:numPr>
          <w:ilvl w:val="0"/>
          <w:numId w:val="2"/>
        </w:numPr>
        <w:spacing w:after="80"/>
      </w:pPr>
      <w:r>
        <w:rPr>
          <w:rFonts w:ascii="Arial" w:cs="Arial" w:eastAsia="Arial" w:hAnsi="Arial"/>
          <w:sz w:val="22"/>
          <w:szCs w:val="22"/>
        </w:rPr>
        <w:t xml:space="preserve">Sources legend at bottom.</w:t>
      </w:r>
    </w:p>
    <w:p>
      <w:pPr>
        <w:pStyle w:val="Heading1"/>
        <w:spacing w:after="160" w:before="320"/>
      </w:pPr>
      <w:r>
        <w:rPr>
          <w:rFonts w:ascii="Arial" w:cs="Arial" w:eastAsia="Arial" w:hAnsi="Arial"/>
          <w:b/>
          <w:bCs/>
          <w:color w:val="1F3864"/>
          <w:sz w:val="32"/>
          <w:szCs w:val="32"/>
        </w:rPr>
        <w:t xml:space="preserve">Section 5 — Verification Toolkit (simplified v3)</w:t>
      </w:r>
    </w:p>
    <w:p>
      <w:pPr>
        <w:spacing w:after="120"/>
      </w:pPr>
      <w:r>
        <w:rPr>
          <w:rFonts w:ascii="Arial" w:cs="Arial" w:eastAsia="Arial" w:hAnsi="Arial"/>
          <w:b/>
          <w:bCs/>
          <w:sz w:val="22"/>
          <w:szCs w:val="22"/>
        </w:rPr>
        <w:t xml:space="preserve">Significant update vs v2: </w:t>
      </w:r>
      <w:r>
        <w:rPr>
          <w:rFonts w:ascii="Arial" w:cs="Arial" w:eastAsia="Arial" w:hAnsi="Arial"/>
          <w:sz w:val="22"/>
          <w:szCs w:val="22"/>
        </w:rPr>
        <w:t xml:space="preserve">Section 2.3 Sidetrade items are now verified directly from the Statutory Report attached, so the user does not need to manually pull them from the PDF. The remaining verification effort is limited to Category B market standards (~30 min).</w:t>
      </w:r>
    </w:p>
    <w:p>
      <w:pPr>
        <w:pStyle w:val="Heading2"/>
        <w:spacing w:after="120" w:before="240"/>
      </w:pPr>
      <w:r>
        <w:rPr>
          <w:rFonts w:ascii="Arial" w:cs="Arial" w:eastAsia="Arial" w:hAnsi="Arial"/>
          <w:b/>
          <w:bCs/>
          <w:color w:val="1F3864"/>
          <w:sz w:val="26"/>
          <w:szCs w:val="26"/>
        </w:rPr>
        <w:t xml:space="preserve">5.1 Verify Category B (market standards) — 30 minutes</w:t>
      </w:r>
    </w:p>
    <w:p>
      <w:pPr>
        <w:spacing w:after="120"/>
      </w:pPr>
      <w:r>
        <w:rPr>
          <w:rFonts w:ascii="Arial" w:cs="Arial" w:eastAsia="Arial" w:hAnsi="Arial"/>
          <w:b/>
          <w:bCs/>
          <w:sz w:val="22"/>
          <w:szCs w:val="22"/>
        </w:rPr>
        <w:t xml:space="preserve">Euribor 3M current value (2 min)</w:t>
      </w:r>
    </w:p>
    <w:p>
      <w:pPr>
        <w:pStyle w:val="ListParagraph"/>
        <w:numPr>
          <w:ilvl w:val="0"/>
          <w:numId w:val="2"/>
        </w:numPr>
        <w:spacing w:after="80"/>
      </w:pPr>
      <w:r>
        <w:rPr>
          <w:rFonts w:ascii="Arial" w:cs="Arial" w:eastAsia="Arial" w:hAnsi="Arial"/>
          <w:sz w:val="22"/>
          <w:szCs w:val="22"/>
        </w:rPr>
        <w:t xml:space="preserve">Primary: emmi-benchmarks.eu/benchmarks/euribor/rate/</w:t>
      </w:r>
    </w:p>
    <w:p>
      <w:pPr>
        <w:pStyle w:val="ListParagraph"/>
        <w:numPr>
          <w:ilvl w:val="0"/>
          <w:numId w:val="2"/>
        </w:numPr>
        <w:spacing w:after="80"/>
      </w:pPr>
      <w:r>
        <w:rPr>
          <w:rFonts w:ascii="Arial" w:cs="Arial" w:eastAsia="Arial" w:hAnsi="Arial"/>
          <w:sz w:val="22"/>
          <w:szCs w:val="22"/>
        </w:rPr>
        <w:t xml:space="preserve">Alternative: euribor-rates.eu/en/current-euribor-rates/2/euribor-rate-3-months/</w:t>
      </w:r>
    </w:p>
    <w:p>
      <w:pPr>
        <w:spacing w:after="120"/>
      </w:pPr>
      <w:r>
        <w:rPr>
          <w:rFonts w:ascii="Arial" w:cs="Arial" w:eastAsia="Arial" w:hAnsi="Arial"/>
          <w:b/>
          <w:bCs/>
          <w:sz w:val="22"/>
          <w:szCs w:val="22"/>
        </w:rPr>
        <w:t xml:space="preserve">TLB margin / all-in yield (5 min)</w:t>
      </w:r>
    </w:p>
    <w:p>
      <w:pPr>
        <w:pStyle w:val="ListParagraph"/>
        <w:numPr>
          <w:ilvl w:val="0"/>
          <w:numId w:val="2"/>
        </w:numPr>
        <w:spacing w:after="80"/>
      </w:pPr>
      <w:r>
        <w:rPr>
          <w:rFonts w:ascii="Arial" w:cs="Arial" w:eastAsia="Arial" w:hAnsi="Arial"/>
          <w:sz w:val="22"/>
          <w:szCs w:val="22"/>
        </w:rPr>
        <w:t xml:space="preserve">Primary: spglobal.com/ratings/en/regulatory/article/european-leveraged-finance-monthly-march-2026-s101674532 (search latest if newer)</w:t>
      </w:r>
    </w:p>
    <w:p>
      <w:pPr>
        <w:pStyle w:val="ListParagraph"/>
        <w:numPr>
          <w:ilvl w:val="0"/>
          <w:numId w:val="2"/>
        </w:numPr>
        <w:spacing w:after="80"/>
      </w:pPr>
      <w:r>
        <w:rPr>
          <w:rFonts w:ascii="Arial" w:cs="Arial" w:eastAsia="Arial" w:hAnsi="Arial"/>
          <w:sz w:val="22"/>
          <w:szCs w:val="22"/>
        </w:rPr>
        <w:t xml:space="preserve">Backup: pitchbook.com/news/reports/march-2026-european-leveraged-loan-index-monthly-wrap</w:t>
      </w:r>
    </w:p>
    <w:p>
      <w:pPr>
        <w:spacing w:after="120"/>
      </w:pPr>
      <w:r>
        <w:rPr>
          <w:rFonts w:ascii="Arial" w:cs="Arial" w:eastAsia="Arial" w:hAnsi="Arial"/>
          <w:b/>
          <w:bCs/>
          <w:sz w:val="22"/>
          <w:szCs w:val="22"/>
        </w:rPr>
        <w:t xml:space="preserve">Leverage benchmark (5 min)</w:t>
      </w:r>
    </w:p>
    <w:p>
      <w:pPr>
        <w:pStyle w:val="ListParagraph"/>
        <w:numPr>
          <w:ilvl w:val="0"/>
          <w:numId w:val="2"/>
        </w:numPr>
        <w:spacing w:after="80"/>
      </w:pPr>
      <w:r>
        <w:rPr>
          <w:rFonts w:ascii="Arial" w:cs="Arial" w:eastAsia="Arial" w:hAnsi="Arial"/>
          <w:sz w:val="22"/>
          <w:szCs w:val="22"/>
        </w:rPr>
        <w:t xml:space="preserve">Primary: capstonepartners.com/insights/middle-market-leveraged-finance-report/</w:t>
      </w:r>
    </w:p>
    <w:p>
      <w:pPr>
        <w:spacing w:after="120"/>
      </w:pPr>
      <w:r>
        <w:rPr>
          <w:rFonts w:ascii="Arial" w:cs="Arial" w:eastAsia="Arial" w:hAnsi="Arial"/>
          <w:b/>
          <w:bCs/>
          <w:sz w:val="22"/>
          <w:szCs w:val="22"/>
        </w:rPr>
        <w:t xml:space="preserve">M&amp;A advisory fees (3 min)</w:t>
      </w:r>
    </w:p>
    <w:p>
      <w:pPr>
        <w:pStyle w:val="ListParagraph"/>
        <w:numPr>
          <w:ilvl w:val="0"/>
          <w:numId w:val="2"/>
        </w:numPr>
        <w:spacing w:after="80"/>
      </w:pPr>
      <w:r>
        <w:rPr>
          <w:rFonts w:ascii="Arial" w:cs="Arial" w:eastAsia="Arial" w:hAnsi="Arial"/>
          <w:sz w:val="22"/>
          <w:szCs w:val="22"/>
        </w:rPr>
        <w:t xml:space="preserve">Primary: firmex.com/resources/reports-guides/eu-fee-guide-25/</w:t>
      </w:r>
    </w:p>
    <w:p>
      <w:pPr>
        <w:spacing w:after="120"/>
      </w:pPr>
      <w:r>
        <w:rPr>
          <w:rFonts w:ascii="Arial" w:cs="Arial" w:eastAsia="Arial" w:hAnsi="Arial"/>
          <w:b/>
          <w:bCs/>
          <w:sz w:val="22"/>
          <w:szCs w:val="22"/>
        </w:rPr>
        <w:t xml:space="preserve">Management rollover benchmarks (3 min)</w:t>
      </w:r>
    </w:p>
    <w:p>
      <w:pPr>
        <w:pStyle w:val="ListParagraph"/>
        <w:numPr>
          <w:ilvl w:val="0"/>
          <w:numId w:val="2"/>
        </w:numPr>
        <w:spacing w:after="80"/>
      </w:pPr>
      <w:r>
        <w:rPr>
          <w:rFonts w:ascii="Arial" w:cs="Arial" w:eastAsia="Arial" w:hAnsi="Arial"/>
          <w:sz w:val="22"/>
          <w:szCs w:val="22"/>
        </w:rPr>
        <w:t xml:space="preserve">Primary: auxocapitaladvisors.com/rollover-equity-middle-market-ma/</w:t>
      </w:r>
    </w:p>
    <w:p>
      <w:pPr>
        <w:pStyle w:val="ListParagraph"/>
        <w:numPr>
          <w:ilvl w:val="0"/>
          <w:numId w:val="2"/>
        </w:numPr>
        <w:spacing w:after="80"/>
      </w:pPr>
      <w:r>
        <w:rPr>
          <w:rFonts w:ascii="Arial" w:cs="Arial" w:eastAsia="Arial" w:hAnsi="Arial"/>
          <w:sz w:val="22"/>
          <w:szCs w:val="22"/>
        </w:rPr>
        <w:t xml:space="preserve">Backup: wallstreetprep.com/knowledge/rollover-equity/</w:t>
      </w:r>
    </w:p>
    <w:p>
      <w:pPr>
        <w:spacing w:after="120"/>
      </w:pPr>
      <w:r>
        <w:rPr>
          <w:rFonts w:ascii="Arial" w:cs="Arial" w:eastAsia="Arial" w:hAnsi="Arial"/>
          <w:b/>
          <w:bCs/>
          <w:sz w:val="22"/>
          <w:szCs w:val="22"/>
        </w:rPr>
        <w:t xml:space="preserve">Arrangement fees / OID (3 min)</w:t>
      </w:r>
    </w:p>
    <w:p>
      <w:pPr>
        <w:pStyle w:val="ListParagraph"/>
        <w:numPr>
          <w:ilvl w:val="0"/>
          <w:numId w:val="2"/>
        </w:numPr>
        <w:spacing w:after="80"/>
      </w:pPr>
      <w:r>
        <w:rPr>
          <w:rFonts w:ascii="Arial" w:cs="Arial" w:eastAsia="Arial" w:hAnsi="Arial"/>
          <w:sz w:val="22"/>
          <w:szCs w:val="22"/>
        </w:rPr>
        <w:t xml:space="preserve">Primary: cleargottlieb.com (search "Latest in European Leveraged Finance" — quarterly piece)</w:t>
      </w:r>
    </w:p>
    <w:p>
      <w:pPr>
        <w:pStyle w:val="Heading2"/>
        <w:spacing w:after="120" w:before="240"/>
      </w:pPr>
      <w:r>
        <w:rPr>
          <w:rFonts w:ascii="Arial" w:cs="Arial" w:eastAsia="Arial" w:hAnsi="Arial"/>
          <w:b/>
          <w:bCs/>
          <w:color w:val="1F3864"/>
          <w:sz w:val="26"/>
          <w:szCs w:val="26"/>
        </w:rPr>
        <w:t xml:space="preserve">5.2 Sidetrade items — already verified (v3)</w:t>
      </w:r>
    </w:p>
    <w:p>
      <w:pPr>
        <w:pStyle w:val="ListParagraph"/>
        <w:numPr>
          <w:ilvl w:val="0"/>
          <w:numId w:val="2"/>
        </w:numPr>
        <w:spacing w:after="80"/>
      </w:pPr>
      <w:r>
        <w:rPr>
          <w:rFonts w:ascii="Arial" w:cs="Arial" w:eastAsia="Arial" w:hAnsi="Arial"/>
          <w:sz w:val="22"/>
          <w:szCs w:val="22"/>
        </w:rPr>
        <w:t xml:space="preserve">Olivier Novasque 35% — confirmed via Sidetrade press release Feb-2026 + MarketScreener.</w:t>
      </w:r>
    </w:p>
    <w:p>
      <w:pPr>
        <w:pStyle w:val="ListParagraph"/>
        <w:numPr>
          <w:ilvl w:val="0"/>
          <w:numId w:val="2"/>
        </w:numPr>
        <w:spacing w:after="80"/>
      </w:pPr>
      <w:r>
        <w:rPr>
          <w:rFonts w:ascii="Arial" w:cs="Arial" w:eastAsia="Arial" w:hAnsi="Arial"/>
          <w:sz w:val="22"/>
          <w:szCs w:val="22"/>
        </w:rPr>
        <w:t xml:space="preserve">Treasury 85,300 shares — Stat Report Note 8 + Note 6 (ODDO BHF liquidity contract).</w:t>
      </w:r>
    </w:p>
    <w:p>
      <w:pPr>
        <w:pStyle w:val="ListParagraph"/>
        <w:numPr>
          <w:ilvl w:val="0"/>
          <w:numId w:val="2"/>
        </w:numPr>
        <w:spacing w:after="80"/>
      </w:pPr>
      <w:r>
        <w:rPr>
          <w:rFonts w:ascii="Arial" w:cs="Arial" w:eastAsia="Arial" w:hAnsi="Arial"/>
          <w:sz w:val="22"/>
          <w:szCs w:val="22"/>
        </w:rPr>
        <w:t xml:space="preserve">BSAP 2021 (10,742) and BSAP 2023 (28,702) — Stat Report Note 9. Confirmed BONUS SHARES with no strike.</w:t>
      </w:r>
    </w:p>
    <w:p>
      <w:pPr>
        <w:pStyle w:val="ListParagraph"/>
        <w:numPr>
          <w:ilvl w:val="0"/>
          <w:numId w:val="2"/>
        </w:numPr>
        <w:spacing w:after="80"/>
      </w:pPr>
      <w:r>
        <w:rPr>
          <w:rFonts w:ascii="Arial" w:cs="Arial" w:eastAsia="Arial" w:hAnsi="Arial"/>
          <w:sz w:val="22"/>
          <w:szCs w:val="22"/>
        </w:rPr>
        <w:t xml:space="preserve">Earn-outs €455k provisioned (Amalto €277k + CreditPoint €178k) — Stat Report Note 29.</w:t>
      </w:r>
    </w:p>
    <w:p>
      <w:pPr>
        <w:pStyle w:val="ListParagraph"/>
        <w:numPr>
          <w:ilvl w:val="0"/>
          <w:numId w:val="2"/>
        </w:numPr>
        <w:spacing w:after="80"/>
      </w:pPr>
      <w:r>
        <w:rPr>
          <w:rFonts w:ascii="Arial" w:cs="Arial" w:eastAsia="Arial" w:hAnsi="Arial"/>
          <w:sz w:val="22"/>
          <w:szCs w:val="22"/>
        </w:rPr>
        <w:t xml:space="preserve">ezyCollect deferred €1,459k — Stat Report Note 13.</w:t>
      </w:r>
    </w:p>
    <w:p>
      <w:pPr>
        <w:pStyle w:val="ListParagraph"/>
        <w:numPr>
          <w:ilvl w:val="0"/>
          <w:numId w:val="2"/>
        </w:numPr>
        <w:spacing w:after="80"/>
      </w:pPr>
      <w:r>
        <w:rPr>
          <w:rFonts w:ascii="Arial" w:cs="Arial" w:eastAsia="Arial" w:hAnsi="Arial"/>
          <w:sz w:val="22"/>
          <w:szCs w:val="22"/>
        </w:rPr>
        <w:t xml:space="preserve">ezyCollect contingent earn-out — NOT provisioned, Stat Report Note 29 explicit.</w:t>
      </w:r>
    </w:p>
    <w:p>
      <w:pPr>
        <w:pStyle w:val="ListParagraph"/>
        <w:numPr>
          <w:ilvl w:val="0"/>
          <w:numId w:val="2"/>
        </w:numPr>
        <w:spacing w:after="80"/>
      </w:pPr>
      <w:r>
        <w:rPr>
          <w:rFonts w:ascii="Arial" w:cs="Arial" w:eastAsia="Arial" w:hAnsi="Arial"/>
          <w:sz w:val="22"/>
          <w:szCs w:val="22"/>
        </w:rPr>
        <w:t xml:space="preserve">Existing debt 5 tranches detailed — Stat Report Note 10.</w:t>
      </w:r>
    </w:p>
    <w:p>
      <w:pPr>
        <w:pStyle w:val="ListParagraph"/>
        <w:numPr>
          <w:ilvl w:val="0"/>
          <w:numId w:val="2"/>
        </w:numPr>
        <w:spacing w:after="80"/>
      </w:pPr>
      <w:r>
        <w:rPr>
          <w:rFonts w:ascii="Arial" w:cs="Arial" w:eastAsia="Arial" w:hAnsi="Arial"/>
          <w:sz w:val="22"/>
          <w:szCs w:val="22"/>
        </w:rPr>
        <w:t xml:space="preserve">Existing covenant Net debt / EBITDA &lt; 2.5× — Stat Report Note 10 + Note 28.</w:t>
      </w:r>
    </w:p>
    <w:p>
      <w:pPr>
        <w:pStyle w:val="ListParagraph"/>
        <w:numPr>
          <w:ilvl w:val="0"/>
          <w:numId w:val="2"/>
        </w:numPr>
        <w:spacing w:after="80"/>
      </w:pPr>
      <w:r>
        <w:rPr>
          <w:rFonts w:ascii="Arial" w:cs="Arial" w:eastAsia="Arial" w:hAnsi="Arial"/>
          <w:sz w:val="22"/>
          <w:szCs w:val="22"/>
        </w:rPr>
        <w:t xml:space="preserve">Novasque cash compensation €371k FY25, no options — Stat Report Note 27.</w:t>
      </w:r>
    </w:p>
    <w:p>
      <w:pPr>
        <w:pStyle w:val="Heading1"/>
        <w:spacing w:after="160" w:before="320"/>
      </w:pPr>
      <w:r>
        <w:rPr>
          <w:rFonts w:ascii="Arial" w:cs="Arial" w:eastAsia="Arial" w:hAnsi="Arial"/>
          <w:b/>
          <w:bCs/>
          <w:color w:val="1F3864"/>
          <w:sz w:val="32"/>
          <w:szCs w:val="32"/>
        </w:rPr>
        <w:t xml:space="preserve">Section 6 — Formatting and Conventions</w:t>
      </w:r>
    </w:p>
    <w:p>
      <w:pPr>
        <w:pStyle w:val="ListParagraph"/>
        <w:numPr>
          <w:ilvl w:val="0"/>
          <w:numId w:val="2"/>
        </w:numPr>
        <w:spacing w:after="80"/>
      </w:pPr>
      <w:r>
        <w:rPr>
          <w:rFonts w:ascii="Arial" w:cs="Arial" w:eastAsia="Arial" w:hAnsi="Arial"/>
          <w:sz w:val="22"/>
          <w:szCs w:val="22"/>
        </w:rPr>
        <w:t xml:space="preserve">Font: Arial 10pt body, Arial 12pt bold for titles.</w:t>
      </w:r>
    </w:p>
    <w:p>
      <w:pPr>
        <w:pStyle w:val="ListParagraph"/>
        <w:numPr>
          <w:ilvl w:val="0"/>
          <w:numId w:val="2"/>
        </w:numPr>
        <w:spacing w:after="80"/>
      </w:pPr>
      <w:r>
        <w:rPr>
          <w:rFonts w:ascii="Arial" w:cs="Arial" w:eastAsia="Arial" w:hAnsi="Arial"/>
          <w:sz w:val="22"/>
          <w:szCs w:val="22"/>
        </w:rPr>
        <w:t xml:space="preserve">Color coding: blue RGB(0,0,255) = hardcoded inputs; black = formulas; green RGB(0,128,0) = cross-sheet links; red RGB(192,0,0) = warnings.</w:t>
      </w:r>
    </w:p>
    <w:p>
      <w:pPr>
        <w:pStyle w:val="ListParagraph"/>
        <w:numPr>
          <w:ilvl w:val="0"/>
          <w:numId w:val="2"/>
        </w:numPr>
        <w:spacing w:after="80"/>
      </w:pPr>
      <w:r>
        <w:rPr>
          <w:rFonts w:ascii="Arial" w:cs="Arial" w:eastAsia="Arial" w:hAnsi="Arial"/>
          <w:sz w:val="22"/>
          <w:szCs w:val="22"/>
        </w:rPr>
        <w:t xml:space="preserve">Number formatting: €m with 1 decimal; multiples 1 decimal × ; percentages 1 decimal; years as text; zeros as "−" via "#,##0;(#,##0);-".</w:t>
      </w:r>
    </w:p>
    <w:p>
      <w:pPr>
        <w:pStyle w:val="ListParagraph"/>
        <w:numPr>
          <w:ilvl w:val="0"/>
          <w:numId w:val="2"/>
        </w:numPr>
        <w:spacing w:after="80"/>
      </w:pPr>
      <w:r>
        <w:rPr>
          <w:rFonts w:ascii="Arial" w:cs="Arial" w:eastAsia="Arial" w:hAnsi="Arial"/>
          <w:sz w:val="22"/>
          <w:szCs w:val="22"/>
        </w:rPr>
        <w:t xml:space="preserve">Column widths: A=40 labels, B-H=14 figures, last col 60 for Source notes.</w:t>
      </w:r>
    </w:p>
    <w:p>
      <w:pPr>
        <w:pStyle w:val="ListParagraph"/>
        <w:numPr>
          <w:ilvl w:val="0"/>
          <w:numId w:val="2"/>
        </w:numPr>
        <w:spacing w:after="80"/>
      </w:pPr>
      <w:r>
        <w:rPr>
          <w:rFonts w:ascii="Arial" w:cs="Arial" w:eastAsia="Arial" w:hAnsi="Arial"/>
          <w:sz w:val="22"/>
          <w:szCs w:val="22"/>
        </w:rPr>
        <w:t xml:space="preserve">Every input cell that is NOT cross-linked must have a Source column populated.</w:t>
      </w:r>
    </w:p>
    <w:p>
      <w:pPr>
        <w:pStyle w:val="ListParagraph"/>
        <w:numPr>
          <w:ilvl w:val="0"/>
          <w:numId w:val="2"/>
        </w:numPr>
        <w:spacing w:after="80"/>
      </w:pPr>
      <w:r>
        <w:rPr>
          <w:rFonts w:ascii="Arial" w:cs="Arial" w:eastAsia="Arial" w:hAnsi="Arial"/>
          <w:sz w:val="22"/>
          <w:szCs w:val="22"/>
        </w:rPr>
        <w:t xml:space="preserve">Section headers: dark blue fill RGB(31,56,100), white text. Sub-section: light blue fill RGB(220,230,241).</w:t>
      </w:r>
    </w:p>
    <w:p>
      <w:pPr>
        <w:pStyle w:val="Heading1"/>
        <w:spacing w:after="160" w:before="320"/>
      </w:pPr>
      <w:r>
        <w:rPr>
          <w:rFonts w:ascii="Arial" w:cs="Arial" w:eastAsia="Arial" w:hAnsi="Arial"/>
          <w:b/>
          <w:bCs/>
          <w:color w:val="1F3864"/>
          <w:sz w:val="32"/>
          <w:szCs w:val="32"/>
        </w:rPr>
        <w:t xml:space="preserve">Section 7 — Out of Scope (v1 model)</w:t>
      </w:r>
    </w:p>
    <w:p>
      <w:pPr>
        <w:pStyle w:val="ListParagraph"/>
        <w:numPr>
          <w:ilvl w:val="0"/>
          <w:numId w:val="2"/>
        </w:numPr>
        <w:spacing w:after="80"/>
      </w:pPr>
      <w:r>
        <w:rPr>
          <w:rFonts w:ascii="Arial" w:cs="Arial" w:eastAsia="Arial" w:hAnsi="Arial"/>
          <w:sz w:val="22"/>
          <w:szCs w:val="22"/>
        </w:rPr>
        <w:t xml:space="preserve">Multiple debt tranches (TLB + Mezz + PIK). Single TLB only.</w:t>
      </w:r>
    </w:p>
    <w:p>
      <w:pPr>
        <w:pStyle w:val="ListParagraph"/>
        <w:numPr>
          <w:ilvl w:val="0"/>
          <w:numId w:val="2"/>
        </w:numPr>
        <w:spacing w:after="80"/>
      </w:pPr>
      <w:r>
        <w:rPr>
          <w:rFonts w:ascii="Arial" w:cs="Arial" w:eastAsia="Arial" w:hAnsi="Arial"/>
          <w:sz w:val="22"/>
          <w:szCs w:val="22"/>
        </w:rPr>
        <w:t xml:space="preserve">PIK toggle on subordinated debt.</w:t>
      </w:r>
    </w:p>
    <w:p>
      <w:pPr>
        <w:pStyle w:val="ListParagraph"/>
        <w:numPr>
          <w:ilvl w:val="0"/>
          <w:numId w:val="2"/>
        </w:numPr>
        <w:spacing w:after="80"/>
      </w:pPr>
      <w:r>
        <w:rPr>
          <w:rFonts w:ascii="Arial" w:cs="Arial" w:eastAsia="Arial" w:hAnsi="Arial"/>
          <w:sz w:val="22"/>
          <w:szCs w:val="22"/>
        </w:rPr>
        <w:t xml:space="preserve">Detailed covenant testing (springing covenants, headroom).</w:t>
      </w:r>
    </w:p>
    <w:p>
      <w:pPr>
        <w:pStyle w:val="ListParagraph"/>
        <w:numPr>
          <w:ilvl w:val="0"/>
          <w:numId w:val="2"/>
        </w:numPr>
        <w:spacing w:after="80"/>
      </w:pPr>
      <w:r>
        <w:rPr>
          <w:rFonts w:ascii="Arial" w:cs="Arial" w:eastAsia="Arial" w:hAnsi="Arial"/>
          <w:sz w:val="22"/>
          <w:szCs w:val="22"/>
        </w:rPr>
        <w:t xml:space="preserve">Tax loss carryforwards from Sidetrade's existing NOLs (€7.184m unactivated per Note 24 — flag in caveats but do not monetise).</w:t>
      </w:r>
    </w:p>
    <w:p>
      <w:pPr>
        <w:pStyle w:val="ListParagraph"/>
        <w:numPr>
          <w:ilvl w:val="0"/>
          <w:numId w:val="2"/>
        </w:numPr>
        <w:spacing w:after="80"/>
      </w:pPr>
      <w:r>
        <w:rPr>
          <w:rFonts w:ascii="Arial" w:cs="Arial" w:eastAsia="Arial" w:hAnsi="Arial"/>
          <w:sz w:val="22"/>
          <w:szCs w:val="22"/>
        </w:rPr>
        <w:t xml:space="preserve">Holdco / structure tax beyond ATAD cap.</w:t>
      </w:r>
    </w:p>
    <w:p>
      <w:pPr>
        <w:pStyle w:val="ListParagraph"/>
        <w:numPr>
          <w:ilvl w:val="0"/>
          <w:numId w:val="2"/>
        </w:numPr>
        <w:spacing w:after="80"/>
      </w:pPr>
      <w:r>
        <w:rPr>
          <w:rFonts w:ascii="Arial" w:cs="Arial" w:eastAsia="Arial" w:hAnsi="Arial"/>
          <w:sz w:val="22"/>
          <w:szCs w:val="22"/>
        </w:rPr>
        <w:t xml:space="preserve">Working capital peg adjustment at close (closing accounts mechanism).</w:t>
      </w:r>
    </w:p>
    <w:p>
      <w:pPr>
        <w:pStyle w:val="ListParagraph"/>
        <w:numPr>
          <w:ilvl w:val="0"/>
          <w:numId w:val="2"/>
        </w:numPr>
        <w:spacing w:after="80"/>
      </w:pPr>
      <w:r>
        <w:rPr>
          <w:rFonts w:ascii="Arial" w:cs="Arial" w:eastAsia="Arial" w:hAnsi="Arial"/>
          <w:sz w:val="22"/>
          <w:szCs w:val="22"/>
        </w:rPr>
        <w:t xml:space="preserve">Treasury management / monitoring fees to sponsor.</w:t>
      </w:r>
    </w:p>
    <w:p>
      <w:pPr>
        <w:pStyle w:val="ListParagraph"/>
        <w:numPr>
          <w:ilvl w:val="0"/>
          <w:numId w:val="2"/>
        </w:numPr>
        <w:spacing w:after="80"/>
      </w:pPr>
      <w:r>
        <w:rPr>
          <w:rFonts w:ascii="Arial" w:cs="Arial" w:eastAsia="Arial" w:hAnsi="Arial"/>
          <w:sz w:val="22"/>
          <w:szCs w:val="22"/>
        </w:rPr>
        <w:t xml:space="preserve">MIP option pool for non-founder management.</w:t>
      </w:r>
    </w:p>
    <w:p>
      <w:pPr>
        <w:pStyle w:val="ListParagraph"/>
        <w:numPr>
          <w:ilvl w:val="0"/>
          <w:numId w:val="2"/>
        </w:numPr>
        <w:spacing w:after="80"/>
      </w:pPr>
      <w:r>
        <w:rPr>
          <w:rFonts w:ascii="Arial" w:cs="Arial" w:eastAsia="Arial" w:hAnsi="Arial"/>
          <w:sz w:val="22"/>
          <w:szCs w:val="22"/>
        </w:rPr>
        <w:t xml:space="preserve">ezyCollect contingent earn-out modelling — disclose only.</w:t>
      </w:r>
    </w:p>
    <w:p>
      <w:pPr>
        <w:pStyle w:val="ListParagraph"/>
        <w:numPr>
          <w:ilvl w:val="0"/>
          <w:numId w:val="2"/>
        </w:numPr>
        <w:spacing w:after="80"/>
      </w:pPr>
      <w:r>
        <w:rPr>
          <w:rFonts w:ascii="Arial" w:cs="Arial" w:eastAsia="Arial" w:hAnsi="Arial"/>
          <w:sz w:val="22"/>
          <w:szCs w:val="22"/>
        </w:rPr>
        <w:t xml:space="preserve">Treasury share buyback / cancellation mechanics — assume held at NewCo level post-deal.</w:t>
      </w:r>
    </w:p>
    <w:p>
      <w:pPr>
        <w:pStyle w:val="Heading1"/>
        <w:spacing w:after="160" w:before="320"/>
      </w:pPr>
      <w:r>
        <w:rPr>
          <w:rFonts w:ascii="Arial" w:cs="Arial" w:eastAsia="Arial" w:hAnsi="Arial"/>
          <w:b/>
          <w:bCs/>
          <w:color w:val="1F3864"/>
          <w:sz w:val="32"/>
          <w:szCs w:val="32"/>
        </w:rPr>
        <w:t xml:space="preserve">Section 8 — Verification and Sanity Checks</w:t>
      </w:r>
    </w:p>
    <w:p>
      <w:pPr>
        <w:spacing w:after="120"/>
      </w:pPr>
      <w:r>
        <w:rPr>
          <w:rFonts w:ascii="Arial" w:cs="Arial" w:eastAsia="Arial" w:hAnsi="Arial"/>
          <w:sz w:val="22"/>
          <w:szCs w:val="22"/>
        </w:rPr>
        <w:t xml:space="preserve">Codex must report at the bottom of LBO_full:</w:t>
      </w:r>
    </w:p>
    <w:p>
      <w:pPr>
        <w:pStyle w:val="ListParagraph"/>
        <w:numPr>
          <w:ilvl w:val="0"/>
          <w:numId w:val="2"/>
        </w:numPr>
        <w:spacing w:after="80"/>
      </w:pPr>
      <w:r>
        <w:rPr>
          <w:rFonts w:ascii="Arial" w:cs="Arial" w:eastAsia="Arial" w:hAnsi="Arial"/>
          <w:sz w:val="22"/>
          <w:szCs w:val="22"/>
        </w:rPr>
        <w:t xml:space="preserve">Total Sources = Total Uses (zero residual).</w:t>
      </w:r>
    </w:p>
    <w:p>
      <w:pPr>
        <w:pStyle w:val="ListParagraph"/>
        <w:numPr>
          <w:ilvl w:val="0"/>
          <w:numId w:val="2"/>
        </w:numPr>
        <w:spacing w:after="80"/>
      </w:pPr>
      <w:r>
        <w:rPr>
          <w:rFonts w:ascii="Arial" w:cs="Arial" w:eastAsia="Arial" w:hAnsi="Arial"/>
          <w:sz w:val="22"/>
          <w:szCs w:val="22"/>
        </w:rPr>
        <w:t xml:space="preserve">At Entry EV = DCF Base €301.2m, sponsor IRR between 18% and 25%.</w:t>
      </w:r>
    </w:p>
    <w:p>
      <w:pPr>
        <w:pStyle w:val="ListParagraph"/>
        <w:numPr>
          <w:ilvl w:val="0"/>
          <w:numId w:val="2"/>
        </w:numPr>
        <w:spacing w:after="80"/>
      </w:pPr>
      <w:r>
        <w:rPr>
          <w:rFonts w:ascii="Arial" w:cs="Arial" w:eastAsia="Arial" w:hAnsi="Arial"/>
          <w:sz w:val="22"/>
          <w:szCs w:val="22"/>
        </w:rPr>
        <w:t xml:space="preserve">Closing debt year 5 ≥ 0.</w:t>
      </w:r>
    </w:p>
    <w:p>
      <w:pPr>
        <w:pStyle w:val="ListParagraph"/>
        <w:numPr>
          <w:ilvl w:val="0"/>
          <w:numId w:val="2"/>
        </w:numPr>
        <w:spacing w:after="80"/>
      </w:pPr>
      <w:r>
        <w:rPr>
          <w:rFonts w:ascii="Arial" w:cs="Arial" w:eastAsia="Arial" w:hAnsi="Arial"/>
          <w:sz w:val="22"/>
          <w:szCs w:val="22"/>
        </w:rPr>
        <w:t xml:space="preserve">Closing cash year 5 ≥ min cash.</w:t>
      </w:r>
    </w:p>
    <w:p>
      <w:pPr>
        <w:pStyle w:val="ListParagraph"/>
        <w:numPr>
          <w:ilvl w:val="0"/>
          <w:numId w:val="2"/>
        </w:numPr>
        <w:spacing w:after="80"/>
      </w:pPr>
      <w:r>
        <w:rPr>
          <w:rFonts w:ascii="Arial" w:cs="Arial" w:eastAsia="Arial" w:hAnsi="Arial"/>
          <w:sz w:val="22"/>
          <w:szCs w:val="22"/>
        </w:rPr>
        <w:t xml:space="preserve">Net cash tax line never negative (MAX(0,…) enforced).</w:t>
      </w:r>
    </w:p>
    <w:p>
      <w:pPr>
        <w:pStyle w:val="ListParagraph"/>
        <w:numPr>
          <w:ilvl w:val="0"/>
          <w:numId w:val="2"/>
        </w:numPr>
        <w:spacing w:after="80"/>
      </w:pPr>
      <w:r>
        <w:rPr>
          <w:rFonts w:ascii="Arial" w:cs="Arial" w:eastAsia="Arial" w:hAnsi="Arial"/>
          <w:sz w:val="22"/>
          <w:szCs w:val="22"/>
        </w:rPr>
        <w:t xml:space="preserve">ATAD cap binding TRUE/FALSE per year. Should be FALSE for Base at 4× leverage.</w:t>
      </w:r>
    </w:p>
    <w:p>
      <w:pPr>
        <w:pStyle w:val="ListParagraph"/>
        <w:numPr>
          <w:ilvl w:val="0"/>
          <w:numId w:val="2"/>
        </w:numPr>
        <w:spacing w:after="80"/>
      </w:pPr>
      <w:r>
        <w:rPr>
          <w:rFonts w:ascii="Arial" w:cs="Arial" w:eastAsia="Arial" w:hAnsi="Arial"/>
          <w:sz w:val="22"/>
          <w:szCs w:val="22"/>
        </w:rPr>
        <w:t xml:space="preserve">Iterative convergence: |closing debt year 5 (n) − (n−1)| &lt; €0.01m.</w:t>
      </w:r>
    </w:p>
    <w:p>
      <w:pPr>
        <w:pStyle w:val="ListParagraph"/>
        <w:numPr>
          <w:ilvl w:val="0"/>
          <w:numId w:val="2"/>
        </w:numPr>
        <w:spacing w:after="80"/>
      </w:pPr>
      <w:r>
        <w:rPr>
          <w:rFonts w:ascii="Arial" w:cs="Arial" w:eastAsia="Arial" w:hAnsi="Arial"/>
          <w:sz w:val="22"/>
          <w:szCs w:val="22"/>
        </w:rPr>
        <w:t xml:space="preserve">FY25 interest expense from existing debt (Note 20: €237k for 3 months ezyCollect + legacy) → cross-check that LBO Year 1 interest is much higher (~€4m on €54m at 7.5%).</w:t>
      </w:r>
    </w:p>
    <w:p>
      <w:pPr>
        <w:pStyle w:val="Heading1"/>
        <w:spacing w:after="160" w:before="320"/>
      </w:pPr>
      <w:r>
        <w:rPr>
          <w:rFonts w:ascii="Arial" w:cs="Arial" w:eastAsia="Arial" w:hAnsi="Arial"/>
          <w:b/>
          <w:bCs/>
          <w:color w:val="1F3864"/>
          <w:sz w:val="32"/>
          <w:szCs w:val="32"/>
        </w:rPr>
        <w:t xml:space="preserve">Section 9 — Delivery Format</w:t>
      </w:r>
    </w:p>
    <w:p>
      <w:pPr>
        <w:pStyle w:val="ListParagraph"/>
        <w:numPr>
          <w:ilvl w:val="0"/>
          <w:numId w:val="2"/>
        </w:numPr>
        <w:spacing w:after="80"/>
      </w:pPr>
      <w:r>
        <w:rPr>
          <w:rFonts w:ascii="Arial" w:cs="Arial" w:eastAsia="Arial" w:hAnsi="Arial"/>
          <w:sz w:val="22"/>
          <w:szCs w:val="22"/>
        </w:rPr>
        <w:t xml:space="preserve">Single Excel file: Sidetrade_Valuation_2026_v2.xlsx (preserve original, add v2 suffix).</w:t>
      </w:r>
    </w:p>
    <w:p>
      <w:pPr>
        <w:pStyle w:val="ListParagraph"/>
        <w:numPr>
          <w:ilvl w:val="0"/>
          <w:numId w:val="2"/>
        </w:numPr>
        <w:spacing w:after="80"/>
      </w:pPr>
      <w:r>
        <w:rPr>
          <w:rFonts w:ascii="Arial" w:cs="Arial" w:eastAsia="Arial" w:hAnsi="Arial"/>
          <w:sz w:val="22"/>
          <w:szCs w:val="22"/>
        </w:rPr>
        <w:t xml:space="preserve">New tab LBO_full positioned after LBO_old.</w:t>
      </w:r>
    </w:p>
    <w:p>
      <w:pPr>
        <w:pStyle w:val="ListParagraph"/>
        <w:numPr>
          <w:ilvl w:val="0"/>
          <w:numId w:val="2"/>
        </w:numPr>
        <w:spacing w:after="80"/>
      </w:pPr>
      <w:r>
        <w:rPr>
          <w:rFonts w:ascii="Arial" w:cs="Arial" w:eastAsia="Arial" w:hAnsi="Arial"/>
          <w:sz w:val="22"/>
          <w:szCs w:val="22"/>
        </w:rPr>
        <w:t xml:space="preserve">Cover R19 — reference new LBO_full outputs. Use IRR 22.5% Base case as central LBO reference (replacing hardcoded €283m).</w:t>
      </w:r>
    </w:p>
    <w:p>
      <w:pPr>
        <w:pStyle w:val="ListParagraph"/>
        <w:numPr>
          <w:ilvl w:val="0"/>
          <w:numId w:val="2"/>
        </w:numPr>
        <w:spacing w:after="80"/>
      </w:pPr>
      <w:r>
        <w:rPr>
          <w:rFonts w:ascii="Arial" w:cs="Arial" w:eastAsia="Arial" w:hAnsi="Arial"/>
          <w:sz w:val="22"/>
          <w:szCs w:val="22"/>
        </w:rPr>
        <w:t xml:space="preserve">Football_field tab — update LBO row to reference new outputs.</w:t>
      </w:r>
    </w:p>
    <w:p>
      <w:pPr>
        <w:pStyle w:val="ListParagraph"/>
        <w:numPr>
          <w:ilvl w:val="0"/>
          <w:numId w:val="2"/>
        </w:numPr>
        <w:spacing w:after="80"/>
      </w:pPr>
      <w:r>
        <w:rPr>
          <w:rFonts w:ascii="Arial" w:cs="Arial" w:eastAsia="Arial" w:hAnsi="Arial"/>
          <w:sz w:val="22"/>
          <w:szCs w:val="22"/>
        </w:rPr>
        <w:t xml:space="preserve">Summary block at top of LBO_full: every assumption with category (A/B/C/D) + source citation.</w:t>
      </w:r>
    </w:p>
    <w:p>
      <w:pPr>
        <w:pStyle w:val="Heading1"/>
        <w:spacing w:after="160" w:before="320"/>
      </w:pPr>
      <w:r>
        <w:rPr>
          <w:rFonts w:ascii="Arial" w:cs="Arial" w:eastAsia="Arial" w:hAnsi="Arial"/>
          <w:b/>
          <w:bCs/>
          <w:color w:val="1F3864"/>
          <w:sz w:val="32"/>
          <w:szCs w:val="32"/>
        </w:rPr>
        <w:t xml:space="preserve">Section 10 — Post-delivery checklist (user)</w:t>
      </w:r>
    </w:p>
    <w:p>
      <w:pPr>
        <w:pStyle w:val="ListParagraph"/>
        <w:numPr>
          <w:ilvl w:val="0"/>
          <w:numId w:val="2"/>
        </w:numPr>
        <w:spacing w:after="80"/>
      </w:pPr>
      <w:r>
        <w:rPr>
          <w:rFonts w:ascii="Arial" w:cs="Arial" w:eastAsia="Arial" w:hAnsi="Arial"/>
          <w:sz w:val="22"/>
          <w:szCs w:val="22"/>
        </w:rPr>
        <w:t xml:space="preserve">Walk through Section 5.1 and confirm/update Cat B values with latest market readings.</w:t>
      </w:r>
    </w:p>
    <w:p>
      <w:pPr>
        <w:pStyle w:val="ListParagraph"/>
        <w:numPr>
          <w:ilvl w:val="0"/>
          <w:numId w:val="2"/>
        </w:numPr>
        <w:spacing w:after="80"/>
      </w:pPr>
      <w:r>
        <w:rPr>
          <w:rFonts w:ascii="Arial" w:cs="Arial" w:eastAsia="Arial" w:hAnsi="Arial"/>
          <w:sz w:val="22"/>
          <w:szCs w:val="22"/>
        </w:rPr>
        <w:t xml:space="preserve">Decide management rollover % (within 25-50%) and document rationale.</w:t>
      </w:r>
    </w:p>
    <w:p>
      <w:pPr>
        <w:pStyle w:val="ListParagraph"/>
        <w:numPr>
          <w:ilvl w:val="0"/>
          <w:numId w:val="2"/>
        </w:numPr>
        <w:spacing w:after="80"/>
      </w:pPr>
      <w:r>
        <w:rPr>
          <w:rFonts w:ascii="Arial" w:cs="Arial" w:eastAsia="Arial" w:hAnsi="Arial"/>
          <w:sz w:val="22"/>
          <w:szCs w:val="22"/>
        </w:rPr>
        <w:t xml:space="preserve">Sensitivity commentary: 3 paragraphs on which assumptions drive the EV range.</w:t>
      </w:r>
    </w:p>
    <w:p>
      <w:pPr>
        <w:pStyle w:val="ListParagraph"/>
        <w:numPr>
          <w:ilvl w:val="0"/>
          <w:numId w:val="2"/>
        </w:numPr>
        <w:spacing w:after="80"/>
      </w:pPr>
      <w:r>
        <w:rPr>
          <w:rFonts w:ascii="Arial" w:cs="Arial" w:eastAsia="Arial" w:hAnsi="Arial"/>
          <w:sz w:val="22"/>
          <w:szCs w:val="22"/>
        </w:rPr>
        <w:t xml:space="preserve">Cross-check new LBO_full output against previous hardcoded range (€135m / €283m / €455m). Significant deviation expected — document explanation in case.</w:t>
      </w:r>
    </w:p>
    <w:p>
      <w:pPr>
        <w:pStyle w:val="Heading1"/>
        <w:spacing w:after="160" w:before="320"/>
      </w:pPr>
      <w:r>
        <w:rPr>
          <w:rFonts w:ascii="Arial" w:cs="Arial" w:eastAsia="Arial" w:hAnsi="Arial"/>
          <w:b/>
          <w:bCs/>
          <w:color w:val="1F3864"/>
          <w:sz w:val="32"/>
          <w:szCs w:val="32"/>
        </w:rPr>
        <w:t xml:space="preserve">Appendix — Source URLs (full list, v3 updates)</w:t>
      </w:r>
    </w:p>
    <w:p>
      <w:pPr>
        <w:pStyle w:val="Heading3"/>
        <w:spacing w:after="100" w:before="200"/>
      </w:pPr>
      <w:r>
        <w:rPr>
          <w:rFonts w:ascii="Arial" w:cs="Arial" w:eastAsia="Arial" w:hAnsi="Arial"/>
          <w:b/>
          <w:bCs/>
          <w:color w:val="2F5496"/>
          <w:sz w:val="22"/>
          <w:szCs w:val="22"/>
        </w:rPr>
        <w:t xml:space="preserve">Regulatory / official</w:t>
      </w:r>
    </w:p>
    <w:p>
      <w:pPr>
        <w:pStyle w:val="ListParagraph"/>
        <w:numPr>
          <w:ilvl w:val="0"/>
          <w:numId w:val="2"/>
        </w:numPr>
        <w:spacing w:after="80"/>
      </w:pPr>
      <w:r>
        <w:rPr>
          <w:rFonts w:ascii="Arial" w:cs="Arial" w:eastAsia="Arial" w:hAnsi="Arial"/>
          <w:sz w:val="22"/>
          <w:szCs w:val="22"/>
        </w:rPr>
        <w:t xml:space="preserve">CGI art. 219 (IS rate): legifrance.gouv.fr/codes/article_lc/LEGIARTI000053542939</w:t>
      </w:r>
    </w:p>
    <w:p>
      <w:pPr>
        <w:pStyle w:val="ListParagraph"/>
        <w:numPr>
          <w:ilvl w:val="0"/>
          <w:numId w:val="2"/>
        </w:numPr>
        <w:spacing w:after="80"/>
      </w:pPr>
      <w:r>
        <w:rPr>
          <w:rFonts w:ascii="Arial" w:cs="Arial" w:eastAsia="Arial" w:hAnsi="Arial"/>
          <w:sz w:val="22"/>
          <w:szCs w:val="22"/>
        </w:rPr>
        <w:t xml:space="preserve">CGI art. 235 ter ZC (social contribution): legifrance.gouv.fr/codes/article_lc/LEGIARTI000031011715</w:t>
      </w:r>
    </w:p>
    <w:p>
      <w:pPr>
        <w:pStyle w:val="ListParagraph"/>
        <w:numPr>
          <w:ilvl w:val="0"/>
          <w:numId w:val="2"/>
        </w:numPr>
        <w:spacing w:after="80"/>
      </w:pPr>
      <w:r>
        <w:rPr>
          <w:rFonts w:ascii="Arial" w:cs="Arial" w:eastAsia="Arial" w:hAnsi="Arial"/>
          <w:sz w:val="22"/>
          <w:szCs w:val="22"/>
        </w:rPr>
        <w:t xml:space="preserve">CGI art. 212 bis (ATAD): legifrance.gouv.fr/codes/article_lc/LEGIARTI000049641637</w:t>
      </w:r>
    </w:p>
    <w:p>
      <w:pPr>
        <w:pStyle w:val="ListParagraph"/>
        <w:numPr>
          <w:ilvl w:val="0"/>
          <w:numId w:val="2"/>
        </w:numPr>
        <w:spacing w:after="80"/>
      </w:pPr>
      <w:r>
        <w:rPr>
          <w:rFonts w:ascii="Arial" w:cs="Arial" w:eastAsia="Arial" w:hAnsi="Arial"/>
          <w:sz w:val="22"/>
          <w:szCs w:val="22"/>
        </w:rPr>
        <w:t xml:space="preserve">BOI-IS-BASE-35-40-10: bofip.impots.gouv.fr/bofip/11782-PGP.html</w:t>
      </w:r>
    </w:p>
    <w:p>
      <w:pPr>
        <w:pStyle w:val="ListParagraph"/>
        <w:numPr>
          <w:ilvl w:val="0"/>
          <w:numId w:val="2"/>
        </w:numPr>
        <w:spacing w:after="80"/>
      </w:pPr>
      <w:r>
        <w:rPr>
          <w:rFonts w:ascii="Arial" w:cs="Arial" w:eastAsia="Arial" w:hAnsi="Arial"/>
          <w:sz w:val="22"/>
          <w:szCs w:val="22"/>
        </w:rPr>
        <w:t xml:space="preserve">AMF Info Financière (Sidetrade DEU): amf-france.org/fr/recherche-information-emetteurs</w:t>
      </w:r>
    </w:p>
    <w:p>
      <w:pPr>
        <w:pStyle w:val="Heading3"/>
        <w:spacing w:after="100" w:before="200"/>
      </w:pPr>
      <w:r>
        <w:rPr>
          <w:rFonts w:ascii="Arial" w:cs="Arial" w:eastAsia="Arial" w:hAnsi="Arial"/>
          <w:b/>
          <w:bCs/>
          <w:color w:val="2F5496"/>
          <w:sz w:val="22"/>
          <w:szCs w:val="22"/>
        </w:rPr>
        <w:t xml:space="preserve">Market data / rates</w:t>
      </w:r>
    </w:p>
    <w:p>
      <w:pPr>
        <w:pStyle w:val="ListParagraph"/>
        <w:numPr>
          <w:ilvl w:val="0"/>
          <w:numId w:val="2"/>
        </w:numPr>
        <w:spacing w:after="80"/>
      </w:pPr>
      <w:r>
        <w:rPr>
          <w:rFonts w:ascii="Arial" w:cs="Arial" w:eastAsia="Arial" w:hAnsi="Arial"/>
          <w:sz w:val="22"/>
          <w:szCs w:val="22"/>
        </w:rPr>
        <w:t xml:space="preserve">EMMI Euribor: emmi-benchmarks.eu/benchmarks/euribor/rate/</w:t>
      </w:r>
    </w:p>
    <w:p>
      <w:pPr>
        <w:pStyle w:val="ListParagraph"/>
        <w:numPr>
          <w:ilvl w:val="0"/>
          <w:numId w:val="2"/>
        </w:numPr>
        <w:spacing w:after="80"/>
      </w:pPr>
      <w:r>
        <w:rPr>
          <w:rFonts w:ascii="Arial" w:cs="Arial" w:eastAsia="Arial" w:hAnsi="Arial"/>
          <w:sz w:val="22"/>
          <w:szCs w:val="22"/>
        </w:rPr>
        <w:t xml:space="preserve">ECB Data Portal Euribor 3M: data.ecb.europa.eu/data/datasets/FM/FM.M.U2.EUR.RT.MM.EURIBOR3MD_.HSTA</w:t>
      </w:r>
    </w:p>
    <w:p>
      <w:pPr>
        <w:pStyle w:val="ListParagraph"/>
        <w:numPr>
          <w:ilvl w:val="0"/>
          <w:numId w:val="2"/>
        </w:numPr>
        <w:spacing w:after="80"/>
      </w:pPr>
      <w:r>
        <w:rPr>
          <w:rFonts w:ascii="Arial" w:cs="Arial" w:eastAsia="Arial" w:hAnsi="Arial"/>
          <w:sz w:val="22"/>
          <w:szCs w:val="22"/>
        </w:rPr>
        <w:t xml:space="preserve">S&amp;P Global European LevFin Monthly: spglobal.com/ratings/en/regulatory/article/european-leveraged-finance-monthly-march-2026-s101674532</w:t>
      </w:r>
    </w:p>
    <w:p>
      <w:pPr>
        <w:pStyle w:val="ListParagraph"/>
        <w:numPr>
          <w:ilvl w:val="0"/>
          <w:numId w:val="2"/>
        </w:numPr>
        <w:spacing w:after="80"/>
      </w:pPr>
      <w:r>
        <w:rPr>
          <w:rFonts w:ascii="Arial" w:cs="Arial" w:eastAsia="Arial" w:hAnsi="Arial"/>
          <w:sz w:val="22"/>
          <w:szCs w:val="22"/>
        </w:rPr>
        <w:t xml:space="preserve">AFME HYLL Quarterly: afme.eu/media/b5imnopc/hyll-report-2q-2025.pdf</w:t>
      </w:r>
    </w:p>
    <w:p>
      <w:pPr>
        <w:pStyle w:val="ListParagraph"/>
        <w:numPr>
          <w:ilvl w:val="0"/>
          <w:numId w:val="2"/>
        </w:numPr>
        <w:spacing w:after="80"/>
      </w:pPr>
      <w:r>
        <w:rPr>
          <w:rFonts w:ascii="Arial" w:cs="Arial" w:eastAsia="Arial" w:hAnsi="Arial"/>
          <w:sz w:val="22"/>
          <w:szCs w:val="22"/>
        </w:rPr>
        <w:t xml:space="preserve">PitchBook European LBO: pitchbook.com/news/reports/march-2026-european-leveraged-loan-index-monthly-wrap</w:t>
      </w:r>
    </w:p>
    <w:p>
      <w:pPr>
        <w:pStyle w:val="Heading3"/>
        <w:spacing w:after="100" w:before="200"/>
      </w:pPr>
      <w:r>
        <w:rPr>
          <w:rFonts w:ascii="Arial" w:cs="Arial" w:eastAsia="Arial" w:hAnsi="Arial"/>
          <w:b/>
          <w:bCs/>
          <w:color w:val="2F5496"/>
          <w:sz w:val="22"/>
          <w:szCs w:val="22"/>
        </w:rPr>
        <w:t xml:space="preserve">Mid-market LBO conventions</w:t>
      </w:r>
    </w:p>
    <w:p>
      <w:pPr>
        <w:pStyle w:val="ListParagraph"/>
        <w:numPr>
          <w:ilvl w:val="0"/>
          <w:numId w:val="2"/>
        </w:numPr>
        <w:spacing w:after="80"/>
      </w:pPr>
      <w:r>
        <w:rPr>
          <w:rFonts w:ascii="Arial" w:cs="Arial" w:eastAsia="Arial" w:hAnsi="Arial"/>
          <w:sz w:val="22"/>
          <w:szCs w:val="22"/>
        </w:rPr>
        <w:t xml:space="preserve">Capstone Middle-Market LevFin Q1-2026: capstonepartners.com/insights/middle-market-leveraged-finance-report/</w:t>
      </w:r>
    </w:p>
    <w:p>
      <w:pPr>
        <w:pStyle w:val="ListParagraph"/>
        <w:numPr>
          <w:ilvl w:val="0"/>
          <w:numId w:val="2"/>
        </w:numPr>
        <w:spacing w:after="80"/>
      </w:pPr>
      <w:r>
        <w:rPr>
          <w:rFonts w:ascii="Arial" w:cs="Arial" w:eastAsia="Arial" w:hAnsi="Arial"/>
          <w:sz w:val="22"/>
          <w:szCs w:val="22"/>
        </w:rPr>
        <w:t xml:space="preserve">Cleary Gottlieb European LevFin: cleargottlieb.com/-/media/files/latest-in-eu-leveraged-finance/</w:t>
      </w:r>
    </w:p>
    <w:p>
      <w:pPr>
        <w:pStyle w:val="ListParagraph"/>
        <w:numPr>
          <w:ilvl w:val="0"/>
          <w:numId w:val="2"/>
        </w:numPr>
        <w:spacing w:after="80"/>
      </w:pPr>
      <w:r>
        <w:rPr>
          <w:rFonts w:ascii="Arial" w:cs="Arial" w:eastAsia="Arial" w:hAnsi="Arial"/>
          <w:sz w:val="22"/>
          <w:szCs w:val="22"/>
        </w:rPr>
        <w:t xml:space="preserve">Firmex M&amp;A Fee Guide 2024-2025 European Edition: firmex.com/resources/reports-guides/eu-fee-guide-25/</w:t>
      </w:r>
    </w:p>
    <w:p>
      <w:pPr>
        <w:pStyle w:val="ListParagraph"/>
        <w:numPr>
          <w:ilvl w:val="0"/>
          <w:numId w:val="2"/>
        </w:numPr>
        <w:spacing w:after="80"/>
      </w:pPr>
      <w:r>
        <w:rPr>
          <w:rFonts w:ascii="Arial" w:cs="Arial" w:eastAsia="Arial" w:hAnsi="Arial"/>
          <w:sz w:val="22"/>
          <w:szCs w:val="22"/>
        </w:rPr>
        <w:t xml:space="preserve">Wall Street Oasis European LevFin Superthread: wallstreetoasis.com/forum/private-equity/current-european-leveraged-financing-terms-superthread</w:t>
      </w:r>
    </w:p>
    <w:p>
      <w:pPr>
        <w:pStyle w:val="Heading3"/>
        <w:spacing w:after="100" w:before="200"/>
      </w:pPr>
      <w:r>
        <w:rPr>
          <w:rFonts w:ascii="Arial" w:cs="Arial" w:eastAsia="Arial" w:hAnsi="Arial"/>
          <w:b/>
          <w:bCs/>
          <w:color w:val="2F5496"/>
          <w:sz w:val="22"/>
          <w:szCs w:val="22"/>
        </w:rPr>
        <w:t xml:space="preserve">LBO mechanics / rollover</w:t>
      </w:r>
    </w:p>
    <w:p>
      <w:pPr>
        <w:pStyle w:val="ListParagraph"/>
        <w:numPr>
          <w:ilvl w:val="0"/>
          <w:numId w:val="2"/>
        </w:numPr>
        <w:spacing w:after="80"/>
      </w:pPr>
      <w:r>
        <w:rPr>
          <w:rFonts w:ascii="Arial" w:cs="Arial" w:eastAsia="Arial" w:hAnsi="Arial"/>
          <w:sz w:val="22"/>
          <w:szCs w:val="22"/>
        </w:rPr>
        <w:t xml:space="preserve">Auxo Capital rollover equity: auxocapitaladvisors.com/rollover-equity-middle-market-ma/</w:t>
      </w:r>
    </w:p>
    <w:p>
      <w:pPr>
        <w:pStyle w:val="ListParagraph"/>
        <w:numPr>
          <w:ilvl w:val="0"/>
          <w:numId w:val="2"/>
        </w:numPr>
        <w:spacing w:after="80"/>
      </w:pPr>
      <w:r>
        <w:rPr>
          <w:rFonts w:ascii="Arial" w:cs="Arial" w:eastAsia="Arial" w:hAnsi="Arial"/>
          <w:sz w:val="22"/>
          <w:szCs w:val="22"/>
        </w:rPr>
        <w:t xml:space="preserve">Wall Street Prep rollover equity: wallstreetprep.com/knowledge/rollover-equity/</w:t>
      </w:r>
    </w:p>
    <w:p>
      <w:pPr>
        <w:pStyle w:val="ListParagraph"/>
        <w:numPr>
          <w:ilvl w:val="0"/>
          <w:numId w:val="2"/>
        </w:numPr>
        <w:spacing w:after="80"/>
      </w:pPr>
      <w:r>
        <w:rPr>
          <w:rFonts w:ascii="Arial" w:cs="Arial" w:eastAsia="Arial" w:hAnsi="Arial"/>
          <w:sz w:val="22"/>
          <w:szCs w:val="22"/>
        </w:rPr>
        <w:t xml:space="preserve">Wall Street Prep OID: wallstreetprep.com/knowledge/original-issue-discount-oid/</w:t>
      </w:r>
    </w:p>
    <w:p>
      <w:pPr>
        <w:pStyle w:val="ListParagraph"/>
        <w:numPr>
          <w:ilvl w:val="0"/>
          <w:numId w:val="2"/>
        </w:numPr>
        <w:spacing w:after="80"/>
      </w:pPr>
      <w:r>
        <w:rPr>
          <w:rFonts w:ascii="Arial" w:cs="Arial" w:eastAsia="Arial" w:hAnsi="Arial"/>
          <w:sz w:val="22"/>
          <w:szCs w:val="22"/>
        </w:rPr>
        <w:t xml:space="preserve">Financial Edge management rollover: fe.training/free-resources/lbo/management-rollover/</w:t>
      </w:r>
    </w:p>
    <w:p>
      <w:pPr>
        <w:pStyle w:val="ListParagraph"/>
        <w:numPr>
          <w:ilvl w:val="0"/>
          <w:numId w:val="2"/>
        </w:numPr>
        <w:spacing w:after="80"/>
      </w:pPr>
      <w:r>
        <w:rPr>
          <w:rFonts w:ascii="Arial" w:cs="Arial" w:eastAsia="Arial" w:hAnsi="Arial"/>
          <w:sz w:val="22"/>
          <w:szCs w:val="22"/>
        </w:rPr>
        <w:t xml:space="preserve">Sullivan &amp; Cromwell LBO management comp: sullcrom.com/SullivanCromwell/_Assets/PDFs/General/Friestedt_Article_Management_Compensation_LBOs.pdf</w:t>
      </w:r>
    </w:p>
    <w:p>
      <w:pPr>
        <w:pStyle w:val="Heading3"/>
        <w:spacing w:after="100" w:before="200"/>
      </w:pPr>
      <w:r>
        <w:rPr>
          <w:rFonts w:ascii="Arial" w:cs="Arial" w:eastAsia="Arial" w:hAnsi="Arial"/>
          <w:b/>
          <w:bCs/>
          <w:color w:val="2F5496"/>
          <w:sz w:val="22"/>
          <w:szCs w:val="22"/>
        </w:rPr>
        <w:t xml:space="preserve">Sidetrade primary sources (verified in v3)</w:t>
      </w:r>
    </w:p>
    <w:p>
      <w:pPr>
        <w:pStyle w:val="ListParagraph"/>
        <w:numPr>
          <w:ilvl w:val="0"/>
          <w:numId w:val="2"/>
        </w:numPr>
        <w:spacing w:after="80"/>
      </w:pPr>
      <w:r>
        <w:rPr>
          <w:rFonts w:ascii="Arial" w:cs="Arial" w:eastAsia="Arial" w:hAnsi="Arial"/>
          <w:sz w:val="22"/>
          <w:szCs w:val="22"/>
        </w:rPr>
        <w:t xml:space="preserve">Sidetrade Statutory Report FY25 (KPMG/Yuma Audit, 21-Apr-2026) — primary source for all Cat C items</w:t>
      </w:r>
    </w:p>
    <w:p>
      <w:pPr>
        <w:pStyle w:val="ListParagraph"/>
        <w:numPr>
          <w:ilvl w:val="0"/>
          <w:numId w:val="2"/>
        </w:numPr>
        <w:spacing w:after="80"/>
      </w:pPr>
      <w:r>
        <w:rPr>
          <w:rFonts w:ascii="Arial" w:cs="Arial" w:eastAsia="Arial" w:hAnsi="Arial"/>
          <w:sz w:val="22"/>
          <w:szCs w:val="22"/>
        </w:rPr>
        <w:t xml:space="preserve">Sidetrade IR: sidetrade.com/company/investors/</w:t>
      </w:r>
    </w:p>
    <w:p>
      <w:pPr>
        <w:pStyle w:val="ListParagraph"/>
        <w:numPr>
          <w:ilvl w:val="0"/>
          <w:numId w:val="2"/>
        </w:numPr>
        <w:spacing w:after="80"/>
      </w:pPr>
      <w:r>
        <w:rPr>
          <w:rFonts w:ascii="Arial" w:cs="Arial" w:eastAsia="Arial" w:hAnsi="Arial"/>
          <w:sz w:val="22"/>
          <w:szCs w:val="22"/>
        </w:rPr>
        <w:t xml:space="preserve">Briarwood Chase press release: sidetrade.com/news/briarwoodcap-sidetrade-shareholder-with10pct-2026-02/</w:t>
      </w:r>
    </w:p>
    <w:p>
      <w:pPr>
        <w:pStyle w:val="ListParagraph"/>
        <w:numPr>
          <w:ilvl w:val="0"/>
          <w:numId w:val="2"/>
        </w:numPr>
        <w:spacing w:after="80"/>
      </w:pPr>
      <w:r>
        <w:rPr>
          <w:rFonts w:ascii="Arial" w:cs="Arial" w:eastAsia="Arial" w:hAnsi="Arial"/>
          <w:sz w:val="22"/>
          <w:szCs w:val="22"/>
        </w:rPr>
        <w:t xml:space="preserve">Mission Trail Capital press release: sidetrade.com/news/mission-trail-capital-sidetrade-shareholder-with5pct-2026-03/</w:t>
      </w:r>
    </w:p>
    <w:p>
      <w:pPr>
        <w:pStyle w:val="ListParagraph"/>
        <w:numPr>
          <w:ilvl w:val="0"/>
          <w:numId w:val="2"/>
        </w:numPr>
        <w:spacing w:after="80"/>
      </w:pPr>
      <w:r>
        <w:rPr>
          <w:rFonts w:ascii="Arial" w:cs="Arial" w:eastAsia="Arial" w:hAnsi="Arial"/>
          <w:sz w:val="22"/>
          <w:szCs w:val="22"/>
        </w:rPr>
        <w:t xml:space="preserve">Sidetrade 2025 Annual Results: sidetrade.com/news/2025-annual-results/</w:t>
      </w:r>
    </w:p>
    <w:p>
      <w:pPr>
        <w:pStyle w:val="ListParagraph"/>
        <w:numPr>
          <w:ilvl w:val="0"/>
          <w:numId w:val="2"/>
        </w:numPr>
        <w:spacing w:after="80"/>
      </w:pPr>
      <w:r>
        <w:rPr>
          <w:rFonts w:ascii="Arial" w:cs="Arial" w:eastAsia="Arial" w:hAnsi="Arial"/>
          <w:sz w:val="22"/>
          <w:szCs w:val="22"/>
        </w:rPr>
        <w:t xml:space="preserve">MarketScreener shareholder structure: uk.marketscreener.com/quote/stock/SIDETRADE-S-A-3033378/company-shareholders/</w:t>
      </w:r>
    </w:p>
    <w:p>
      <w:pPr>
        <w:pStyle w:val="ListParagraph"/>
        <w:numPr>
          <w:ilvl w:val="0"/>
          <w:numId w:val="2"/>
        </w:numPr>
        <w:spacing w:after="80"/>
      </w:pPr>
      <w:r>
        <w:rPr>
          <w:rFonts w:ascii="Arial" w:cs="Arial" w:eastAsia="Arial" w:hAnsi="Arial"/>
          <w:sz w:val="22"/>
          <w:szCs w:val="22"/>
        </w:rPr>
        <w:t xml:space="preserve">Damodaran data: pages.stern.nyu.edu/~adamodar/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2026-05-31T00:10:03.280Z</dcterms:created>
  <dcterms:modified xsi:type="dcterms:W3CDTF">2026-05-31T00:10:03.281Z</dcterms:modified>
</cp:coreProperties>
</file>

<file path=docProps/custom.xml><?xml version="1.0" encoding="utf-8"?>
<Properties xmlns="http://schemas.openxmlformats.org/officeDocument/2006/custom-properties" xmlns:vt="http://schemas.openxmlformats.org/officeDocument/2006/docPropsVTypes"/>
</file>