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Sidetrade LBO — Documentation de build &amp; Méthodologie d'audit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Construit le 10-Jun-2026 par Claude (Opus). Fichier livré 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Sidetrade_Valuation_2026_v2.xlsx</w:t>
      </w:r>
      <w:r>
        <w:rPr>
          <w:rFonts w:ascii="Arial" w:cs="Arial" w:eastAsia="Arial" w:hAnsi="Arial"/>
          <w:sz w:val="22"/>
          <w:szCs w:val="22"/>
        </w:rPr>
        <w:t xml:space="preserve"> (dossier projet). Moteur de vérification 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lbo_engine.py</w:t>
      </w:r>
      <w:r>
        <w:rPr>
          <w:rFonts w:ascii="Arial" w:cs="Arial" w:eastAsia="Arial" w:hAnsi="Arial"/>
          <w:sz w:val="22"/>
          <w:szCs w:val="22"/>
        </w:rPr>
        <w:t xml:space="preserve"> (conservé comme artefact d'audit — re-exécutable).</w:t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 — Ce qui a été livré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sz w:val="22"/>
          <w:szCs w:val="22"/>
        </w:rPr>
        <w:t xml:space="preserve">Onglet LBO (ancien, simplifié) renommé LBO_old — conservé en archive, plus référencé.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sz w:val="22"/>
          <w:szCs w:val="22"/>
        </w:rPr>
        <w:t xml:space="preserve">Nouvel onglet LBO_full : cockpit, input block 4 catégories sourcées, Sources &amp; Uses, structure de capital, 3 blocs moteur (Bear R80 / Base R118 / Bull R156, années 2026-2030 en colonnes C-G), table d'affordability (9 valeurs), 2 tables de sensibilité, bloc de vérification, caveats quantifiés, légende des sources.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sz w:val="22"/>
          <w:szCs w:val="22"/>
        </w:rPr>
        <w:t xml:space="preserve">Cover R19 et Football_field R8 redirigés vers LBO_full (convention : low = IRR 25%, base = 22.5%, high = 18%, scénario opérationnel Base).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sz w:val="22"/>
          <w:szCs w:val="22"/>
        </w:rPr>
        <w:t xml:space="preserve">Bugs corrigés dans les onglets existants (voir §2).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sz w:val="22"/>
          <w:szCs w:val="22"/>
        </w:rPr>
        <w:t xml:space="preserve">lbo_engine.py : miroir Python du modèle — résout les Goal Seeks, calcule les sensibilités, fournit les valeurs attendues du bloc de vérification.</w:t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 — Bugs corrigés (avant / après)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400"/>
        <w:gridCol w:w="3700"/>
      </w:tblGrid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Cellule</w:t>
            </w:r>
          </w:p>
        </w:tc>
        <w:tc>
          <w:tcPr>
            <w:tcW w:type="dxa" w:w="3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Avant</w:t>
            </w:r>
          </w:p>
        </w:tc>
        <w:tc>
          <w:tcPr>
            <w:tcW w:type="dxa" w:w="3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Après</w:t>
            </w:r>
          </w:p>
        </w:tc>
      </w:tr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Equity_bridge!B19:D19</w:t>
            </w:r>
          </w:p>
        </w:tc>
        <w:tc>
          <w:tcPr>
            <w:tcW w:type="dxa" w:w="3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=B18/1000 (déjà corrigé par toi)</w:t>
            </w:r>
          </w:p>
        </w:tc>
        <w:tc>
          <w:tcPr>
            <w:tcW w:type="dxa" w:w="3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=B18/1000000 — share price ~€186 ✓</w:t>
            </w:r>
          </w:p>
        </w:tc>
      </w:tr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Margin_path!B34:C34</w:t>
            </w:r>
          </w:p>
        </w:tc>
        <w:tc>
          <w:tcPr>
            <w:tcW w:type="dxa" w:w="3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réf. B26 vide (déjà corrigé par toi)</w:t>
            </w:r>
          </w:p>
        </w:tc>
        <w:tc>
          <w:tcPr>
            <w:tcW w:type="dxa" w:w="3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=B25×(1+g)/(WACC−g)/(1+WACC)^5</w:t>
            </w:r>
          </w:p>
        </w:tc>
      </w:tr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Margin_path!D34</w:t>
            </w:r>
          </w:p>
        </w:tc>
        <w:tc>
          <w:tcPr>
            <w:tcW w:type="dxa" w:w="3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réf. D26 vide (résidu)</w:t>
            </w:r>
          </w:p>
        </w:tc>
        <w:tc>
          <w:tcPr>
            <w:tcW w:type="dxa" w:w="3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réf. D25 + discount — corrigé par moi</w:t>
            </w:r>
          </w:p>
        </w:tc>
      </w:tr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Football_field!B16:C19</w:t>
            </w:r>
          </w:p>
        </w:tc>
        <w:tc>
          <w:tcPr>
            <w:tcW w:type="dxa" w:w="3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barres et labels texte figés</w:t>
            </w:r>
          </w:p>
        </w:tc>
        <w:tc>
          <w:tcPr>
            <w:tcW w:type="dxa" w:w="3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formules REPT dynamiques + labels TEXT() live</w:t>
            </w:r>
          </w:p>
        </w:tc>
      </w:tr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Transaction_comps!I12:I14</w:t>
            </w:r>
          </w:p>
        </w:tc>
        <w:tc>
          <w:tcPr>
            <w:tcW w:type="dxa" w:w="3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agrégats EBITDA incluant Coupa 161.6x</w:t>
            </w:r>
          </w:p>
        </w:tc>
        <w:tc>
          <w:tcPr>
            <w:tcW w:type="dxa" w:w="3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=MEDIAN/MIN/MAX(I5,I7,I8,I9) — Coupa exclu, note en J12</w:t>
            </w:r>
          </w:p>
        </w:tc>
      </w:tr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Inputs!A9</w:t>
            </w:r>
          </w:p>
        </w:tc>
        <w:tc>
          <w:tcPr>
            <w:tcW w:type="dxa" w:w="3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« cash only, excl. provisions » (faux)</w:t>
            </w:r>
          </w:p>
        </w:tc>
        <w:tc>
          <w:tcPr>
            <w:tcW w:type="dxa" w:w="3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« economic proxy incl. net operating provisions »</w:t>
            </w:r>
          </w:p>
        </w:tc>
      </w:tr>
    </w:tbl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3 — Résultats clés du nouveau LBO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400"/>
        <w:gridCol w:w="2400"/>
      </w:tblGrid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Scénario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IRR 18% → EV max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IRR 22.5% → EV max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IRR 25% → EV max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Bear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€202.0m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€174.3m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€161.4m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Base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€289.2m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€246.6m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€226.7m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Bull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€355.9m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€302.0m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€276.8m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Vs ancien range hardcodé 135/283/455 : le nouveau range est plus resserré et plus bas. Cause structurelle : entrée ~18× EBITDA FY25 vs sortie 15× EBITDA 2030 = compression de multiple. Lecture pour le case : un sponsor ne peut pas payer la fair value DCF (€301m) en visant 22.5% d'IRR sans expansion de multiple — le LBO est bien un floor/affordability test, exactement le narratif du site. À l'EV DCF de €301m, l'IRR sponsor ressort à 16.9%.</w:t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4 — Conventions et déviations vs spec v3 (à connaître pour défendre)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sz w:val="22"/>
          <w:szCs w:val="22"/>
        </w:rPr>
        <w:t xml:space="preserve">Intérêts sur dette d'OUVERTURE (variante non-circulaire, Spec §3.4 alternative). Surestime les intérêts (~5% an 1 → ~25% an 5) = conservateur sur l'IRR. Choix documenté en A3 de l'onglet.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sz w:val="22"/>
          <w:szCs w:val="22"/>
        </w:rPr>
        <w:t xml:space="preserve">Fiscalité statutaire uniforme (IS 25% + contribution 3.3% au-delà de €0.763m − CIR €3.5m flat, plancher 0) au lieu des taux effectifs DCF 25/22/20%. Délibéré : le LBO différencie les scénarios sur l'opérationnel uniquement.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sz w:val="22"/>
          <w:szCs w:val="22"/>
        </w:rPr>
        <w:t xml:space="preserve">Affordability et sensibilités = constantes résolues par lbo_engine.py (bleu), PAS des formules — la chaîne (sweep récursif 5 ans) ne tient pas en une formule de cellule. Chemin de vérification : ligne 50 + Goal Seek (cf. §6).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sz w:val="22"/>
          <w:szCs w:val="22"/>
        </w:rPr>
        <w:t xml:space="preserve">Earn-outs (€455k) + différé ezyCollect (€1,459k) réglés au closing. L'earn-out contingent ezyCollect (non provisionné, Note 29) reste hors Uses — passif post-close potentiel, dans les caveats.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sz w:val="22"/>
          <w:szCs w:val="22"/>
        </w:rPr>
        <w:t xml:space="preserve">Rollover Novasque : 35% de sa quote-part (35% du capital) = 12.25% de l'equity purchase, non-cash, réduit le chèque sponsor et non le prix vendeurs.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sz w:val="22"/>
          <w:szCs w:val="22"/>
        </w:rPr>
        <w:t xml:space="preserve">ATAD : cap affiché et testé chaque année (jamais contraignant à 4×), carryforward affiché mais jamais réutilisé (conservateur).</w:t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5 — Sources : statut et téléchargements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5.1 Vérifiées (rien à faire)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sz w:val="22"/>
          <w:szCs w:val="22"/>
        </w:rPr>
        <w:t xml:space="preserve">Euribor 3M = 2.373% au 09-Jun-2026 — euribor-rates.eu (vérifié en ligne pendant le build).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sz w:val="22"/>
          <w:szCs w:val="22"/>
        </w:rPr>
        <w:t xml:space="preserve">CGI art. 219, 235 ter ZC, 212 bis + BOI-IS-BASE-35-40-10 — tes URLs Légifrance/BOFiP de la v3.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sz w:val="22"/>
          <w:szCs w:val="22"/>
        </w:rPr>
        <w:t xml:space="preserve">Toutes les données Sidetrade — Statutory Report FY25 (Notes 6, 8, 9, 10, 13, 22, 24, 27, 29, 30), vérifiées page par page pendant la passe v3.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sz w:val="22"/>
          <w:szCs w:val="22"/>
        </w:rPr>
        <w:t xml:space="preserve">Novasque 35% — PR Sidetrade Feb-2026 (Briarwood), corroboré MarketScreener.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5.2 À reconfirmer avant publication (30 min, fichiers téléchargeables)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sz w:val="22"/>
          <w:szCs w:val="22"/>
        </w:rPr>
        <w:t xml:space="preserve">TLB spread +479bps : S&amp;P European LevFin Monthly Mar-2026 — article gated (HTTP 403 au fetch). Alternatives gratuites : PitchBook 'European Leveraged Loan Index Monthly Wrap' (pitchbook.com/news/reports, PDF gratuit) ; AFME 'European High Yield &amp; Leveraged Loan Report' (afme.eu, PDF gratuit) ; Morningstar 'Leveraged Loan Index Monitor Q1 2026' (indexes.morningstar.com).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sz w:val="22"/>
          <w:szCs w:val="22"/>
        </w:rPr>
        <w:t xml:space="preserve">Leverage 4.0x : Capstone 'Middle Market Leveraged Finance Report' Q1-2026 — page + PDF gratuit (capstonepartners.com/insights/middle-market-leveraged-finance-report).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sz w:val="22"/>
          <w:szCs w:val="22"/>
        </w:rPr>
        <w:t xml:space="preserve">Fees 3% : Firmex 'M&amp;A Fee Guide 2024-2025 EU Edition' — PDF gratuit contre email (firmex.com/resources/reports-guides/eu-fee-guide-25).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sz w:val="22"/>
          <w:szCs w:val="22"/>
        </w:rPr>
        <w:t xml:space="preserve">Rollover 25-40% : Auxo Capital (auxocapitaladvisors.com/rollover-equity-middle-market-ma) et Wall Street Prep (wallstreetprep.com/knowledge/rollover-equity) — pages web libres.</w:t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6 — Méthodologie d'audit (revue conjointe, ~60 min)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Étape 1 — Ouverture et recalcul (5 min)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sz w:val="22"/>
          <w:szCs w:val="22"/>
        </w:rPr>
        <w:t xml:space="preserve">Ouvrir Sidetrade_Valuation_2026_v2.xlsx dans Excel. Excel recalcule à l'ouverture (les valeurs en cache ont été vidées par openpyxl — normal).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sz w:val="22"/>
          <w:szCs w:val="22"/>
        </w:rPr>
        <w:t xml:space="preserve">Aller dans LBO_full → bloc 7 (VERIFICATION, ligne 220) : les 6 deltas (col D) doivent être ~0,0. Si oui, les formules live reproduisent exactement le moteur Python.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sz w:val="22"/>
          <w:szCs w:val="22"/>
        </w:rPr>
        <w:t xml:space="preserve">Cockpit ligne 13 : les 3 checks S&amp;U doivent afficher 0,0.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Étape 2 — Le test qui prouve tout (5 min)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sz w:val="22"/>
          <w:szCs w:val="22"/>
        </w:rPr>
        <w:t xml:space="preserve">Cellule C50 (Entry EV Base) : remplacer 246,6 par 289,2 → C150 (IRR Base) doit afficher ~18,0%. Puis 226,7 → ~25,0%. C'est la preuve que la table d'affordability est honnête.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sz w:val="22"/>
          <w:szCs w:val="22"/>
        </w:rPr>
        <w:t xml:space="preserve">Remettre 246,6 (ou Ctrl+Z deux fois).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Étape 3 — Tracer une année à la main (15 min)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sz w:val="22"/>
          <w:szCs w:val="22"/>
        </w:rPr>
        <w:t xml:space="preserve">Bloc Base, colonne C (2026) : Opening 53,5 → intérêts = 53,5 × 7,163% = 3,83 → charges fi. 3,91 → cap ATAD = max(3 ; 30%×17,1) = 5,14 → tout déductible → taxable = 15,7 − 3,91 = 11,8 → IS 2,95 + contribution 0,07 → impôt théorique 3,02 &lt; CIR 3,5 → cash tax 0 → NI 11,8.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sz w:val="22"/>
          <w:szCs w:val="22"/>
        </w:rPr>
        <w:t xml:space="preserve">Cash : 8,0 + 11,8 + 1,4 − 1,9 − 0,7 − 0,5 (amort) = 18,0 → excédent 10,0 → sweep 7,5 → dette 45,5, cash 10,5. Comparer avec les cellules — doit matcher au dixième.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Étape 4 — Croiser les sources (20 min)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sz w:val="22"/>
          <w:szCs w:val="22"/>
        </w:rPr>
        <w:t xml:space="preserve">Reprendre §5.2 : télécharger PitchBook wrap ou AFME, vérifier que le yield all-in B-rated européen est bien dans la zone 7-7,5%. Si écart &gt;50bps, ajuster B24 et noter l'impact (caveat 1 du bloc 8 : +100bps ≈ −0,8pt d'IRR).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sz w:val="22"/>
          <w:szCs w:val="22"/>
        </w:rPr>
        <w:t xml:space="preserve">Vérifier une note du Stat Report au choix (ex. Note 29 earn-outs €277k+€178k) contre les cellules B44.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Étape 5 — Challenge (15 min) — pose-moi ces questions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sz w:val="22"/>
          <w:szCs w:val="22"/>
        </w:rPr>
        <w:t xml:space="preserve">« Pourquoi l'IRR bouge à peine avec le levier ? » (réponse attendue : sweep 75% + coût dette 7,2% ≈ neutre vs cost of equity)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sz w:val="22"/>
          <w:szCs w:val="22"/>
        </w:rPr>
        <w:t xml:space="preserve">« Pourquoi le cash tax est nul en 2026 ? » (CIR 3,5 &gt; impôt théorique 3,0)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sz w:val="22"/>
          <w:szCs w:val="22"/>
        </w:rPr>
        <w:t xml:space="preserve">« Pourquoi l'affordability Base 22,5% (€247m) est sous la fair value DCF (€301m) ? » (compression de multiple 18×→15×)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sz w:val="22"/>
          <w:szCs w:val="22"/>
        </w:rPr>
        <w:t xml:space="preserve">« Que se passe-t-il si Novasque ne rolle pas ? » (chèque sponsor +€28m, IRR inchangé — le rollover ne change pas l'économie, seulement le financement)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sz w:val="22"/>
          <w:szCs w:val="22"/>
        </w:rPr>
        <w:t xml:space="preserve">« Le carryforward ATAD sert à quoi ? » (à rien en v1 — affiché, jamais réutilisé, conservateur)</w:t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7 — Limites connues (v1)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sz w:val="22"/>
          <w:szCs w:val="22"/>
        </w:rPr>
        <w:t xml:space="preserve">Mono-tranche TLB, pas de mezz/PIK ; covenants non testés ; NOLs Sidetrade (€7,2m) non monétisés ; pas de peg BFR au closing ; MIP non-fondateur non modélisé ; sensibilités = constantes moteur (pas de Data Tables Excel).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sz w:val="22"/>
          <w:szCs w:val="22"/>
        </w:rPr>
        <w:t xml:space="preserve">Si tu veux du formula-only pour les sensibilités : activer le calcul itératif Excel + Data Tables, ~2h de travail supplémentaire — à décider ensemble.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2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pPr>
      <w:spacing w:after="120" w:before="240"/>
      <w:outlineLvl w:val="1"/>
    </w:pPr>
    <w:rPr>
      <w:rFonts w:ascii="Arial" w:cs="Arial" w:eastAsia="Arial" w:hAnsi="Arial"/>
      <w:b/>
      <w:bCs/>
      <w:color w:val="1F3864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2026-06-10T18:12:42.772Z</dcterms:created>
  <dcterms:modified xsi:type="dcterms:W3CDTF">2026-06-10T18:12:42.774Z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