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3337" w14:textId="77777777"/>
    <w:p w14:paraId="26207E4D" w14:textId="77777777"/>
    <w:p w14:paraId="479A2817" w14:textId="77777777"/>
    <w:p w14:paraId="0000C537" w14:textId="77777777"/>
    <w:p w14:paraId="389A6DB4" w14:textId="77777777"/>
    <w:p w14:paraId="176F5801" w14:textId="77777777">
      <w:pPr>
        <w:spacing w:after="360"/>
        <w:jc w:val="center"/>
      </w:pPr>
      <w:r>
        <w:rPr>
          <w:b/>
          <w:color w:val="2CB5A9"/>
          <w:sz w:val="20"/>
        </w:rPr>
        <w:t>PRODUCTION IMPLEMENTATION GUIDE</w:t>
      </w:r>
    </w:p>
    <w:p w14:paraId="258FD5D0" w14:textId="77777777">
      <w:pPr>
        <w:spacing w:after="160"/>
        <w:jc w:val="center"/>
      </w:pPr>
      <w:r>
        <w:rPr>
          <w:b/>
          <w:color w:val="0B2545"/>
          <w:sz w:val="68"/>
        </w:rPr>
        <w:t>i-Elevate</w:t>
      </w:r>
    </w:p>
    <w:p w14:paraId="1A0A4FED" w14:textId="77777777">
      <w:pPr>
        <w:jc w:val="center"/>
      </w:pPr>
      <w:r>
        <w:rPr>
          <w:color w:val="1F4D78"/>
          <w:sz w:val="32"/>
        </w:rPr>
        <w:t>From repository to a live, staff-facing Azure service</w:t>
      </w:r>
    </w:p>
    <w:p w14:paraId="18A8F5E4" w14:textId="77777777">
      <w:pPr>
        <w:spacing w:after="640"/>
        <w:jc w:val="center"/>
      </w:pPr>
      <w:r>
        <w:rPr>
          <w:color w:val="1F4D78"/>
          <w:sz w:val="26"/>
        </w:rPr>
        <w:t>Including an on-campus IIS and SQL Server annex</w:t>
      </w:r>
    </w:p>
    <w:p w14:paraId="24EDE78C" w14:textId="77777777">
      <w:pPr>
        <w:spacing w:after="1440"/>
        <w:jc w:val="center"/>
      </w:pPr>
      <w:r>
        <w:rPr>
          <w:i/>
          <w:color w:val="2CB5A9"/>
          <w:sz w:val="21"/>
        </w:rPr>
        <w:t>—  A plain-English implementation and handover manual  —</w:t>
      </w:r>
    </w:p>
    <w:p w14:paraId="55D8B6C8" w14:textId="77777777">
      <w:pPr>
        <w:spacing w:after="100"/>
        <w:jc w:val="center"/>
      </w:pPr>
      <w:r>
        <w:rPr>
          <w:b/>
          <w:color w:val="0B2545"/>
          <w:sz w:val="24"/>
        </w:rPr>
        <w:t>Version 1.0  |  25 August 2026</w:t>
      </w:r>
    </w:p>
    <w:p w14:paraId="75E8F716" w14:textId="77777777">
      <w:pPr>
        <w:spacing w:after="400"/>
        <w:jc w:val="center"/>
      </w:pPr>
      <w:r>
        <w:rPr>
          <w:i/>
          <w:color w:val="5E6B73"/>
          <w:sz w:val="19"/>
        </w:rPr>
        <w:t>Prepared from repository commit a4b0d0b9</w:t>
      </w:r>
    </w:p>
    <w:p w14:paraId="055BFE6F" w14:textId="77777777">
      <w:pPr>
        <w:jc w:val="center"/>
      </w:pPr>
      <w:r>
        <w:rPr>
          <w:b/>
          <w:color w:val="0B2545"/>
          <w:sz w:val="20"/>
        </w:rPr>
        <w:t>Oldham College • Controlled handover copy</w:t>
      </w:r>
    </w:p>
    <w:p w14:paraId="353C8A1E" w14:textId="77777777">
      <w:r>
        <w:br w:type="page"/>
      </w:r>
    </w:p>
    <w:p w14:paraId="6E8B77AA" w14:textId="77777777">
      <w:pPr>
        <w:pStyle w:val="Heading1"/>
      </w:pPr>
      <w:bookmarkStart w:id="0" w:name="document_control"/>
      <w:r>
        <w:lastRenderedPageBreak/>
        <w:t>Document control</w:t>
      </w:r>
      <w:bookmarkEnd w:id="0"/>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700"/>
        <w:gridCol w:w="6660"/>
      </w:tblGrid>
      <w:tr w14:paraId="755B50EC" w14:textId="77777777">
        <w:trPr>
          <w:cantSplit/>
          <w:tblHeader/>
        </w:trPr>
        <w:tc>
          <w:tcPr>
            <w:tcW w:w="2700" w:type="dxa"/>
            <w:shd w:val="clear" w:color="auto" w:fill="E8EEF5"/>
            <w:tcMar>
              <w:top w:w="80" w:type="dxa"/>
              <w:left w:w="120" w:type="dxa"/>
              <w:bottom w:w="80" w:type="dxa"/>
              <w:right w:w="120" w:type="dxa"/>
            </w:tcMar>
            <w:vAlign w:val="center"/>
          </w:tcPr>
          <w:p w14:paraId="777A9BA2" w14:textId="77777777">
            <w:pPr>
              <w:spacing w:after="0"/>
            </w:pPr>
            <w:r>
              <w:rPr>
                <w:b/>
                <w:color w:val="0B2545"/>
                <w:sz w:val="19"/>
              </w:rPr>
              <w:t>Field</w:t>
            </w:r>
          </w:p>
        </w:tc>
        <w:tc>
          <w:tcPr>
            <w:tcW w:w="6660" w:type="dxa"/>
            <w:shd w:val="clear" w:color="auto" w:fill="E8EEF5"/>
            <w:tcMar>
              <w:top w:w="80" w:type="dxa"/>
              <w:left w:w="120" w:type="dxa"/>
              <w:bottom w:w="80" w:type="dxa"/>
              <w:right w:w="120" w:type="dxa"/>
            </w:tcMar>
            <w:vAlign w:val="center"/>
          </w:tcPr>
          <w:p w14:paraId="35B17ED4" w14:textId="77777777">
            <w:pPr>
              <w:spacing w:after="0"/>
            </w:pPr>
            <w:r>
              <w:rPr>
                <w:b/>
                <w:color w:val="0B2545"/>
                <w:sz w:val="19"/>
              </w:rPr>
              <w:t>Value</w:t>
            </w:r>
          </w:p>
        </w:tc>
      </w:tr>
      <w:tr w14:paraId="7EF6F5F0" w14:textId="77777777">
        <w:trPr>
          <w:cantSplit/>
        </w:trPr>
        <w:tc>
          <w:tcPr>
            <w:tcW w:w="2700" w:type="dxa"/>
            <w:tcMar>
              <w:top w:w="80" w:type="dxa"/>
              <w:left w:w="120" w:type="dxa"/>
              <w:bottom w:w="80" w:type="dxa"/>
              <w:right w:w="120" w:type="dxa"/>
            </w:tcMar>
            <w:vAlign w:val="center"/>
          </w:tcPr>
          <w:p w14:paraId="4B3C59A1" w14:textId="77777777">
            <w:pPr>
              <w:spacing w:after="0" w:line="269" w:lineRule="auto"/>
            </w:pPr>
            <w:r>
              <w:rPr>
                <w:b/>
                <w:sz w:val="18"/>
              </w:rPr>
              <w:t>Purpose</w:t>
            </w:r>
          </w:p>
        </w:tc>
        <w:tc>
          <w:tcPr>
            <w:tcW w:w="6660" w:type="dxa"/>
            <w:tcMar>
              <w:top w:w="80" w:type="dxa"/>
              <w:left w:w="120" w:type="dxa"/>
              <w:bottom w:w="80" w:type="dxa"/>
              <w:right w:w="120" w:type="dxa"/>
            </w:tcMar>
            <w:vAlign w:val="center"/>
          </w:tcPr>
          <w:p w14:paraId="654764E8" w14:textId="77777777">
            <w:pPr>
              <w:spacing w:after="0" w:line="269" w:lineRule="auto"/>
            </w:pPr>
            <w:r>
              <w:rPr>
                <w:sz w:val="18"/>
              </w:rPr>
              <w:t>Take the current i-Elevate repository through approval, Azure provisioning, identity setup, database preparation, release, pilot, go-live and ongoing support.</w:t>
            </w:r>
          </w:p>
        </w:tc>
      </w:tr>
      <w:tr w14:paraId="69EC086A" w14:textId="77777777">
        <w:trPr>
          <w:cantSplit/>
        </w:trPr>
        <w:tc>
          <w:tcPr>
            <w:tcW w:w="2700" w:type="dxa"/>
            <w:tcMar>
              <w:top w:w="80" w:type="dxa"/>
              <w:left w:w="120" w:type="dxa"/>
              <w:bottom w:w="80" w:type="dxa"/>
              <w:right w:w="120" w:type="dxa"/>
            </w:tcMar>
            <w:vAlign w:val="center"/>
          </w:tcPr>
          <w:p w14:paraId="6345FA56" w14:textId="77777777">
            <w:pPr>
              <w:spacing w:after="0" w:line="269" w:lineRule="auto"/>
            </w:pPr>
            <w:r>
              <w:rPr>
                <w:b/>
                <w:sz w:val="18"/>
              </w:rPr>
              <w:t>Primary audience</w:t>
            </w:r>
          </w:p>
        </w:tc>
        <w:tc>
          <w:tcPr>
            <w:tcW w:w="6660" w:type="dxa"/>
            <w:tcMar>
              <w:top w:w="80" w:type="dxa"/>
              <w:left w:w="120" w:type="dxa"/>
              <w:bottom w:w="80" w:type="dxa"/>
              <w:right w:w="120" w:type="dxa"/>
            </w:tcMar>
            <w:vAlign w:val="center"/>
          </w:tcPr>
          <w:p w14:paraId="0EA1A2B7" w14:textId="77777777">
            <w:pPr>
              <w:spacing w:after="0" w:line="269" w:lineRule="auto"/>
            </w:pPr>
            <w:r>
              <w:rPr>
                <w:sz w:val="18"/>
              </w:rPr>
              <w:t>College IT, infrastructure, identity, database, information-governance, service-desk and application-owner teams.</w:t>
            </w:r>
          </w:p>
        </w:tc>
      </w:tr>
      <w:tr w14:paraId="4087FC85" w14:textId="77777777">
        <w:trPr>
          <w:cantSplit/>
        </w:trPr>
        <w:tc>
          <w:tcPr>
            <w:tcW w:w="2700" w:type="dxa"/>
            <w:tcMar>
              <w:top w:w="80" w:type="dxa"/>
              <w:left w:w="120" w:type="dxa"/>
              <w:bottom w:w="80" w:type="dxa"/>
              <w:right w:w="120" w:type="dxa"/>
            </w:tcMar>
            <w:vAlign w:val="center"/>
          </w:tcPr>
          <w:p w14:paraId="1F0BC4B8" w14:textId="77777777">
            <w:pPr>
              <w:spacing w:after="0" w:line="269" w:lineRule="auto"/>
            </w:pPr>
            <w:r>
              <w:rPr>
                <w:b/>
                <w:sz w:val="18"/>
              </w:rPr>
              <w:t>Primary hosting model</w:t>
            </w:r>
          </w:p>
        </w:tc>
        <w:tc>
          <w:tcPr>
            <w:tcW w:w="6660" w:type="dxa"/>
            <w:tcMar>
              <w:top w:w="80" w:type="dxa"/>
              <w:left w:w="120" w:type="dxa"/>
              <w:bottom w:w="80" w:type="dxa"/>
              <w:right w:w="120" w:type="dxa"/>
            </w:tcMar>
            <w:vAlign w:val="center"/>
          </w:tcPr>
          <w:p w14:paraId="21868423" w14:textId="77777777">
            <w:pPr>
              <w:spacing w:after="0" w:line="269" w:lineRule="auto"/>
            </w:pPr>
            <w:r>
              <w:rPr>
                <w:sz w:val="18"/>
              </w:rPr>
              <w:t>Linux Azure App Service, Azure SQL Database, Microsoft Entra ID, Azure Storage, Key Vault, Application Insights and Log Analytics in UK South.</w:t>
            </w:r>
          </w:p>
        </w:tc>
      </w:tr>
      <w:tr w14:paraId="21E35EFC" w14:textId="77777777">
        <w:trPr>
          <w:cantSplit/>
        </w:trPr>
        <w:tc>
          <w:tcPr>
            <w:tcW w:w="2700" w:type="dxa"/>
            <w:tcMar>
              <w:top w:w="80" w:type="dxa"/>
              <w:left w:w="120" w:type="dxa"/>
              <w:bottom w:w="80" w:type="dxa"/>
              <w:right w:w="120" w:type="dxa"/>
            </w:tcMar>
            <w:vAlign w:val="center"/>
          </w:tcPr>
          <w:p w14:paraId="3BEF50EF" w14:textId="77777777">
            <w:pPr>
              <w:spacing w:after="0" w:line="269" w:lineRule="auto"/>
            </w:pPr>
            <w:r>
              <w:rPr>
                <w:b/>
                <w:sz w:val="18"/>
              </w:rPr>
              <w:t>Alternative in Annex D</w:t>
            </w:r>
          </w:p>
        </w:tc>
        <w:tc>
          <w:tcPr>
            <w:tcW w:w="6660" w:type="dxa"/>
            <w:tcMar>
              <w:top w:w="80" w:type="dxa"/>
              <w:left w:w="120" w:type="dxa"/>
              <w:bottom w:w="80" w:type="dxa"/>
              <w:right w:w="120" w:type="dxa"/>
            </w:tcMar>
            <w:vAlign w:val="center"/>
          </w:tcPr>
          <w:p w14:paraId="6700B9C3" w14:textId="77777777">
            <w:pPr>
              <w:spacing w:after="0" w:line="269" w:lineRule="auto"/>
            </w:pPr>
            <w:r>
              <w:rPr>
                <w:sz w:val="18"/>
              </w:rPr>
              <w:t>One Windows IIS website with an on-campus Microsoft SQL Server database.</w:t>
            </w:r>
          </w:p>
        </w:tc>
      </w:tr>
      <w:tr w14:paraId="4DBD010F" w14:textId="77777777">
        <w:trPr>
          <w:cantSplit/>
        </w:trPr>
        <w:tc>
          <w:tcPr>
            <w:tcW w:w="2700" w:type="dxa"/>
            <w:tcMar>
              <w:top w:w="80" w:type="dxa"/>
              <w:left w:w="120" w:type="dxa"/>
              <w:bottom w:w="80" w:type="dxa"/>
              <w:right w:w="120" w:type="dxa"/>
            </w:tcMar>
            <w:vAlign w:val="center"/>
          </w:tcPr>
          <w:p w14:paraId="2ABFA7AA" w14:textId="77777777">
            <w:pPr>
              <w:spacing w:after="0" w:line="269" w:lineRule="auto"/>
            </w:pPr>
            <w:r>
              <w:rPr>
                <w:b/>
                <w:sz w:val="18"/>
              </w:rPr>
              <w:t>Source baseline</w:t>
            </w:r>
          </w:p>
        </w:tc>
        <w:tc>
          <w:tcPr>
            <w:tcW w:w="6660" w:type="dxa"/>
            <w:tcMar>
              <w:top w:w="80" w:type="dxa"/>
              <w:left w:w="120" w:type="dxa"/>
              <w:bottom w:w="80" w:type="dxa"/>
              <w:right w:w="120" w:type="dxa"/>
            </w:tcMar>
            <w:vAlign w:val="center"/>
          </w:tcPr>
          <w:p w14:paraId="158FEE7D" w14:textId="77777777">
            <w:pPr>
              <w:spacing w:after="0" w:line="269" w:lineRule="auto"/>
            </w:pPr>
            <w:r>
              <w:rPr>
                <w:sz w:val="18"/>
              </w:rPr>
              <w:t>Git commit a4b0d0b9f747d2e31e2cf1a4888132928a369812 on main, inspected 25 August 2026.</w:t>
            </w:r>
          </w:p>
        </w:tc>
      </w:tr>
      <w:tr w14:paraId="10DDD847" w14:textId="77777777">
        <w:trPr>
          <w:cantSplit/>
        </w:trPr>
        <w:tc>
          <w:tcPr>
            <w:tcW w:w="2700" w:type="dxa"/>
            <w:tcMar>
              <w:top w:w="80" w:type="dxa"/>
              <w:left w:w="120" w:type="dxa"/>
              <w:bottom w:w="80" w:type="dxa"/>
              <w:right w:w="120" w:type="dxa"/>
            </w:tcMar>
            <w:vAlign w:val="center"/>
          </w:tcPr>
          <w:p w14:paraId="66DE7982" w14:textId="77777777">
            <w:pPr>
              <w:spacing w:after="0" w:line="269" w:lineRule="auto"/>
            </w:pPr>
            <w:r>
              <w:rPr>
                <w:b/>
                <w:sz w:val="18"/>
              </w:rPr>
              <w:t>Review rule</w:t>
            </w:r>
          </w:p>
        </w:tc>
        <w:tc>
          <w:tcPr>
            <w:tcW w:w="6660" w:type="dxa"/>
            <w:tcMar>
              <w:top w:w="80" w:type="dxa"/>
              <w:left w:w="120" w:type="dxa"/>
              <w:bottom w:w="80" w:type="dxa"/>
              <w:right w:w="120" w:type="dxa"/>
            </w:tcMar>
            <w:vAlign w:val="center"/>
          </w:tcPr>
          <w:p w14:paraId="7FE860FD" w14:textId="77777777">
            <w:pPr>
              <w:spacing w:after="0" w:line="269" w:lineRule="auto"/>
            </w:pPr>
            <w:r>
              <w:rPr>
                <w:sz w:val="18"/>
              </w:rPr>
              <w:t>Re-check Microsoft documentation, college policy, pricing, the release commit and all environment identifiers immediately before implementation.</w:t>
            </w:r>
          </w:p>
        </w:tc>
      </w:tr>
    </w:tbl>
    <w:p w14:paraId="29BED3C4" w14:textId="77777777">
      <w:pPr>
        <w:spacing w:after="20"/>
      </w:pPr>
    </w:p>
    <w:tbl>
      <w:tblPr>
        <w:tblStyle w:val="TableGrid"/>
        <w:tblW w:w="9360" w:type="dxa"/>
        <w:tblInd w:w="120" w:type="dxa"/>
        <w:tblBorders>
          <w:top w:val="single" w:sz="8" w:space="0" w:color="2CB5A9"/>
          <w:left w:val="single" w:sz="8" w:space="0" w:color="2CB5A9"/>
          <w:bottom w:val="single" w:sz="8" w:space="0" w:color="2CB5A9"/>
          <w:right w:val="single" w:sz="8" w:space="0" w:color="2CB5A9"/>
          <w:insideH w:val="single" w:sz="8" w:space="0" w:color="2CB5A9"/>
          <w:insideV w:val="single" w:sz="8" w:space="0" w:color="2CB5A9"/>
        </w:tblBorders>
        <w:tblLayout w:type="fixed"/>
        <w:tblLook w:val="04A0" w:firstRow="1" w:lastRow="0" w:firstColumn="1" w:lastColumn="0" w:noHBand="0" w:noVBand="1"/>
      </w:tblPr>
      <w:tblGrid>
        <w:gridCol w:w="9360"/>
      </w:tblGrid>
      <w:tr w14:paraId="1096FC1E" w14:textId="77777777">
        <w:trPr>
          <w:cantSplit/>
          <w:tblHeader/>
        </w:trPr>
        <w:tc>
          <w:tcPr>
            <w:tcW w:w="9360" w:type="dxa"/>
            <w:shd w:val="clear" w:color="auto" w:fill="E6F5F3"/>
            <w:tcMar>
              <w:top w:w="80" w:type="dxa"/>
              <w:left w:w="120" w:type="dxa"/>
              <w:bottom w:w="80" w:type="dxa"/>
              <w:right w:w="120" w:type="dxa"/>
            </w:tcMar>
            <w:vAlign w:val="center"/>
          </w:tcPr>
          <w:p w14:paraId="18CED3FB" w14:textId="77777777">
            <w:pPr>
              <w:spacing w:after="60"/>
            </w:pPr>
            <w:r>
              <w:rPr>
                <w:b/>
                <w:color w:val="2CB5A9"/>
              </w:rPr>
              <w:t>What this document is — and is not</w:t>
            </w:r>
          </w:p>
          <w:p w14:paraId="51A70C7D" w14:textId="77777777">
            <w:pPr>
              <w:spacing w:after="0"/>
            </w:pPr>
            <w:r>
              <w:rPr>
                <w:sz w:val="20"/>
              </w:rPr>
              <w:t>This is a repository-specific implementation runbook: what to do, why, what evidence to retain and where the relevant code lives. It does not replace college change, security, procurement, data-protection or identity approval.</w:t>
            </w:r>
          </w:p>
        </w:tc>
      </w:tr>
    </w:tbl>
    <w:p w14:paraId="0B52C32C" w14:textId="77777777">
      <w:pPr>
        <w:spacing w:after="20"/>
      </w:pPr>
    </w:p>
    <w:tbl>
      <w:tblPr>
        <w:tblStyle w:val="TableGrid"/>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14:paraId="6FBA0073" w14:textId="77777777">
        <w:trPr>
          <w:cantSplit/>
          <w:tblHeader/>
        </w:trPr>
        <w:tc>
          <w:tcPr>
            <w:tcW w:w="9360" w:type="dxa"/>
            <w:shd w:val="clear" w:color="auto" w:fill="FFF4CC"/>
            <w:tcMar>
              <w:top w:w="80" w:type="dxa"/>
              <w:left w:w="120" w:type="dxa"/>
              <w:bottom w:w="80" w:type="dxa"/>
              <w:right w:w="120" w:type="dxa"/>
            </w:tcMar>
            <w:vAlign w:val="center"/>
          </w:tcPr>
          <w:p w14:paraId="01163246" w14:textId="77777777">
            <w:pPr>
              <w:spacing w:after="60"/>
            </w:pPr>
            <w:r>
              <w:rPr>
                <w:b/>
                <w:color w:val="7A5A00"/>
              </w:rPr>
              <w:t>Current state at preparation</w:t>
            </w:r>
          </w:p>
          <w:p w14:paraId="4B935F40" w14:textId="77777777">
            <w:pPr>
              <w:spacing w:after="0"/>
            </w:pPr>
            <w:r>
              <w:rPr>
                <w:sz w:val="20"/>
              </w:rPr>
              <w:t>The resource group and Entra app registrations exist, but application resources, the final production redirect and tenant-wide consent are outstanding. Do not deploy the existing local ZIP: rebuild from a clean, approved commit or release tag.</w:t>
            </w:r>
          </w:p>
        </w:tc>
      </w:tr>
    </w:tbl>
    <w:p w14:paraId="4DB03E27" w14:textId="77777777">
      <w:pPr>
        <w:spacing w:after="20"/>
      </w:pPr>
    </w:p>
    <w:p w14:paraId="7D4D3A1A" w14:textId="77777777">
      <w:pPr>
        <w:pStyle w:val="Heading2"/>
      </w:pPr>
      <w:r>
        <w:t>How to use this guide</w:t>
      </w:r>
    </w:p>
    <w:p w14:paraId="16BAF2C8" w14:textId="77777777">
      <w:pPr>
        <w:numPr>
          <w:ilvl w:val="0"/>
          <w:numId w:val="1"/>
        </w:numPr>
      </w:pPr>
      <w:r>
        <w:t>Sections 1–4 establish ownership, approvals and the release source. Accept them before provisioning.</w:t>
      </w:r>
    </w:p>
    <w:p w14:paraId="1D009589" w14:textId="77777777">
      <w:pPr>
        <w:numPr>
          <w:ilvl w:val="0"/>
          <w:numId w:val="1"/>
        </w:numPr>
      </w:pPr>
      <w:r>
        <w:t>Identity, platform and database teams then complete Sections 5–10 in order. Do not open the service until sign-in, migrations and the first administrator are verified.</w:t>
      </w:r>
    </w:p>
    <w:p w14:paraId="3A75690F" w14:textId="77777777">
      <w:pPr>
        <w:numPr>
          <w:ilvl w:val="0"/>
          <w:numId w:val="1"/>
        </w:numPr>
      </w:pPr>
      <w:r>
        <w:t>Build and deploy through Sections 11–13; use Sections 14–19 and the annexes for live operation, recovery and handover.</w:t>
      </w:r>
    </w:p>
    <w:p w14:paraId="454C3872" w14:textId="77777777">
      <w:pPr>
        <w:pStyle w:val="Heading1"/>
      </w:pPr>
      <w:bookmarkStart w:id="1" w:name="contents"/>
      <w:r>
        <w:lastRenderedPageBreak/>
        <w:t>Contents</w:t>
      </w:r>
      <w:bookmarkEnd w:id="1"/>
    </w:p>
    <w:p w14:paraId="181E38A5" w14:textId="77777777">
      <w:pPr>
        <w:pStyle w:val="SmallNote"/>
      </w:pPr>
      <w:r>
        <w:rPr>
          <w:color w:val="17212B"/>
          <w:sz w:val="22"/>
        </w:rPr>
        <w:t>Select an entry in Word to jump to that section. Page numbers are deliberately omitted so the links remain correct if the college adds approval pages or local policy content.</w:t>
      </w:r>
    </w:p>
    <w:p w14:paraId="5A6FD381" w14:textId="79786490">
      <w:pPr>
        <w:spacing w:after="60"/>
      </w:pPr>
      <w:hyperlink w:anchor="read_first" w:history="1">
        <w:r>
          <w:rPr>
            <w:color w:val="2E74B5"/>
          </w:rPr>
          <w:t>1. Read this first</w:t>
        </w:r>
      </w:hyperlink>
    </w:p>
    <w:p w14:paraId="0F11D33C" w14:textId="753F6A7E">
      <w:pPr>
        <w:spacing w:after="60"/>
      </w:pPr>
      <w:hyperlink w:anchor="what_deployed" w:history="1">
        <w:r>
          <w:rPr>
            <w:color w:val="2E74B5"/>
          </w:rPr>
          <w:t>2. What is being deployed</w:t>
        </w:r>
      </w:hyperlink>
    </w:p>
    <w:p w14:paraId="39E15055" w14:textId="2434026F">
      <w:pPr>
        <w:spacing w:after="60"/>
      </w:pPr>
      <w:hyperlink w:anchor="decisions" w:history="1">
        <w:r>
          <w:rPr>
            <w:color w:val="2E74B5"/>
          </w:rPr>
          <w:t>3. Decisions, approvals and owners</w:t>
        </w:r>
      </w:hyperlink>
    </w:p>
    <w:p w14:paraId="13D394D0" w14:textId="212E0CB9">
      <w:pPr>
        <w:spacing w:after="60"/>
      </w:pPr>
      <w:hyperlink w:anchor="repository" w:history="1">
        <w:r>
          <w:rPr>
            <w:color w:val="2E74B5"/>
          </w:rPr>
          <w:t>4. Put the repository into college ownership</w:t>
        </w:r>
      </w:hyperlink>
    </w:p>
    <w:p w14:paraId="3700B16D" w14:textId="7AE15C39">
      <w:pPr>
        <w:spacing w:after="60"/>
      </w:pPr>
      <w:hyperlink w:anchor="workstation" w:history="1">
        <w:r>
          <w:rPr>
            <w:color w:val="2E74B5"/>
          </w:rPr>
          <w:t>5. Prepare the deployment workstation</w:t>
        </w:r>
      </w:hyperlink>
    </w:p>
    <w:p w14:paraId="30A36F7A" w14:textId="2398A330">
      <w:pPr>
        <w:spacing w:after="60"/>
      </w:pPr>
      <w:hyperlink w:anchor="entra" w:history="1">
        <w:r>
          <w:rPr>
            <w:color w:val="2E74B5"/>
          </w:rPr>
          <w:t>6. Finish Microsoft Entra configuration</w:t>
        </w:r>
      </w:hyperlink>
    </w:p>
    <w:p w14:paraId="08F85CBD" w14:textId="282B3241">
      <w:pPr>
        <w:spacing w:after="60"/>
      </w:pPr>
      <w:hyperlink w:anchor="azure_design" w:history="1">
        <w:r>
          <w:rPr>
            <w:color w:val="2E74B5"/>
          </w:rPr>
          <w:t>7. Review Azure design, cost and security</w:t>
        </w:r>
      </w:hyperlink>
    </w:p>
    <w:p w14:paraId="3B0A61BA" w14:textId="07E7B872">
      <w:pPr>
        <w:spacing w:after="60"/>
      </w:pPr>
      <w:hyperlink w:anchor="parameters" w:history="1">
        <w:r>
          <w:rPr>
            <w:color w:val="2E74B5"/>
          </w:rPr>
          <w:t>8. Prepare deployment parameters</w:t>
        </w:r>
      </w:hyperlink>
    </w:p>
    <w:p w14:paraId="1853F6B6" w14:textId="725826E6">
      <w:pPr>
        <w:spacing w:after="60"/>
      </w:pPr>
      <w:hyperlink w:anchor="provision" w:history="1">
        <w:r>
          <w:rPr>
            <w:color w:val="2E74B5"/>
          </w:rPr>
          <w:t>9. Validate and provision Azure</w:t>
        </w:r>
      </w:hyperlink>
    </w:p>
    <w:p w14:paraId="682C6B4C" w14:textId="3C9DD1EA">
      <w:pPr>
        <w:spacing w:after="60"/>
      </w:pPr>
      <w:hyperlink w:anchor="database" w:history="1">
        <w:r>
          <w:rPr>
            <w:color w:val="2E74B5"/>
          </w:rPr>
          <w:t>10. Prepare Azure SQL and the first administrator</w:t>
        </w:r>
      </w:hyperlink>
    </w:p>
    <w:p w14:paraId="0B1D31E2" w14:textId="2444FD76">
      <w:pPr>
        <w:spacing w:after="60"/>
      </w:pPr>
      <w:hyperlink w:anchor="deploy_app" w:history="1">
        <w:r>
          <w:rPr>
            <w:color w:val="2E74B5"/>
          </w:rPr>
          <w:t>11. Build and deploy the application</w:t>
        </w:r>
      </w:hyperlink>
    </w:p>
    <w:p w14:paraId="7A0F5475" w14:textId="25948A45">
      <w:pPr>
        <w:spacing w:after="60"/>
      </w:pPr>
      <w:hyperlink w:anchor="dns_identity" w:history="1">
        <w:r>
          <w:rPr>
            <w:color w:val="2E74B5"/>
          </w:rPr>
          <w:t>12. Complete DNS, HTTPS and sign-in</w:t>
        </w:r>
      </w:hyperlink>
    </w:p>
    <w:p w14:paraId="392816E6" w14:textId="01D1A767">
      <w:pPr>
        <w:spacing w:after="60"/>
      </w:pPr>
      <w:hyperlink w:anchor="go_live" w:history="1">
        <w:r>
          <w:rPr>
            <w:color w:val="2E74B5"/>
          </w:rPr>
          <w:t>13. Pilot, acceptance and go-live</w:t>
        </w:r>
      </w:hyperlink>
    </w:p>
    <w:p w14:paraId="52033BE9" w14:textId="6EED8C4A">
      <w:pPr>
        <w:spacing w:after="60"/>
      </w:pPr>
      <w:hyperlink w:anchor="operations" w:history="1">
        <w:r>
          <w:rPr>
            <w:color w:val="2E74B5"/>
          </w:rPr>
          <w:t>14. Operate the live service</w:t>
        </w:r>
      </w:hyperlink>
    </w:p>
    <w:p w14:paraId="611E48FC" w14:textId="6EACD7B1">
      <w:pPr>
        <w:spacing w:after="60"/>
      </w:pPr>
      <w:hyperlink w:anchor="updates" w:history="1">
        <w:r>
          <w:rPr>
            <w:color w:val="2E74B5"/>
          </w:rPr>
          <w:t>15. Release updates safely</w:t>
        </w:r>
      </w:hyperlink>
    </w:p>
    <w:p w14:paraId="61E2E89A" w14:textId="3CE72508">
      <w:pPr>
        <w:spacing w:after="60"/>
      </w:pPr>
      <w:hyperlink w:anchor="recovery" w:history="1">
        <w:r>
          <w:rPr>
            <w:color w:val="2E74B5"/>
          </w:rPr>
          <w:t>16. Rollback, recovery and incidents</w:t>
        </w:r>
      </w:hyperlink>
    </w:p>
    <w:p w14:paraId="59023BDA" w14:textId="16C4E67A">
      <w:pPr>
        <w:spacing w:after="60"/>
      </w:pPr>
      <w:hyperlink w:anchor="security" w:history="1">
        <w:r>
          <w:rPr>
            <w:color w:val="2E74B5"/>
          </w:rPr>
          <w:t>17. Security and privacy operating controls</w:t>
        </w:r>
      </w:hyperlink>
    </w:p>
    <w:p w14:paraId="45BF0737" w14:textId="68CFD4DD">
      <w:pPr>
        <w:spacing w:after="60"/>
      </w:pPr>
      <w:hyperlink w:anchor="troubleshooting" w:history="1">
        <w:r>
          <w:rPr>
            <w:color w:val="2E74B5"/>
          </w:rPr>
          <w:t>18. Troubleshooting guide</w:t>
        </w:r>
      </w:hyperlink>
    </w:p>
    <w:p w14:paraId="4C84ADD5" w14:textId="36D58BD0">
      <w:pPr>
        <w:spacing w:after="60"/>
      </w:pPr>
      <w:hyperlink w:anchor="handover_pack" w:history="1">
        <w:r>
          <w:rPr>
            <w:color w:val="2E74B5"/>
          </w:rPr>
          <w:t>19. Formal handover pack</w:t>
        </w:r>
      </w:hyperlink>
    </w:p>
    <w:p w14:paraId="190DB0F4" w14:textId="6A3B9674">
      <w:pPr>
        <w:spacing w:after="60"/>
        <w:ind w:left="173"/>
      </w:pPr>
      <w:hyperlink w:anchor="annex_a" w:history="1">
        <w:r>
          <w:rPr>
            <w:color w:val="2E74B5"/>
          </w:rPr>
          <w:t>Annex A. Known environment record</w:t>
        </w:r>
      </w:hyperlink>
    </w:p>
    <w:p w14:paraId="3D4A3BAF" w14:textId="4681754C">
      <w:pPr>
        <w:spacing w:after="60"/>
        <w:ind w:left="173"/>
      </w:pPr>
      <w:hyperlink w:anchor="annex_b" w:history="1">
        <w:r>
          <w:rPr>
            <w:color w:val="2E74B5"/>
          </w:rPr>
          <w:t>Annex B. Azure command sheet</w:t>
        </w:r>
      </w:hyperlink>
    </w:p>
    <w:p w14:paraId="63E08782" w14:textId="47D1BE80">
      <w:pPr>
        <w:spacing w:after="60"/>
        <w:ind w:left="173"/>
      </w:pPr>
      <w:hyperlink w:anchor="annex_c" w:history="1">
        <w:r>
          <w:rPr>
            <w:color w:val="2E74B5"/>
          </w:rPr>
          <w:t>Annex C. Repository reference map</w:t>
        </w:r>
      </w:hyperlink>
    </w:p>
    <w:p w14:paraId="37BB6563" w14:textId="337F8CB2">
      <w:pPr>
        <w:spacing w:after="60"/>
        <w:ind w:left="173"/>
      </w:pPr>
      <w:hyperlink w:anchor="annex_d" w:history="1">
        <w:r>
          <w:rPr>
            <w:color w:val="2E74B5"/>
          </w:rPr>
          <w:t>Annex D. On-campus IIS and SQL Server hosting</w:t>
        </w:r>
      </w:hyperlink>
    </w:p>
    <w:p w14:paraId="2B2D54AB" w14:textId="62821050">
      <w:pPr>
        <w:spacing w:after="60"/>
        <w:ind w:left="173"/>
      </w:pPr>
      <w:hyperlink w:anchor="annex_e" w:history="1">
        <w:r>
          <w:rPr>
            <w:color w:val="2E74B5"/>
          </w:rPr>
          <w:t>Annex E. Local development only</w:t>
        </w:r>
      </w:hyperlink>
    </w:p>
    <w:p w14:paraId="0515E576" w14:textId="7171B761">
      <w:pPr>
        <w:spacing w:after="60"/>
        <w:ind w:left="173"/>
      </w:pPr>
      <w:hyperlink w:anchor="annex_f" w:history="1">
        <w:r>
          <w:rPr>
            <w:color w:val="2E74B5"/>
          </w:rPr>
          <w:t>Annex F. Go-live sign-off checklist</w:t>
        </w:r>
      </w:hyperlink>
    </w:p>
    <w:p w14:paraId="3410A254" w14:textId="18E0FFEC">
      <w:pPr>
        <w:spacing w:after="60"/>
        <w:ind w:left="173"/>
      </w:pPr>
      <w:hyperlink w:anchor="annex_g" w:history="1">
        <w:r>
          <w:rPr>
            <w:color w:val="2E74B5"/>
          </w:rPr>
          <w:t>Annex G. Plain-English glossary</w:t>
        </w:r>
      </w:hyperlink>
    </w:p>
    <w:p w14:paraId="7D304EC6" w14:textId="06551244">
      <w:pPr>
        <w:spacing w:after="60"/>
        <w:ind w:left="173"/>
      </w:pPr>
      <w:hyperlink w:anchor="annex_h" w:history="1">
        <w:r>
          <w:rPr>
            <w:color w:val="2E74B5"/>
          </w:rPr>
          <w:t>Annex H. External references</w:t>
        </w:r>
      </w:hyperlink>
    </w:p>
    <w:p w14:paraId="414AEF1A" w14:textId="77777777">
      <w:pPr>
        <w:pStyle w:val="Heading1"/>
      </w:pPr>
      <w:bookmarkStart w:id="2" w:name="read_first"/>
      <w:r>
        <w:lastRenderedPageBreak/>
        <w:t>1. Read this first</w:t>
      </w:r>
      <w:bookmarkEnd w:id="2"/>
    </w:p>
    <w:p w14:paraId="72C384F2" w14:textId="77777777">
      <w:r>
        <w:t>The quickest route to a reliable launch is to treat i-Elevate as a college service, not as a website somebody uploads. The source, staff data, Entra identities, Azure costs, database recovery and support rota all need named owners before go-live.</w:t>
      </w:r>
    </w:p>
    <w:p w14:paraId="51D02336" w14:textId="77777777">
      <w:pPr>
        <w:pStyle w:val="Heading2"/>
      </w:pPr>
      <w:r>
        <w:t>The five rules that prevent most deployment failures</w:t>
      </w:r>
    </w:p>
    <w:p w14:paraId="38E3ACA7" w14:textId="77777777">
      <w:pPr>
        <w:numPr>
          <w:ilvl w:val="0"/>
          <w:numId w:val="2"/>
        </w:numPr>
      </w:pPr>
      <w:r>
        <w:t>Use the private, college-owned Git repository as the source of truth. A ZIP alone is not a maintainable handover.</w:t>
      </w:r>
    </w:p>
    <w:p w14:paraId="11635AF0" w14:textId="77777777">
      <w:pPr>
        <w:numPr>
          <w:ilvl w:val="0"/>
          <w:numId w:val="2"/>
        </w:numPr>
      </w:pPr>
      <w:r>
        <w:t>Build only from a clean, reviewed commit or release tag. Record the commit, tag, manifest and SHA-256 checksum in the change record.</w:t>
      </w:r>
    </w:p>
    <w:p w14:paraId="2BA45B9E" w14:textId="77777777">
      <w:pPr>
        <w:numPr>
          <w:ilvl w:val="0"/>
          <w:numId w:val="2"/>
        </w:numPr>
      </w:pPr>
      <w:r>
        <w:t>Apply database changes only through scripts/apply-database.ps1. Migrations are forward-only; never edit a migration already applied to production.</w:t>
      </w:r>
    </w:p>
    <w:p w14:paraId="5B5B793D" w14:textId="77777777">
      <w:pPr>
        <w:numPr>
          <w:ilvl w:val="0"/>
          <w:numId w:val="2"/>
        </w:numPr>
      </w:pPr>
      <w:r>
        <w:t>Keep development authentication, LocalDB, demo/reset scripts and test accounts out of production. Production must use Microsoft Entra tokens.</w:t>
      </w:r>
    </w:p>
    <w:p w14:paraId="5F4705E1" w14:textId="77777777">
      <w:pPr>
        <w:numPr>
          <w:ilvl w:val="0"/>
          <w:numId w:val="2"/>
        </w:numPr>
      </w:pPr>
      <w:r>
        <w:t>Do not open access to staff until sign-in, every role boundary, faculty/team scoping, reports, backups, alerts and recovery have been tested with evidence.</w:t>
      </w:r>
    </w:p>
    <w:tbl>
      <w:tblPr>
        <w:tblStyle w:val="TableGrid"/>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14:paraId="2886EDB3" w14:textId="77777777">
        <w:trPr>
          <w:cantSplit/>
          <w:tblHeader/>
        </w:trPr>
        <w:tc>
          <w:tcPr>
            <w:tcW w:w="9360" w:type="dxa"/>
            <w:shd w:val="clear" w:color="auto" w:fill="FDECEC"/>
            <w:tcMar>
              <w:top w:w="80" w:type="dxa"/>
              <w:left w:w="120" w:type="dxa"/>
              <w:bottom w:w="80" w:type="dxa"/>
              <w:right w:w="120" w:type="dxa"/>
            </w:tcMar>
            <w:vAlign w:val="center"/>
          </w:tcPr>
          <w:p w14:paraId="42B97815" w14:textId="77777777">
            <w:pPr>
              <w:spacing w:after="60"/>
            </w:pPr>
            <w:r>
              <w:rPr>
                <w:b/>
                <w:color w:val="9B1C1C"/>
              </w:rPr>
              <w:t>STOP condition</w:t>
            </w:r>
          </w:p>
          <w:p w14:paraId="60409452" w14:textId="77777777">
            <w:pPr>
              <w:spacing w:after="0"/>
            </w:pPr>
            <w:r>
              <w:rPr>
                <w:sz w:val="20"/>
              </w:rPr>
              <w:t>Do not run the Bicep deployment merely to see what happens. It creates billable services. First obtain cost, security, data-protection and change approval, create a budget, identify the production owner and agree the network model.</w:t>
            </w:r>
          </w:p>
        </w:tc>
      </w:tr>
    </w:tbl>
    <w:p w14:paraId="5B59B2AF" w14:textId="77777777">
      <w:pPr>
        <w:spacing w:after="20"/>
      </w:pPr>
    </w:p>
    <w:p w14:paraId="1B28C86E" w14:textId="77777777">
      <w:pPr>
        <w:pStyle w:val="Heading2"/>
      </w:pPr>
      <w:r>
        <w:t>The intended result</w:t>
      </w:r>
    </w:p>
    <w:p w14:paraId="069DEA2C" w14:textId="77777777">
      <w:r>
        <w:t>Staff browse to one approved HTTPS address, sign in with their Oldham College Microsoft account and see only the records and functions allowed by their application role and faculty/team scope. The React interface and ASP.NET Core API are served from the same App Service address. Azure SQL holds the business data. The App Service uses its own managed identity—not a stored database password—to reach Azure SQL, Blob Storage and Key Vault.</w:t>
      </w:r>
    </w:p>
    <w:p w14:paraId="732D5506" w14:textId="77777777">
      <w:pPr>
        <w:pStyle w:val="Heading2"/>
      </w:pPr>
      <w:r>
        <w:t>Out of scope unless separately approved</w:t>
      </w:r>
    </w:p>
    <w:p w14:paraId="2D23CC7B" w14:textId="77777777">
      <w:pPr>
        <w:numPr>
          <w:ilvl w:val="0"/>
          <w:numId w:val="3"/>
        </w:numPr>
      </w:pPr>
      <w:r>
        <w:t>General file uploads and evidence attachments. Storage policy, access control, file limits, retention and malware scanning must be designed first.</w:t>
      </w:r>
    </w:p>
    <w:p w14:paraId="5168438E" w14:textId="77777777">
      <w:pPr>
        <w:numPr>
          <w:ilvl w:val="0"/>
          <w:numId w:val="3"/>
        </w:numPr>
      </w:pPr>
      <w:r>
        <w:lastRenderedPageBreak/>
        <w:t>Live outbound messaging. The supplied Azure configuration keeps messaging disabled and in test mode until the sender, credentials, test recipient and support owner are approved.</w:t>
      </w:r>
    </w:p>
    <w:p w14:paraId="27F47342" w14:textId="77777777">
      <w:pPr>
        <w:numPr>
          <w:ilvl w:val="0"/>
          <w:numId w:val="3"/>
        </w:numPr>
      </w:pPr>
      <w:r>
        <w:t>A production LocalDB deployment. LocalDB is for a developer workstation only and is not a multi-user staff service.</w:t>
      </w:r>
    </w:p>
    <w:p w14:paraId="67F66831" w14:textId="77777777">
      <w:pPr>
        <w:numPr>
          <w:ilvl w:val="0"/>
          <w:numId w:val="3"/>
        </w:numPr>
      </w:pPr>
      <w:r>
        <w:t>Automatic zero-downtime deployment on the Basic B1 plan. A staging slot requires Standard tier or better; the current starter deploys directly to the one production app.</w:t>
      </w:r>
    </w:p>
    <w:p w14:paraId="730808FF" w14:textId="77777777">
      <w:pPr>
        <w:pStyle w:val="SmallNote"/>
      </w:pPr>
      <w:r>
        <w:rPr>
          <w:b/>
        </w:rPr>
        <w:t xml:space="preserve">Repository reference: </w:t>
      </w:r>
      <w:r>
        <w:rPr>
          <w:rFonts w:ascii="Consolas" w:eastAsia="Consolas" w:hAnsi="Consolas"/>
          <w:color w:val="1F4D78"/>
          <w:sz w:val="17"/>
        </w:rPr>
        <w:t>DEPLOYMENT-START-HERE.md</w:t>
      </w:r>
      <w:r>
        <w:t xml:space="preserve">  •  </w:t>
      </w:r>
      <w:r>
        <w:rPr>
          <w:rFonts w:ascii="Consolas" w:eastAsia="Consolas" w:hAnsi="Consolas"/>
          <w:color w:val="1F4D78"/>
          <w:sz w:val="17"/>
        </w:rPr>
        <w:t>HANDOVER.md</w:t>
      </w:r>
      <w:r>
        <w:t xml:space="preserve">  •  </w:t>
      </w:r>
      <w:r>
        <w:rPr>
          <w:rFonts w:ascii="Consolas" w:eastAsia="Consolas" w:hAnsi="Consolas"/>
          <w:color w:val="1F4D78"/>
          <w:sz w:val="17"/>
        </w:rPr>
        <w:t>docs/deployment/v1-readiness.md</w:t>
      </w:r>
    </w:p>
    <w:p w14:paraId="164E1FBE" w14:textId="77777777">
      <w:pPr>
        <w:pStyle w:val="Heading1"/>
      </w:pPr>
      <w:bookmarkStart w:id="3" w:name="what_deployed"/>
      <w:r>
        <w:lastRenderedPageBreak/>
        <w:t>2. What is being deployed</w:t>
      </w:r>
      <w:bookmarkEnd w:id="3"/>
    </w:p>
    <w:p w14:paraId="4E246E4D" w14:textId="77777777">
      <w:pPr>
        <w:pStyle w:val="Heading2"/>
      </w:pPr>
      <w:r>
        <w:t>Application components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800"/>
        <w:gridCol w:w="4420"/>
        <w:gridCol w:w="3140"/>
      </w:tblGrid>
      <w:tr w14:paraId="5AE2604B" w14:textId="77777777">
        <w:trPr>
          <w:cantSplit/>
          <w:tblHeader/>
        </w:trPr>
        <w:tc>
          <w:tcPr>
            <w:tcW w:w="1800" w:type="dxa"/>
            <w:shd w:val="clear" w:color="auto" w:fill="E8EEF5"/>
            <w:tcMar>
              <w:top w:w="80" w:type="dxa"/>
              <w:left w:w="120" w:type="dxa"/>
              <w:bottom w:w="80" w:type="dxa"/>
              <w:right w:w="120" w:type="dxa"/>
            </w:tcMar>
            <w:vAlign w:val="center"/>
          </w:tcPr>
          <w:p w14:paraId="66A8553D" w14:textId="77777777">
            <w:pPr>
              <w:spacing w:after="0"/>
            </w:pPr>
            <w:r>
              <w:rPr>
                <w:b/>
                <w:color w:val="0B2545"/>
                <w:sz w:val="19"/>
              </w:rPr>
              <w:t>Component</w:t>
            </w:r>
          </w:p>
        </w:tc>
        <w:tc>
          <w:tcPr>
            <w:tcW w:w="4420" w:type="dxa"/>
            <w:shd w:val="clear" w:color="auto" w:fill="E8EEF5"/>
            <w:tcMar>
              <w:top w:w="80" w:type="dxa"/>
              <w:left w:w="120" w:type="dxa"/>
              <w:bottom w:w="80" w:type="dxa"/>
              <w:right w:w="120" w:type="dxa"/>
            </w:tcMar>
            <w:vAlign w:val="center"/>
          </w:tcPr>
          <w:p w14:paraId="62DAFA1F" w14:textId="77777777">
            <w:pPr>
              <w:spacing w:after="0"/>
            </w:pPr>
            <w:r>
              <w:rPr>
                <w:b/>
                <w:color w:val="0B2545"/>
                <w:sz w:val="19"/>
              </w:rPr>
              <w:t>What it does</w:t>
            </w:r>
          </w:p>
        </w:tc>
        <w:tc>
          <w:tcPr>
            <w:tcW w:w="3140" w:type="dxa"/>
            <w:shd w:val="clear" w:color="auto" w:fill="E8EEF5"/>
            <w:tcMar>
              <w:top w:w="80" w:type="dxa"/>
              <w:left w:w="120" w:type="dxa"/>
              <w:bottom w:w="80" w:type="dxa"/>
              <w:right w:w="120" w:type="dxa"/>
            </w:tcMar>
            <w:vAlign w:val="center"/>
          </w:tcPr>
          <w:p w14:paraId="05BA65DC" w14:textId="77777777">
            <w:pPr>
              <w:spacing w:after="0"/>
            </w:pPr>
            <w:r>
              <w:rPr>
                <w:b/>
                <w:color w:val="0B2545"/>
                <w:sz w:val="19"/>
              </w:rPr>
              <w:t>Repository location</w:t>
            </w:r>
          </w:p>
        </w:tc>
      </w:tr>
      <w:tr w14:paraId="0EBA872A" w14:textId="77777777">
        <w:trPr>
          <w:cantSplit/>
        </w:trPr>
        <w:tc>
          <w:tcPr>
            <w:tcW w:w="1800" w:type="dxa"/>
            <w:tcMar>
              <w:top w:w="80" w:type="dxa"/>
              <w:left w:w="120" w:type="dxa"/>
              <w:bottom w:w="80" w:type="dxa"/>
              <w:right w:w="120" w:type="dxa"/>
            </w:tcMar>
            <w:vAlign w:val="center"/>
          </w:tcPr>
          <w:p w14:paraId="39950001" w14:textId="77777777">
            <w:pPr>
              <w:spacing w:after="0" w:line="269" w:lineRule="auto"/>
            </w:pPr>
            <w:r>
              <w:rPr>
                <w:sz w:val="18"/>
              </w:rPr>
              <w:t>Web interface</w:t>
            </w:r>
          </w:p>
        </w:tc>
        <w:tc>
          <w:tcPr>
            <w:tcW w:w="4420" w:type="dxa"/>
            <w:tcMar>
              <w:top w:w="80" w:type="dxa"/>
              <w:left w:w="120" w:type="dxa"/>
              <w:bottom w:w="80" w:type="dxa"/>
              <w:right w:w="120" w:type="dxa"/>
            </w:tcMar>
            <w:vAlign w:val="center"/>
          </w:tcPr>
          <w:p w14:paraId="242DE947" w14:textId="77777777">
            <w:pPr>
              <w:spacing w:after="0" w:line="269" w:lineRule="auto"/>
            </w:pPr>
            <w:r>
              <w:rPr>
                <w:sz w:val="18"/>
              </w:rPr>
              <w:t>React 19 and TypeScript staff interface, built by Vite and served as static files by the API.</w:t>
            </w:r>
          </w:p>
        </w:tc>
        <w:tc>
          <w:tcPr>
            <w:tcW w:w="3140" w:type="dxa"/>
            <w:tcMar>
              <w:top w:w="80" w:type="dxa"/>
              <w:left w:w="120" w:type="dxa"/>
              <w:bottom w:w="80" w:type="dxa"/>
              <w:right w:w="120" w:type="dxa"/>
            </w:tcMar>
            <w:vAlign w:val="center"/>
          </w:tcPr>
          <w:p w14:paraId="105B0424" w14:textId="77777777">
            <w:pPr>
              <w:spacing w:after="0" w:line="269" w:lineRule="auto"/>
            </w:pPr>
            <w:r>
              <w:rPr>
                <w:sz w:val="18"/>
              </w:rPr>
              <w:t>apps/web</w:t>
            </w:r>
          </w:p>
        </w:tc>
      </w:tr>
      <w:tr w14:paraId="00B19E10" w14:textId="77777777">
        <w:trPr>
          <w:cantSplit/>
        </w:trPr>
        <w:tc>
          <w:tcPr>
            <w:tcW w:w="1800" w:type="dxa"/>
            <w:tcMar>
              <w:top w:w="80" w:type="dxa"/>
              <w:left w:w="120" w:type="dxa"/>
              <w:bottom w:w="80" w:type="dxa"/>
              <w:right w:w="120" w:type="dxa"/>
            </w:tcMar>
            <w:vAlign w:val="center"/>
          </w:tcPr>
          <w:p w14:paraId="24DFFE92" w14:textId="77777777">
            <w:pPr>
              <w:spacing w:after="0" w:line="269" w:lineRule="auto"/>
            </w:pPr>
            <w:r>
              <w:rPr>
                <w:sz w:val="18"/>
              </w:rPr>
              <w:t>API</w:t>
            </w:r>
          </w:p>
        </w:tc>
        <w:tc>
          <w:tcPr>
            <w:tcW w:w="4420" w:type="dxa"/>
            <w:tcMar>
              <w:top w:w="80" w:type="dxa"/>
              <w:left w:w="120" w:type="dxa"/>
              <w:bottom w:w="80" w:type="dxa"/>
              <w:right w:w="120" w:type="dxa"/>
            </w:tcMar>
            <w:vAlign w:val="center"/>
          </w:tcPr>
          <w:p w14:paraId="4035F63D" w14:textId="77777777">
            <w:pPr>
              <w:spacing w:after="0" w:line="269" w:lineRule="auto"/>
            </w:pPr>
            <w:r>
              <w:rPr>
                <w:sz w:val="18"/>
              </w:rPr>
              <w:t>ASP.NET Core .NET 10 service enforcing identity, permissions, workflow rules, audit and reporting.</w:t>
            </w:r>
          </w:p>
        </w:tc>
        <w:tc>
          <w:tcPr>
            <w:tcW w:w="3140" w:type="dxa"/>
            <w:tcMar>
              <w:top w:w="80" w:type="dxa"/>
              <w:left w:w="120" w:type="dxa"/>
              <w:bottom w:w="80" w:type="dxa"/>
              <w:right w:w="120" w:type="dxa"/>
            </w:tcMar>
            <w:vAlign w:val="center"/>
          </w:tcPr>
          <w:p w14:paraId="71345BC6" w14:textId="77777777">
            <w:pPr>
              <w:spacing w:after="0" w:line="269" w:lineRule="auto"/>
            </w:pPr>
            <w:r>
              <w:rPr>
                <w:sz w:val="18"/>
              </w:rPr>
              <w:t>apps/api</w:t>
            </w:r>
          </w:p>
        </w:tc>
      </w:tr>
      <w:tr w14:paraId="523674B3" w14:textId="77777777">
        <w:trPr>
          <w:cantSplit/>
        </w:trPr>
        <w:tc>
          <w:tcPr>
            <w:tcW w:w="1800" w:type="dxa"/>
            <w:tcMar>
              <w:top w:w="80" w:type="dxa"/>
              <w:left w:w="120" w:type="dxa"/>
              <w:bottom w:w="80" w:type="dxa"/>
              <w:right w:w="120" w:type="dxa"/>
            </w:tcMar>
            <w:vAlign w:val="center"/>
          </w:tcPr>
          <w:p w14:paraId="39098B47" w14:textId="77777777">
            <w:pPr>
              <w:spacing w:after="0" w:line="269" w:lineRule="auto"/>
            </w:pPr>
            <w:r>
              <w:rPr>
                <w:sz w:val="18"/>
              </w:rPr>
              <w:t>Database</w:t>
            </w:r>
          </w:p>
        </w:tc>
        <w:tc>
          <w:tcPr>
            <w:tcW w:w="4420" w:type="dxa"/>
            <w:tcMar>
              <w:top w:w="80" w:type="dxa"/>
              <w:left w:w="120" w:type="dxa"/>
              <w:bottom w:w="80" w:type="dxa"/>
              <w:right w:w="120" w:type="dxa"/>
            </w:tcMar>
            <w:vAlign w:val="center"/>
          </w:tcPr>
          <w:p w14:paraId="3E30F6DD" w14:textId="77777777">
            <w:pPr>
              <w:spacing w:after="0" w:line="269" w:lineRule="auto"/>
            </w:pPr>
            <w:r>
              <w:rPr>
                <w:sz w:val="18"/>
              </w:rPr>
              <w:t>Azure SQL / SQL Server schemas, reference data, versioned forms, staff records, evidence, actions and audit history.</w:t>
            </w:r>
          </w:p>
        </w:tc>
        <w:tc>
          <w:tcPr>
            <w:tcW w:w="3140" w:type="dxa"/>
            <w:tcMar>
              <w:top w:w="80" w:type="dxa"/>
              <w:left w:w="120" w:type="dxa"/>
              <w:bottom w:w="80" w:type="dxa"/>
              <w:right w:w="120" w:type="dxa"/>
            </w:tcMar>
            <w:vAlign w:val="center"/>
          </w:tcPr>
          <w:p w14:paraId="777B59F1" w14:textId="77777777">
            <w:pPr>
              <w:spacing w:after="0" w:line="269" w:lineRule="auto"/>
            </w:pPr>
            <w:r>
              <w:rPr>
                <w:sz w:val="18"/>
              </w:rPr>
              <w:t>database</w:t>
            </w:r>
          </w:p>
        </w:tc>
      </w:tr>
      <w:tr w14:paraId="2735D510" w14:textId="77777777">
        <w:trPr>
          <w:cantSplit/>
        </w:trPr>
        <w:tc>
          <w:tcPr>
            <w:tcW w:w="1800" w:type="dxa"/>
            <w:tcMar>
              <w:top w:w="80" w:type="dxa"/>
              <w:left w:w="120" w:type="dxa"/>
              <w:bottom w:w="80" w:type="dxa"/>
              <w:right w:w="120" w:type="dxa"/>
            </w:tcMar>
            <w:vAlign w:val="center"/>
          </w:tcPr>
          <w:p w14:paraId="0E27E480" w14:textId="77777777">
            <w:pPr>
              <w:spacing w:after="0" w:line="269" w:lineRule="auto"/>
            </w:pPr>
            <w:r>
              <w:rPr>
                <w:sz w:val="18"/>
              </w:rPr>
              <w:t>Infrastructure</w:t>
            </w:r>
          </w:p>
        </w:tc>
        <w:tc>
          <w:tcPr>
            <w:tcW w:w="4420" w:type="dxa"/>
            <w:tcMar>
              <w:top w:w="80" w:type="dxa"/>
              <w:left w:w="120" w:type="dxa"/>
              <w:bottom w:w="80" w:type="dxa"/>
              <w:right w:w="120" w:type="dxa"/>
            </w:tcMar>
            <w:vAlign w:val="center"/>
          </w:tcPr>
          <w:p w14:paraId="2B75C470" w14:textId="77777777">
            <w:pPr>
              <w:spacing w:after="0" w:line="269" w:lineRule="auto"/>
            </w:pPr>
            <w:r>
              <w:rPr>
                <w:sz w:val="18"/>
              </w:rPr>
              <w:t>Bicep definition for the Azure resource group and managed production services.</w:t>
            </w:r>
          </w:p>
        </w:tc>
        <w:tc>
          <w:tcPr>
            <w:tcW w:w="3140" w:type="dxa"/>
            <w:tcMar>
              <w:top w:w="80" w:type="dxa"/>
              <w:left w:w="120" w:type="dxa"/>
              <w:bottom w:w="80" w:type="dxa"/>
              <w:right w:w="120" w:type="dxa"/>
            </w:tcMar>
            <w:vAlign w:val="center"/>
          </w:tcPr>
          <w:p w14:paraId="5FFDD088" w14:textId="77777777">
            <w:pPr>
              <w:spacing w:after="0" w:line="269" w:lineRule="auto"/>
            </w:pPr>
            <w:r>
              <w:rPr>
                <w:sz w:val="18"/>
              </w:rPr>
              <w:t>infrastructure/azure</w:t>
            </w:r>
          </w:p>
        </w:tc>
      </w:tr>
      <w:tr w14:paraId="1BB3CB79" w14:textId="77777777">
        <w:trPr>
          <w:cantSplit/>
        </w:trPr>
        <w:tc>
          <w:tcPr>
            <w:tcW w:w="1800" w:type="dxa"/>
            <w:tcMar>
              <w:top w:w="80" w:type="dxa"/>
              <w:left w:w="120" w:type="dxa"/>
              <w:bottom w:w="80" w:type="dxa"/>
              <w:right w:w="120" w:type="dxa"/>
            </w:tcMar>
            <w:vAlign w:val="center"/>
          </w:tcPr>
          <w:p w14:paraId="573B909E" w14:textId="77777777">
            <w:pPr>
              <w:spacing w:after="0" w:line="269" w:lineRule="auto"/>
            </w:pPr>
            <w:r>
              <w:rPr>
                <w:sz w:val="18"/>
              </w:rPr>
              <w:t>Release tooling</w:t>
            </w:r>
          </w:p>
        </w:tc>
        <w:tc>
          <w:tcPr>
            <w:tcW w:w="4420" w:type="dxa"/>
            <w:tcMar>
              <w:top w:w="80" w:type="dxa"/>
              <w:left w:w="120" w:type="dxa"/>
              <w:bottom w:w="80" w:type="dxa"/>
              <w:right w:w="120" w:type="dxa"/>
            </w:tcMar>
            <w:vAlign w:val="center"/>
          </w:tcPr>
          <w:p w14:paraId="2327D405" w14:textId="77777777">
            <w:pPr>
              <w:spacing w:after="0" w:line="269" w:lineRule="auto"/>
            </w:pPr>
            <w:r>
              <w:rPr>
                <w:sz w:val="18"/>
              </w:rPr>
              <w:t>Verification, packaging, migration, deployment, bootstrap and rollback scripts.</w:t>
            </w:r>
          </w:p>
        </w:tc>
        <w:tc>
          <w:tcPr>
            <w:tcW w:w="3140" w:type="dxa"/>
            <w:tcMar>
              <w:top w:w="80" w:type="dxa"/>
              <w:left w:w="120" w:type="dxa"/>
              <w:bottom w:w="80" w:type="dxa"/>
              <w:right w:w="120" w:type="dxa"/>
            </w:tcMar>
            <w:vAlign w:val="center"/>
          </w:tcPr>
          <w:p w14:paraId="49FD7665" w14:textId="77777777">
            <w:pPr>
              <w:spacing w:after="0" w:line="269" w:lineRule="auto"/>
            </w:pPr>
            <w:r>
              <w:rPr>
                <w:sz w:val="18"/>
              </w:rPr>
              <w:t>scripts</w:t>
            </w:r>
          </w:p>
        </w:tc>
      </w:tr>
      <w:tr w14:paraId="3BCD56A3" w14:textId="77777777">
        <w:trPr>
          <w:cantSplit/>
        </w:trPr>
        <w:tc>
          <w:tcPr>
            <w:tcW w:w="1800" w:type="dxa"/>
            <w:tcMar>
              <w:top w:w="80" w:type="dxa"/>
              <w:left w:w="120" w:type="dxa"/>
              <w:bottom w:w="80" w:type="dxa"/>
              <w:right w:w="120" w:type="dxa"/>
            </w:tcMar>
            <w:vAlign w:val="center"/>
          </w:tcPr>
          <w:p w14:paraId="5B919F12" w14:textId="77777777">
            <w:pPr>
              <w:spacing w:after="0" w:line="269" w:lineRule="auto"/>
            </w:pPr>
            <w:r>
              <w:rPr>
                <w:sz w:val="18"/>
              </w:rPr>
              <w:t>Automated checks</w:t>
            </w:r>
          </w:p>
        </w:tc>
        <w:tc>
          <w:tcPr>
            <w:tcW w:w="4420" w:type="dxa"/>
            <w:tcMar>
              <w:top w:w="80" w:type="dxa"/>
              <w:left w:w="120" w:type="dxa"/>
              <w:bottom w:w="80" w:type="dxa"/>
              <w:right w:w="120" w:type="dxa"/>
            </w:tcMar>
            <w:vAlign w:val="center"/>
          </w:tcPr>
          <w:p w14:paraId="7C9065A1" w14:textId="77777777">
            <w:pPr>
              <w:spacing w:after="0" w:line="269" w:lineRule="auto"/>
            </w:pPr>
            <w:r>
              <w:rPr>
                <w:sz w:val="18"/>
              </w:rPr>
              <w:t>API, access-control, workflow, reporting and frontend build tests.</w:t>
            </w:r>
          </w:p>
        </w:tc>
        <w:tc>
          <w:tcPr>
            <w:tcW w:w="3140" w:type="dxa"/>
            <w:tcMar>
              <w:top w:w="80" w:type="dxa"/>
              <w:left w:w="120" w:type="dxa"/>
              <w:bottom w:w="80" w:type="dxa"/>
              <w:right w:w="120" w:type="dxa"/>
            </w:tcMar>
            <w:vAlign w:val="center"/>
          </w:tcPr>
          <w:p w14:paraId="4A97C780" w14:textId="77777777">
            <w:pPr>
              <w:spacing w:after="0" w:line="269" w:lineRule="auto"/>
            </w:pPr>
            <w:r>
              <w:rPr>
                <w:sz w:val="18"/>
              </w:rPr>
              <w:t>tests and .github/workflows</w:t>
            </w:r>
          </w:p>
        </w:tc>
      </w:tr>
    </w:tbl>
    <w:p w14:paraId="4F817C96" w14:textId="77777777">
      <w:pPr>
        <w:spacing w:after="20"/>
      </w:pPr>
    </w:p>
    <w:p w14:paraId="35956A5F" w14:textId="77777777">
      <w:pPr>
        <w:pStyle w:val="Heading2"/>
      </w:pPr>
      <w:r>
        <w:t>Azure request path</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00"/>
        <w:gridCol w:w="2200"/>
        <w:gridCol w:w="5260"/>
      </w:tblGrid>
      <w:tr w14:paraId="1E5AE2B1" w14:textId="77777777">
        <w:trPr>
          <w:cantSplit/>
          <w:tblHeader/>
        </w:trPr>
        <w:tc>
          <w:tcPr>
            <w:tcW w:w="1900" w:type="dxa"/>
            <w:shd w:val="clear" w:color="auto" w:fill="E8EEF5"/>
            <w:tcMar>
              <w:top w:w="80" w:type="dxa"/>
              <w:left w:w="120" w:type="dxa"/>
              <w:bottom w:w="80" w:type="dxa"/>
              <w:right w:w="120" w:type="dxa"/>
            </w:tcMar>
            <w:vAlign w:val="center"/>
          </w:tcPr>
          <w:p w14:paraId="401E9D39" w14:textId="77777777">
            <w:pPr>
              <w:spacing w:after="0"/>
            </w:pPr>
            <w:r>
              <w:rPr>
                <w:b/>
                <w:color w:val="0B2545"/>
                <w:sz w:val="19"/>
              </w:rPr>
              <w:t>From</w:t>
            </w:r>
          </w:p>
        </w:tc>
        <w:tc>
          <w:tcPr>
            <w:tcW w:w="2200" w:type="dxa"/>
            <w:shd w:val="clear" w:color="auto" w:fill="E8EEF5"/>
            <w:tcMar>
              <w:top w:w="80" w:type="dxa"/>
              <w:left w:w="120" w:type="dxa"/>
              <w:bottom w:w="80" w:type="dxa"/>
              <w:right w:w="120" w:type="dxa"/>
            </w:tcMar>
            <w:vAlign w:val="center"/>
          </w:tcPr>
          <w:p w14:paraId="71825DF5" w14:textId="77777777">
            <w:pPr>
              <w:spacing w:after="0"/>
            </w:pPr>
            <w:r>
              <w:rPr>
                <w:b/>
                <w:color w:val="0B2545"/>
                <w:sz w:val="19"/>
              </w:rPr>
              <w:t>To</w:t>
            </w:r>
          </w:p>
        </w:tc>
        <w:tc>
          <w:tcPr>
            <w:tcW w:w="5260" w:type="dxa"/>
            <w:shd w:val="clear" w:color="auto" w:fill="E8EEF5"/>
            <w:tcMar>
              <w:top w:w="80" w:type="dxa"/>
              <w:left w:w="120" w:type="dxa"/>
              <w:bottom w:w="80" w:type="dxa"/>
              <w:right w:w="120" w:type="dxa"/>
            </w:tcMar>
            <w:vAlign w:val="center"/>
          </w:tcPr>
          <w:p w14:paraId="315B806F" w14:textId="77777777">
            <w:pPr>
              <w:spacing w:after="0"/>
            </w:pPr>
            <w:r>
              <w:rPr>
                <w:b/>
                <w:color w:val="0B2545"/>
                <w:sz w:val="19"/>
              </w:rPr>
              <w:t>Protection / purpose</w:t>
            </w:r>
          </w:p>
        </w:tc>
      </w:tr>
      <w:tr w14:paraId="40B30987" w14:textId="77777777">
        <w:trPr>
          <w:cantSplit/>
        </w:trPr>
        <w:tc>
          <w:tcPr>
            <w:tcW w:w="1900" w:type="dxa"/>
            <w:tcMar>
              <w:top w:w="80" w:type="dxa"/>
              <w:left w:w="120" w:type="dxa"/>
              <w:bottom w:w="80" w:type="dxa"/>
              <w:right w:w="120" w:type="dxa"/>
            </w:tcMar>
            <w:vAlign w:val="center"/>
          </w:tcPr>
          <w:p w14:paraId="1FB754E7" w14:textId="77777777">
            <w:pPr>
              <w:spacing w:after="0" w:line="269" w:lineRule="auto"/>
            </w:pPr>
            <w:r>
              <w:rPr>
                <w:sz w:val="18"/>
              </w:rPr>
              <w:t>Staff browser</w:t>
            </w:r>
          </w:p>
        </w:tc>
        <w:tc>
          <w:tcPr>
            <w:tcW w:w="2200" w:type="dxa"/>
            <w:tcMar>
              <w:top w:w="80" w:type="dxa"/>
              <w:left w:w="120" w:type="dxa"/>
              <w:bottom w:w="80" w:type="dxa"/>
              <w:right w:w="120" w:type="dxa"/>
            </w:tcMar>
            <w:vAlign w:val="center"/>
          </w:tcPr>
          <w:p w14:paraId="5740E906" w14:textId="77777777">
            <w:pPr>
              <w:spacing w:after="0" w:line="269" w:lineRule="auto"/>
            </w:pPr>
            <w:r>
              <w:rPr>
                <w:sz w:val="18"/>
              </w:rPr>
              <w:t>Microsoft Entra ID</w:t>
            </w:r>
          </w:p>
        </w:tc>
        <w:tc>
          <w:tcPr>
            <w:tcW w:w="5260" w:type="dxa"/>
            <w:tcMar>
              <w:top w:w="80" w:type="dxa"/>
              <w:left w:w="120" w:type="dxa"/>
              <w:bottom w:w="80" w:type="dxa"/>
              <w:right w:w="120" w:type="dxa"/>
            </w:tcMar>
            <w:vAlign w:val="center"/>
          </w:tcPr>
          <w:p w14:paraId="7038737A" w14:textId="77777777">
            <w:pPr>
              <w:spacing w:after="0" w:line="269" w:lineRule="auto"/>
            </w:pPr>
            <w:r>
              <w:rPr>
                <w:sz w:val="18"/>
              </w:rPr>
              <w:t>College sign-in, MFA and Conditional Access; browser obtains an access token.</w:t>
            </w:r>
          </w:p>
        </w:tc>
      </w:tr>
      <w:tr w14:paraId="328BE7C8" w14:textId="77777777">
        <w:trPr>
          <w:cantSplit/>
        </w:trPr>
        <w:tc>
          <w:tcPr>
            <w:tcW w:w="1900" w:type="dxa"/>
            <w:tcMar>
              <w:top w:w="80" w:type="dxa"/>
              <w:left w:w="120" w:type="dxa"/>
              <w:bottom w:w="80" w:type="dxa"/>
              <w:right w:w="120" w:type="dxa"/>
            </w:tcMar>
            <w:vAlign w:val="center"/>
          </w:tcPr>
          <w:p w14:paraId="2F8163C6" w14:textId="77777777">
            <w:pPr>
              <w:spacing w:after="0" w:line="269" w:lineRule="auto"/>
            </w:pPr>
            <w:r>
              <w:rPr>
                <w:sz w:val="18"/>
              </w:rPr>
              <w:t>Staff browser</w:t>
            </w:r>
          </w:p>
        </w:tc>
        <w:tc>
          <w:tcPr>
            <w:tcW w:w="2200" w:type="dxa"/>
            <w:tcMar>
              <w:top w:w="80" w:type="dxa"/>
              <w:left w:w="120" w:type="dxa"/>
              <w:bottom w:w="80" w:type="dxa"/>
              <w:right w:w="120" w:type="dxa"/>
            </w:tcMar>
            <w:vAlign w:val="center"/>
          </w:tcPr>
          <w:p w14:paraId="11DD73B5" w14:textId="77777777">
            <w:pPr>
              <w:spacing w:after="0" w:line="269" w:lineRule="auto"/>
            </w:pPr>
            <w:r>
              <w:rPr>
                <w:sz w:val="18"/>
              </w:rPr>
              <w:t>Linux App Service</w:t>
            </w:r>
          </w:p>
        </w:tc>
        <w:tc>
          <w:tcPr>
            <w:tcW w:w="5260" w:type="dxa"/>
            <w:tcMar>
              <w:top w:w="80" w:type="dxa"/>
              <w:left w:w="120" w:type="dxa"/>
              <w:bottom w:w="80" w:type="dxa"/>
              <w:right w:w="120" w:type="dxa"/>
            </w:tcMar>
            <w:vAlign w:val="center"/>
          </w:tcPr>
          <w:p w14:paraId="77AC92E2" w14:textId="77777777">
            <w:pPr>
              <w:spacing w:after="0" w:line="269" w:lineRule="auto"/>
            </w:pPr>
            <w:r>
              <w:rPr>
                <w:sz w:val="18"/>
              </w:rPr>
              <w:t>HTTPS only. The same host serves the UI and /api/v1 endpoints.</w:t>
            </w:r>
          </w:p>
        </w:tc>
      </w:tr>
      <w:tr w14:paraId="015E74CC" w14:textId="77777777">
        <w:trPr>
          <w:cantSplit/>
        </w:trPr>
        <w:tc>
          <w:tcPr>
            <w:tcW w:w="1900" w:type="dxa"/>
            <w:tcMar>
              <w:top w:w="80" w:type="dxa"/>
              <w:left w:w="120" w:type="dxa"/>
              <w:bottom w:w="80" w:type="dxa"/>
              <w:right w:w="120" w:type="dxa"/>
            </w:tcMar>
            <w:vAlign w:val="center"/>
          </w:tcPr>
          <w:p w14:paraId="3C47AAEA" w14:textId="77777777">
            <w:pPr>
              <w:spacing w:after="0" w:line="269" w:lineRule="auto"/>
            </w:pPr>
            <w:r>
              <w:rPr>
                <w:sz w:val="18"/>
              </w:rPr>
              <w:t>App Service</w:t>
            </w:r>
          </w:p>
        </w:tc>
        <w:tc>
          <w:tcPr>
            <w:tcW w:w="2200" w:type="dxa"/>
            <w:tcMar>
              <w:top w:w="80" w:type="dxa"/>
              <w:left w:w="120" w:type="dxa"/>
              <w:bottom w:w="80" w:type="dxa"/>
              <w:right w:w="120" w:type="dxa"/>
            </w:tcMar>
            <w:vAlign w:val="center"/>
          </w:tcPr>
          <w:p w14:paraId="2474A2E2" w14:textId="77777777">
            <w:pPr>
              <w:spacing w:after="0" w:line="269" w:lineRule="auto"/>
            </w:pPr>
            <w:r>
              <w:rPr>
                <w:sz w:val="18"/>
              </w:rPr>
              <w:t>Azure SQL Database</w:t>
            </w:r>
          </w:p>
        </w:tc>
        <w:tc>
          <w:tcPr>
            <w:tcW w:w="5260" w:type="dxa"/>
            <w:tcMar>
              <w:top w:w="80" w:type="dxa"/>
              <w:left w:w="120" w:type="dxa"/>
              <w:bottom w:w="80" w:type="dxa"/>
              <w:right w:w="120" w:type="dxa"/>
            </w:tcMar>
            <w:vAlign w:val="center"/>
          </w:tcPr>
          <w:p w14:paraId="299983B5" w14:textId="77777777">
            <w:pPr>
              <w:spacing w:after="0" w:line="269" w:lineRule="auto"/>
            </w:pPr>
            <w:r>
              <w:rPr>
                <w:sz w:val="18"/>
              </w:rPr>
              <w:t>System-assigned managed identity with least-privilege database membership.</w:t>
            </w:r>
          </w:p>
        </w:tc>
      </w:tr>
      <w:tr w14:paraId="5056A114" w14:textId="77777777">
        <w:trPr>
          <w:cantSplit/>
        </w:trPr>
        <w:tc>
          <w:tcPr>
            <w:tcW w:w="1900" w:type="dxa"/>
            <w:tcMar>
              <w:top w:w="80" w:type="dxa"/>
              <w:left w:w="120" w:type="dxa"/>
              <w:bottom w:w="80" w:type="dxa"/>
              <w:right w:w="120" w:type="dxa"/>
            </w:tcMar>
            <w:vAlign w:val="center"/>
          </w:tcPr>
          <w:p w14:paraId="1FB378DF" w14:textId="77777777">
            <w:pPr>
              <w:spacing w:after="0" w:line="269" w:lineRule="auto"/>
            </w:pPr>
            <w:r>
              <w:rPr>
                <w:sz w:val="18"/>
              </w:rPr>
              <w:t>App Service</w:t>
            </w:r>
          </w:p>
        </w:tc>
        <w:tc>
          <w:tcPr>
            <w:tcW w:w="2200" w:type="dxa"/>
            <w:tcMar>
              <w:top w:w="80" w:type="dxa"/>
              <w:left w:w="120" w:type="dxa"/>
              <w:bottom w:w="80" w:type="dxa"/>
              <w:right w:w="120" w:type="dxa"/>
            </w:tcMar>
            <w:vAlign w:val="center"/>
          </w:tcPr>
          <w:p w14:paraId="4330D6C8" w14:textId="77777777">
            <w:pPr>
              <w:spacing w:after="0" w:line="269" w:lineRule="auto"/>
            </w:pPr>
            <w:r>
              <w:rPr>
                <w:sz w:val="18"/>
              </w:rPr>
              <w:t>Blob Storage</w:t>
            </w:r>
          </w:p>
        </w:tc>
        <w:tc>
          <w:tcPr>
            <w:tcW w:w="5260" w:type="dxa"/>
            <w:tcMar>
              <w:top w:w="80" w:type="dxa"/>
              <w:left w:w="120" w:type="dxa"/>
              <w:bottom w:w="80" w:type="dxa"/>
              <w:right w:w="120" w:type="dxa"/>
            </w:tcMar>
            <w:vAlign w:val="center"/>
          </w:tcPr>
          <w:p w14:paraId="43AC9ED8" w14:textId="77777777">
            <w:pPr>
              <w:spacing w:after="0" w:line="269" w:lineRule="auto"/>
            </w:pPr>
            <w:r>
              <w:rPr>
                <w:sz w:val="18"/>
              </w:rPr>
              <w:t>Stores ASP.NET Core data-protection keys; OAuth/RBAC, no shared account key.</w:t>
            </w:r>
          </w:p>
        </w:tc>
      </w:tr>
      <w:tr w14:paraId="5F5C76EC" w14:textId="77777777">
        <w:trPr>
          <w:cantSplit/>
        </w:trPr>
        <w:tc>
          <w:tcPr>
            <w:tcW w:w="1900" w:type="dxa"/>
            <w:tcMar>
              <w:top w:w="80" w:type="dxa"/>
              <w:left w:w="120" w:type="dxa"/>
              <w:bottom w:w="80" w:type="dxa"/>
              <w:right w:w="120" w:type="dxa"/>
            </w:tcMar>
            <w:vAlign w:val="center"/>
          </w:tcPr>
          <w:p w14:paraId="266E6996" w14:textId="77777777">
            <w:pPr>
              <w:spacing w:after="0" w:line="269" w:lineRule="auto"/>
            </w:pPr>
            <w:r>
              <w:rPr>
                <w:sz w:val="18"/>
              </w:rPr>
              <w:t>App Service</w:t>
            </w:r>
          </w:p>
        </w:tc>
        <w:tc>
          <w:tcPr>
            <w:tcW w:w="2200" w:type="dxa"/>
            <w:tcMar>
              <w:top w:w="80" w:type="dxa"/>
              <w:left w:w="120" w:type="dxa"/>
              <w:bottom w:w="80" w:type="dxa"/>
              <w:right w:w="120" w:type="dxa"/>
            </w:tcMar>
            <w:vAlign w:val="center"/>
          </w:tcPr>
          <w:p w14:paraId="74D579DA" w14:textId="77777777">
            <w:pPr>
              <w:spacing w:after="0" w:line="269" w:lineRule="auto"/>
            </w:pPr>
            <w:r>
              <w:rPr>
                <w:sz w:val="18"/>
              </w:rPr>
              <w:t>Key Vault</w:t>
            </w:r>
          </w:p>
        </w:tc>
        <w:tc>
          <w:tcPr>
            <w:tcW w:w="5260" w:type="dxa"/>
            <w:tcMar>
              <w:top w:w="80" w:type="dxa"/>
              <w:left w:w="120" w:type="dxa"/>
              <w:bottom w:w="80" w:type="dxa"/>
              <w:right w:w="120" w:type="dxa"/>
            </w:tcMar>
            <w:vAlign w:val="center"/>
          </w:tcPr>
          <w:p w14:paraId="3CB0A2A5" w14:textId="77777777">
            <w:pPr>
              <w:spacing w:after="0" w:line="269" w:lineRule="auto"/>
            </w:pPr>
            <w:r>
              <w:rPr>
                <w:sz w:val="18"/>
              </w:rPr>
              <w:t>Wraps the data-protection key material; managed identity has Crypto User rights.</w:t>
            </w:r>
          </w:p>
        </w:tc>
      </w:tr>
      <w:tr w14:paraId="309EE9DE" w14:textId="77777777">
        <w:trPr>
          <w:cantSplit/>
        </w:trPr>
        <w:tc>
          <w:tcPr>
            <w:tcW w:w="1900" w:type="dxa"/>
            <w:tcMar>
              <w:top w:w="80" w:type="dxa"/>
              <w:left w:w="120" w:type="dxa"/>
              <w:bottom w:w="80" w:type="dxa"/>
              <w:right w:w="120" w:type="dxa"/>
            </w:tcMar>
            <w:vAlign w:val="center"/>
          </w:tcPr>
          <w:p w14:paraId="794B138C" w14:textId="77777777">
            <w:pPr>
              <w:spacing w:after="0" w:line="269" w:lineRule="auto"/>
            </w:pPr>
            <w:r>
              <w:rPr>
                <w:sz w:val="18"/>
              </w:rPr>
              <w:t>App Service</w:t>
            </w:r>
          </w:p>
        </w:tc>
        <w:tc>
          <w:tcPr>
            <w:tcW w:w="2200" w:type="dxa"/>
            <w:tcMar>
              <w:top w:w="80" w:type="dxa"/>
              <w:left w:w="120" w:type="dxa"/>
              <w:bottom w:w="80" w:type="dxa"/>
              <w:right w:w="120" w:type="dxa"/>
            </w:tcMar>
            <w:vAlign w:val="center"/>
          </w:tcPr>
          <w:p w14:paraId="5039DD91" w14:textId="77777777">
            <w:pPr>
              <w:spacing w:after="0" w:line="269" w:lineRule="auto"/>
            </w:pPr>
            <w:r>
              <w:rPr>
                <w:sz w:val="18"/>
              </w:rPr>
              <w:t>Application Insights</w:t>
            </w:r>
          </w:p>
        </w:tc>
        <w:tc>
          <w:tcPr>
            <w:tcW w:w="5260" w:type="dxa"/>
            <w:tcMar>
              <w:top w:w="80" w:type="dxa"/>
              <w:left w:w="120" w:type="dxa"/>
              <w:bottom w:w="80" w:type="dxa"/>
              <w:right w:w="120" w:type="dxa"/>
            </w:tcMar>
            <w:vAlign w:val="center"/>
          </w:tcPr>
          <w:p w14:paraId="56F5D951" w14:textId="77777777">
            <w:pPr>
              <w:spacing w:after="0" w:line="269" w:lineRule="auto"/>
            </w:pPr>
            <w:r>
              <w:rPr>
                <w:sz w:val="18"/>
              </w:rPr>
              <w:t>Operational telemetry and traces to a 30-day Log Analytics workspace.</w:t>
            </w:r>
          </w:p>
        </w:tc>
      </w:tr>
    </w:tbl>
    <w:p w14:paraId="5B7EC3A3" w14:textId="77777777">
      <w:pPr>
        <w:spacing w:after="20"/>
      </w:pPr>
    </w:p>
    <w:p w14:paraId="292423D3" w14:textId="77777777">
      <w:pPr>
        <w:pStyle w:val="Heading2"/>
      </w:pPr>
      <w:r>
        <w:lastRenderedPageBreak/>
        <w:t>Important application behaviour</w:t>
      </w:r>
    </w:p>
    <w:p w14:paraId="6A7F26CC" w14:textId="77777777">
      <w:pPr>
        <w:numPr>
          <w:ilvl w:val="0"/>
          <w:numId w:val="4"/>
        </w:numPr>
      </w:pPr>
      <w:r>
        <w:t>The API—not menu visibility—is the security boundary. Direct API calls outside a user's permission or organisational scope must fail.</w:t>
      </w:r>
    </w:p>
    <w:p w14:paraId="2B005573" w14:textId="77777777">
      <w:pPr>
        <w:numPr>
          <w:ilvl w:val="0"/>
          <w:numId w:val="4"/>
        </w:numPr>
      </w:pPr>
      <w:r>
        <w:t>Microsoft Entra proves who the person is. Roles such as Admin, Teaching and Learning, Director, Head of Faculty, Programme Leader, QA Staff and Tutor are stored and enforced inside i-Elevate.</w:t>
      </w:r>
    </w:p>
    <w:p w14:paraId="46DAE17D" w14:textId="77777777">
      <w:pPr>
        <w:numPr>
          <w:ilvl w:val="0"/>
          <w:numId w:val="4"/>
        </w:numPr>
      </w:pPr>
      <w:r>
        <w:t>A first-time tenant user can complete controlled self-onboarding, but the initial application role is staff. Administrative roles and managed-unit leadership must be assigned and checked by authorised administrators.</w:t>
      </w:r>
    </w:p>
    <w:p w14:paraId="5609418A" w14:textId="77777777">
      <w:pPr>
        <w:numPr>
          <w:ilvl w:val="0"/>
          <w:numId w:val="4"/>
        </w:numPr>
      </w:pPr>
      <w:r>
        <w:t>The readiness endpoint /health/ready checks the database. /health/live confirms only that the application process is alive.</w:t>
      </w:r>
    </w:p>
    <w:p w14:paraId="3C242FC3" w14:textId="77777777">
      <w:pPr>
        <w:numPr>
          <w:ilvl w:val="0"/>
          <w:numId w:val="4"/>
        </w:numPr>
      </w:pPr>
      <w:r>
        <w:t>Form templates and QA questions are versioned so later edits do not rewrite historical submissions.</w:t>
      </w:r>
    </w:p>
    <w:tbl>
      <w:tblPr>
        <w:tblStyle w:val="TableGrid"/>
        <w:tblW w:w="9360" w:type="dxa"/>
        <w:tblInd w:w="120" w:type="dxa"/>
        <w:tblBorders>
          <w:top w:val="single" w:sz="8" w:space="0" w:color="2CB5A9"/>
          <w:left w:val="single" w:sz="8" w:space="0" w:color="2CB5A9"/>
          <w:bottom w:val="single" w:sz="8" w:space="0" w:color="2CB5A9"/>
          <w:right w:val="single" w:sz="8" w:space="0" w:color="2CB5A9"/>
          <w:insideH w:val="single" w:sz="8" w:space="0" w:color="2CB5A9"/>
          <w:insideV w:val="single" w:sz="8" w:space="0" w:color="2CB5A9"/>
        </w:tblBorders>
        <w:tblLayout w:type="fixed"/>
        <w:tblLook w:val="04A0" w:firstRow="1" w:lastRow="0" w:firstColumn="1" w:lastColumn="0" w:noHBand="0" w:noVBand="1"/>
      </w:tblPr>
      <w:tblGrid>
        <w:gridCol w:w="9360"/>
      </w:tblGrid>
      <w:tr w14:paraId="3FEC99AA" w14:textId="77777777">
        <w:trPr>
          <w:cantSplit/>
          <w:tblHeader/>
        </w:trPr>
        <w:tc>
          <w:tcPr>
            <w:tcW w:w="9360" w:type="dxa"/>
            <w:shd w:val="clear" w:color="auto" w:fill="E6F5F3"/>
            <w:tcMar>
              <w:top w:w="80" w:type="dxa"/>
              <w:left w:w="120" w:type="dxa"/>
              <w:bottom w:w="80" w:type="dxa"/>
              <w:right w:w="120" w:type="dxa"/>
            </w:tcMar>
            <w:vAlign w:val="center"/>
          </w:tcPr>
          <w:p w14:paraId="53492381" w14:textId="77777777">
            <w:pPr>
              <w:spacing w:after="60"/>
            </w:pPr>
            <w:r>
              <w:rPr>
                <w:b/>
                <w:color w:val="2CB5A9"/>
              </w:rPr>
              <w:t>Why Blob Storage and Key Vault exist</w:t>
            </w:r>
          </w:p>
          <w:p w14:paraId="37E3F9A2" w14:textId="77777777">
            <w:pPr>
              <w:spacing w:after="0"/>
            </w:pPr>
            <w:r>
              <w:rPr>
                <w:sz w:val="20"/>
              </w:rPr>
              <w:t>They are not evidence-file storage in this release. They preserve and encrypt ASP.NET Core data-protection keys so protected application values remain readable after restarts and future scale-out.</w:t>
            </w:r>
          </w:p>
        </w:tc>
      </w:tr>
    </w:tbl>
    <w:p w14:paraId="72CFD21E" w14:textId="77777777">
      <w:pPr>
        <w:spacing w:after="20"/>
      </w:pPr>
    </w:p>
    <w:p w14:paraId="29BCAE0E" w14:textId="77777777">
      <w:pPr>
        <w:pStyle w:val="SmallNote"/>
      </w:pPr>
      <w:r>
        <w:rPr>
          <w:b/>
        </w:rPr>
        <w:t xml:space="preserve">Repository reference: </w:t>
      </w:r>
      <w:r>
        <w:rPr>
          <w:rFonts w:ascii="Consolas" w:eastAsia="Consolas" w:hAnsi="Consolas"/>
          <w:color w:val="1F4D78"/>
          <w:sz w:val="17"/>
        </w:rPr>
        <w:t>apps/web/src/services/auth.ts</w:t>
      </w:r>
      <w:r>
        <w:t xml:space="preserve">  •  </w:t>
      </w:r>
      <w:r>
        <w:rPr>
          <w:rFonts w:ascii="Consolas" w:eastAsia="Consolas" w:hAnsi="Consolas"/>
          <w:color w:val="1F4D78"/>
          <w:sz w:val="17"/>
        </w:rPr>
        <w:t>apps/api/src/TLQS.Api/Program.cs</w:t>
      </w:r>
      <w:r>
        <w:t xml:space="preserve">  •  </w:t>
      </w:r>
      <w:r>
        <w:rPr>
          <w:rFonts w:ascii="Consolas" w:eastAsia="Consolas" w:hAnsi="Consolas"/>
          <w:color w:val="1F4D78"/>
          <w:sz w:val="17"/>
        </w:rPr>
        <w:t>infrastructure/azure/main.bicep</w:t>
      </w:r>
    </w:p>
    <w:p w14:paraId="466E0AF4" w14:textId="11D91272">
      <w:pPr>
        <w:pStyle w:val="SmallNote"/>
      </w:pPr>
      <w:r>
        <w:rPr>
          <w:b/>
        </w:rPr>
        <w:t xml:space="preserve">Microsoft/GitHub reference: </w:t>
      </w:r>
      <w:hyperlink r:id="rId8">
        <w:r>
          <w:rPr>
            <w:color w:val="1F4D78"/>
            <w:u w:val="single"/>
          </w:rPr>
          <w:t>Managed identities</w:t>
        </w:r>
      </w:hyperlink>
      <w:r>
        <w:t xml:space="preserve">  •  </w:t>
      </w:r>
      <w:hyperlink r:id="rId9">
        <w:r>
          <w:rPr>
            <w:color w:val="1F4D78"/>
            <w:u w:val="single"/>
          </w:rPr>
          <w:t>ASP.NET Core key storage providers</w:t>
        </w:r>
      </w:hyperlink>
    </w:p>
    <w:p w14:paraId="06A71181" w14:textId="77777777">
      <w:pPr>
        <w:pStyle w:val="Heading1"/>
      </w:pPr>
      <w:bookmarkStart w:id="4" w:name="decisions"/>
      <w:r>
        <w:lastRenderedPageBreak/>
        <w:t>3. Decisions, approvals and owners</w:t>
      </w:r>
      <w:bookmarkEnd w:id="4"/>
    </w:p>
    <w:p w14:paraId="525733B1" w14:textId="77777777">
      <w:pPr>
        <w:pStyle w:val="Heading2"/>
      </w:pPr>
      <w:r>
        <w:t>Name people, not just teams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050"/>
        <w:gridCol w:w="3550"/>
        <w:gridCol w:w="3760"/>
      </w:tblGrid>
      <w:tr w14:paraId="5C8D397A" w14:textId="77777777">
        <w:trPr>
          <w:cantSplit/>
          <w:tblHeader/>
        </w:trPr>
        <w:tc>
          <w:tcPr>
            <w:tcW w:w="2050" w:type="dxa"/>
            <w:shd w:val="clear" w:color="auto" w:fill="E8EEF5"/>
            <w:tcMar>
              <w:top w:w="80" w:type="dxa"/>
              <w:left w:w="120" w:type="dxa"/>
              <w:bottom w:w="80" w:type="dxa"/>
              <w:right w:w="120" w:type="dxa"/>
            </w:tcMar>
            <w:vAlign w:val="center"/>
          </w:tcPr>
          <w:p w14:paraId="7666DF1F" w14:textId="77777777">
            <w:pPr>
              <w:spacing w:after="0"/>
            </w:pPr>
            <w:r>
              <w:rPr>
                <w:b/>
                <w:color w:val="0B2545"/>
                <w:sz w:val="19"/>
              </w:rPr>
              <w:t>Responsibility</w:t>
            </w:r>
          </w:p>
        </w:tc>
        <w:tc>
          <w:tcPr>
            <w:tcW w:w="3550" w:type="dxa"/>
            <w:shd w:val="clear" w:color="auto" w:fill="E8EEF5"/>
            <w:tcMar>
              <w:top w:w="80" w:type="dxa"/>
              <w:left w:w="120" w:type="dxa"/>
              <w:bottom w:w="80" w:type="dxa"/>
              <w:right w:w="120" w:type="dxa"/>
            </w:tcMar>
            <w:vAlign w:val="center"/>
          </w:tcPr>
          <w:p w14:paraId="638A8F96" w14:textId="77777777">
            <w:pPr>
              <w:spacing w:after="0"/>
            </w:pPr>
            <w:r>
              <w:rPr>
                <w:b/>
                <w:color w:val="0B2545"/>
                <w:sz w:val="19"/>
              </w:rPr>
              <w:t>Minimum authority</w:t>
            </w:r>
          </w:p>
        </w:tc>
        <w:tc>
          <w:tcPr>
            <w:tcW w:w="3760" w:type="dxa"/>
            <w:shd w:val="clear" w:color="auto" w:fill="E8EEF5"/>
            <w:tcMar>
              <w:top w:w="80" w:type="dxa"/>
              <w:left w:w="120" w:type="dxa"/>
              <w:bottom w:w="80" w:type="dxa"/>
              <w:right w:w="120" w:type="dxa"/>
            </w:tcMar>
            <w:vAlign w:val="center"/>
          </w:tcPr>
          <w:p w14:paraId="55B359EA" w14:textId="77777777">
            <w:pPr>
              <w:spacing w:after="0"/>
            </w:pPr>
            <w:r>
              <w:rPr>
                <w:b/>
                <w:color w:val="0B2545"/>
                <w:sz w:val="19"/>
              </w:rPr>
              <w:t>Evidence to retain</w:t>
            </w:r>
          </w:p>
        </w:tc>
      </w:tr>
      <w:tr w14:paraId="108E3B7F" w14:textId="77777777">
        <w:trPr>
          <w:cantSplit/>
        </w:trPr>
        <w:tc>
          <w:tcPr>
            <w:tcW w:w="2050" w:type="dxa"/>
            <w:tcMar>
              <w:top w:w="80" w:type="dxa"/>
              <w:left w:w="120" w:type="dxa"/>
              <w:bottom w:w="80" w:type="dxa"/>
              <w:right w:w="120" w:type="dxa"/>
            </w:tcMar>
            <w:vAlign w:val="center"/>
          </w:tcPr>
          <w:p w14:paraId="30E2E47F" w14:textId="77777777">
            <w:pPr>
              <w:spacing w:after="0" w:line="269" w:lineRule="auto"/>
            </w:pPr>
            <w:r>
              <w:rPr>
                <w:sz w:val="18"/>
              </w:rPr>
              <w:t>Business/product owner</w:t>
            </w:r>
          </w:p>
        </w:tc>
        <w:tc>
          <w:tcPr>
            <w:tcW w:w="3550" w:type="dxa"/>
            <w:tcMar>
              <w:top w:w="80" w:type="dxa"/>
              <w:left w:w="120" w:type="dxa"/>
              <w:bottom w:w="80" w:type="dxa"/>
              <w:right w:w="120" w:type="dxa"/>
            </w:tcMar>
            <w:vAlign w:val="center"/>
          </w:tcPr>
          <w:p w14:paraId="0B64BA8D" w14:textId="77777777">
            <w:pPr>
              <w:spacing w:after="0" w:line="269" w:lineRule="auto"/>
            </w:pPr>
            <w:r>
              <w:rPr>
                <w:sz w:val="18"/>
              </w:rPr>
              <w:t>Teaching and Learning owner authorised to accept the service</w:t>
            </w:r>
          </w:p>
        </w:tc>
        <w:tc>
          <w:tcPr>
            <w:tcW w:w="3760" w:type="dxa"/>
            <w:tcMar>
              <w:top w:w="80" w:type="dxa"/>
              <w:left w:w="120" w:type="dxa"/>
              <w:bottom w:w="80" w:type="dxa"/>
              <w:right w:w="120" w:type="dxa"/>
            </w:tcMar>
            <w:vAlign w:val="center"/>
          </w:tcPr>
          <w:p w14:paraId="3255619B" w14:textId="77777777">
            <w:pPr>
              <w:spacing w:after="0" w:line="269" w:lineRule="auto"/>
            </w:pPr>
            <w:r>
              <w:rPr>
                <w:sz w:val="18"/>
              </w:rPr>
              <w:t>Signed acceptance and prioritised support route</w:t>
            </w:r>
          </w:p>
        </w:tc>
      </w:tr>
      <w:tr w14:paraId="3357B715" w14:textId="77777777">
        <w:trPr>
          <w:cantSplit/>
        </w:trPr>
        <w:tc>
          <w:tcPr>
            <w:tcW w:w="2050" w:type="dxa"/>
            <w:tcMar>
              <w:top w:w="80" w:type="dxa"/>
              <w:left w:w="120" w:type="dxa"/>
              <w:bottom w:w="80" w:type="dxa"/>
              <w:right w:w="120" w:type="dxa"/>
            </w:tcMar>
            <w:vAlign w:val="center"/>
          </w:tcPr>
          <w:p w14:paraId="3B8D35DA" w14:textId="77777777">
            <w:pPr>
              <w:spacing w:after="0" w:line="269" w:lineRule="auto"/>
            </w:pPr>
            <w:r>
              <w:rPr>
                <w:sz w:val="18"/>
              </w:rPr>
              <w:t>Technical service owner</w:t>
            </w:r>
          </w:p>
        </w:tc>
        <w:tc>
          <w:tcPr>
            <w:tcW w:w="3550" w:type="dxa"/>
            <w:tcMar>
              <w:top w:w="80" w:type="dxa"/>
              <w:left w:w="120" w:type="dxa"/>
              <w:bottom w:w="80" w:type="dxa"/>
              <w:right w:w="120" w:type="dxa"/>
            </w:tcMar>
            <w:vAlign w:val="center"/>
          </w:tcPr>
          <w:p w14:paraId="3357C74F" w14:textId="77777777">
            <w:pPr>
              <w:spacing w:after="0" w:line="269" w:lineRule="auto"/>
            </w:pPr>
            <w:r>
              <w:rPr>
                <w:sz w:val="18"/>
              </w:rPr>
              <w:t>Accountable for availability, releases and incidents</w:t>
            </w:r>
          </w:p>
        </w:tc>
        <w:tc>
          <w:tcPr>
            <w:tcW w:w="3760" w:type="dxa"/>
            <w:tcMar>
              <w:top w:w="80" w:type="dxa"/>
              <w:left w:w="120" w:type="dxa"/>
              <w:bottom w:w="80" w:type="dxa"/>
              <w:right w:w="120" w:type="dxa"/>
            </w:tcMar>
            <w:vAlign w:val="center"/>
          </w:tcPr>
          <w:p w14:paraId="4985F6BE" w14:textId="77777777">
            <w:pPr>
              <w:spacing w:after="0" w:line="269" w:lineRule="auto"/>
            </w:pPr>
            <w:r>
              <w:rPr>
                <w:sz w:val="18"/>
              </w:rPr>
              <w:t>Named primary and deputy</w:t>
            </w:r>
          </w:p>
        </w:tc>
      </w:tr>
      <w:tr w14:paraId="3B5A71C0" w14:textId="77777777">
        <w:trPr>
          <w:cantSplit/>
        </w:trPr>
        <w:tc>
          <w:tcPr>
            <w:tcW w:w="2050" w:type="dxa"/>
            <w:tcMar>
              <w:top w:w="80" w:type="dxa"/>
              <w:left w:w="120" w:type="dxa"/>
              <w:bottom w:w="80" w:type="dxa"/>
              <w:right w:w="120" w:type="dxa"/>
            </w:tcMar>
            <w:vAlign w:val="center"/>
          </w:tcPr>
          <w:p w14:paraId="47177539" w14:textId="77777777">
            <w:pPr>
              <w:spacing w:after="0" w:line="269" w:lineRule="auto"/>
            </w:pPr>
            <w:r>
              <w:rPr>
                <w:sz w:val="18"/>
              </w:rPr>
              <w:t>GitHub owner</w:t>
            </w:r>
          </w:p>
        </w:tc>
        <w:tc>
          <w:tcPr>
            <w:tcW w:w="3550" w:type="dxa"/>
            <w:tcMar>
              <w:top w:w="80" w:type="dxa"/>
              <w:left w:w="120" w:type="dxa"/>
              <w:bottom w:w="80" w:type="dxa"/>
              <w:right w:w="120" w:type="dxa"/>
            </w:tcMar>
            <w:vAlign w:val="center"/>
          </w:tcPr>
          <w:p w14:paraId="69F8E851" w14:textId="77777777">
            <w:pPr>
              <w:spacing w:after="0" w:line="269" w:lineRule="auto"/>
            </w:pPr>
            <w:r>
              <w:rPr>
                <w:sz w:val="18"/>
              </w:rPr>
              <w:t>College organisation owner/repository administrator</w:t>
            </w:r>
          </w:p>
        </w:tc>
        <w:tc>
          <w:tcPr>
            <w:tcW w:w="3760" w:type="dxa"/>
            <w:tcMar>
              <w:top w:w="80" w:type="dxa"/>
              <w:left w:w="120" w:type="dxa"/>
              <w:bottom w:w="80" w:type="dxa"/>
              <w:right w:w="120" w:type="dxa"/>
            </w:tcMar>
            <w:vAlign w:val="center"/>
          </w:tcPr>
          <w:p w14:paraId="0CF558C0" w14:textId="77777777">
            <w:pPr>
              <w:spacing w:after="0" w:line="269" w:lineRule="auto"/>
            </w:pPr>
            <w:r>
              <w:rPr>
                <w:sz w:val="18"/>
              </w:rPr>
              <w:t>Private repository ownership and recovery access</w:t>
            </w:r>
          </w:p>
        </w:tc>
      </w:tr>
      <w:tr w14:paraId="5B5EF8A2" w14:textId="77777777">
        <w:trPr>
          <w:cantSplit/>
        </w:trPr>
        <w:tc>
          <w:tcPr>
            <w:tcW w:w="2050" w:type="dxa"/>
            <w:tcMar>
              <w:top w:w="80" w:type="dxa"/>
              <w:left w:w="120" w:type="dxa"/>
              <w:bottom w:w="80" w:type="dxa"/>
              <w:right w:w="120" w:type="dxa"/>
            </w:tcMar>
            <w:vAlign w:val="center"/>
          </w:tcPr>
          <w:p w14:paraId="17CAAED7" w14:textId="77777777">
            <w:pPr>
              <w:spacing w:after="0" w:line="269" w:lineRule="auto"/>
            </w:pPr>
            <w:r>
              <w:rPr>
                <w:sz w:val="18"/>
              </w:rPr>
              <w:t>Azure platform</w:t>
            </w:r>
          </w:p>
        </w:tc>
        <w:tc>
          <w:tcPr>
            <w:tcW w:w="3550" w:type="dxa"/>
            <w:tcMar>
              <w:top w:w="80" w:type="dxa"/>
              <w:left w:w="120" w:type="dxa"/>
              <w:bottom w:w="80" w:type="dxa"/>
              <w:right w:w="120" w:type="dxa"/>
            </w:tcMar>
            <w:vAlign w:val="center"/>
          </w:tcPr>
          <w:p w14:paraId="55A22AA6" w14:textId="77777777">
            <w:pPr>
              <w:spacing w:after="0" w:line="269" w:lineRule="auto"/>
            </w:pPr>
            <w:r>
              <w:rPr>
                <w:sz w:val="18"/>
              </w:rPr>
              <w:t>Subscription Owner or Contributor plus role-assignment rights</w:t>
            </w:r>
          </w:p>
        </w:tc>
        <w:tc>
          <w:tcPr>
            <w:tcW w:w="3760" w:type="dxa"/>
            <w:tcMar>
              <w:top w:w="80" w:type="dxa"/>
              <w:left w:w="120" w:type="dxa"/>
              <w:bottom w:w="80" w:type="dxa"/>
              <w:right w:w="120" w:type="dxa"/>
            </w:tcMar>
            <w:vAlign w:val="center"/>
          </w:tcPr>
          <w:p w14:paraId="494AF327" w14:textId="77777777">
            <w:pPr>
              <w:spacing w:after="0" w:line="269" w:lineRule="auto"/>
            </w:pPr>
            <w:r>
              <w:rPr>
                <w:sz w:val="18"/>
              </w:rPr>
              <w:t>Approved subscription, region, cost centre and deployment record</w:t>
            </w:r>
          </w:p>
        </w:tc>
      </w:tr>
      <w:tr w14:paraId="1F29327D" w14:textId="77777777">
        <w:trPr>
          <w:cantSplit/>
        </w:trPr>
        <w:tc>
          <w:tcPr>
            <w:tcW w:w="2050" w:type="dxa"/>
            <w:tcMar>
              <w:top w:w="80" w:type="dxa"/>
              <w:left w:w="120" w:type="dxa"/>
              <w:bottom w:w="80" w:type="dxa"/>
              <w:right w:w="120" w:type="dxa"/>
            </w:tcMar>
            <w:vAlign w:val="center"/>
          </w:tcPr>
          <w:p w14:paraId="6575340B" w14:textId="77777777">
            <w:pPr>
              <w:spacing w:after="0" w:line="269" w:lineRule="auto"/>
            </w:pPr>
            <w:r>
              <w:rPr>
                <w:sz w:val="18"/>
              </w:rPr>
              <w:t>Identity</w:t>
            </w:r>
          </w:p>
        </w:tc>
        <w:tc>
          <w:tcPr>
            <w:tcW w:w="3550" w:type="dxa"/>
            <w:tcMar>
              <w:top w:w="80" w:type="dxa"/>
              <w:left w:w="120" w:type="dxa"/>
              <w:bottom w:w="80" w:type="dxa"/>
              <w:right w:w="120" w:type="dxa"/>
            </w:tcMar>
            <w:vAlign w:val="center"/>
          </w:tcPr>
          <w:p w14:paraId="5C5A77FD" w14:textId="77777777">
            <w:pPr>
              <w:spacing w:after="0" w:line="269" w:lineRule="auto"/>
            </w:pPr>
            <w:r>
              <w:rPr>
                <w:sz w:val="18"/>
              </w:rPr>
              <w:t>Application/Cloud Application Administrator and consent authority</w:t>
            </w:r>
          </w:p>
        </w:tc>
        <w:tc>
          <w:tcPr>
            <w:tcW w:w="3760" w:type="dxa"/>
            <w:tcMar>
              <w:top w:w="80" w:type="dxa"/>
              <w:left w:w="120" w:type="dxa"/>
              <w:bottom w:w="80" w:type="dxa"/>
              <w:right w:w="120" w:type="dxa"/>
            </w:tcMar>
            <w:vAlign w:val="center"/>
          </w:tcPr>
          <w:p w14:paraId="15BA17A1" w14:textId="77777777">
            <w:pPr>
              <w:spacing w:after="0" w:line="269" w:lineRule="auto"/>
            </w:pPr>
            <w:r>
              <w:rPr>
                <w:sz w:val="18"/>
              </w:rPr>
              <w:t>App ownership, permission review, redirect URIs, consent and CA evidence</w:t>
            </w:r>
          </w:p>
        </w:tc>
      </w:tr>
      <w:tr w14:paraId="5CC091B1" w14:textId="77777777">
        <w:trPr>
          <w:cantSplit/>
        </w:trPr>
        <w:tc>
          <w:tcPr>
            <w:tcW w:w="2050" w:type="dxa"/>
            <w:tcMar>
              <w:top w:w="80" w:type="dxa"/>
              <w:left w:w="120" w:type="dxa"/>
              <w:bottom w:w="80" w:type="dxa"/>
              <w:right w:w="120" w:type="dxa"/>
            </w:tcMar>
            <w:vAlign w:val="center"/>
          </w:tcPr>
          <w:p w14:paraId="0A82A554" w14:textId="77777777">
            <w:pPr>
              <w:spacing w:after="0" w:line="269" w:lineRule="auto"/>
            </w:pPr>
            <w:r>
              <w:rPr>
                <w:sz w:val="18"/>
              </w:rPr>
              <w:t>Database</w:t>
            </w:r>
          </w:p>
        </w:tc>
        <w:tc>
          <w:tcPr>
            <w:tcW w:w="3550" w:type="dxa"/>
            <w:tcMar>
              <w:top w:w="80" w:type="dxa"/>
              <w:left w:w="120" w:type="dxa"/>
              <w:bottom w:w="80" w:type="dxa"/>
              <w:right w:w="120" w:type="dxa"/>
            </w:tcMar>
            <w:vAlign w:val="center"/>
          </w:tcPr>
          <w:p w14:paraId="510D38AB" w14:textId="77777777">
            <w:pPr>
              <w:spacing w:after="0" w:line="269" w:lineRule="auto"/>
            </w:pPr>
            <w:r>
              <w:rPr>
                <w:sz w:val="18"/>
              </w:rPr>
              <w:t>Entra SQL administrator and recovery deputy</w:t>
            </w:r>
          </w:p>
        </w:tc>
        <w:tc>
          <w:tcPr>
            <w:tcW w:w="3760" w:type="dxa"/>
            <w:tcMar>
              <w:top w:w="80" w:type="dxa"/>
              <w:left w:w="120" w:type="dxa"/>
              <w:bottom w:w="80" w:type="dxa"/>
              <w:right w:w="120" w:type="dxa"/>
            </w:tcMar>
            <w:vAlign w:val="center"/>
          </w:tcPr>
          <w:p w14:paraId="0343D7F5" w14:textId="77777777">
            <w:pPr>
              <w:spacing w:after="0" w:line="269" w:lineRule="auto"/>
            </w:pPr>
            <w:r>
              <w:rPr>
                <w:sz w:val="18"/>
              </w:rPr>
              <w:t>Migration log, permissions, backup policy and restore test</w:t>
            </w:r>
          </w:p>
        </w:tc>
      </w:tr>
      <w:tr w14:paraId="3AEFE2B3" w14:textId="77777777">
        <w:trPr>
          <w:cantSplit/>
        </w:trPr>
        <w:tc>
          <w:tcPr>
            <w:tcW w:w="2050" w:type="dxa"/>
            <w:tcMar>
              <w:top w:w="80" w:type="dxa"/>
              <w:left w:w="120" w:type="dxa"/>
              <w:bottom w:w="80" w:type="dxa"/>
              <w:right w:w="120" w:type="dxa"/>
            </w:tcMar>
            <w:vAlign w:val="center"/>
          </w:tcPr>
          <w:p w14:paraId="62A21C47" w14:textId="77777777">
            <w:pPr>
              <w:spacing w:after="0" w:line="269" w:lineRule="auto"/>
            </w:pPr>
            <w:r>
              <w:rPr>
                <w:sz w:val="18"/>
              </w:rPr>
              <w:t>Information governance</w:t>
            </w:r>
          </w:p>
        </w:tc>
        <w:tc>
          <w:tcPr>
            <w:tcW w:w="3550" w:type="dxa"/>
            <w:tcMar>
              <w:top w:w="80" w:type="dxa"/>
              <w:left w:w="120" w:type="dxa"/>
              <w:bottom w:w="80" w:type="dxa"/>
              <w:right w:w="120" w:type="dxa"/>
            </w:tcMar>
            <w:vAlign w:val="center"/>
          </w:tcPr>
          <w:p w14:paraId="0023ACA2" w14:textId="77777777">
            <w:pPr>
              <w:spacing w:after="0" w:line="269" w:lineRule="auto"/>
            </w:pPr>
            <w:r>
              <w:rPr>
                <w:sz w:val="18"/>
              </w:rPr>
              <w:t>Data owner / DPO-approved delegate</w:t>
            </w:r>
          </w:p>
        </w:tc>
        <w:tc>
          <w:tcPr>
            <w:tcW w:w="3760" w:type="dxa"/>
            <w:tcMar>
              <w:top w:w="80" w:type="dxa"/>
              <w:left w:w="120" w:type="dxa"/>
              <w:bottom w:w="80" w:type="dxa"/>
              <w:right w:w="120" w:type="dxa"/>
            </w:tcMar>
            <w:vAlign w:val="center"/>
          </w:tcPr>
          <w:p w14:paraId="73A27859" w14:textId="77777777">
            <w:pPr>
              <w:spacing w:after="0" w:line="269" w:lineRule="auto"/>
            </w:pPr>
            <w:r>
              <w:rPr>
                <w:sz w:val="18"/>
              </w:rPr>
              <w:t>DPIA or equivalent assessment, retention and privacy decision</w:t>
            </w:r>
          </w:p>
        </w:tc>
      </w:tr>
      <w:tr w14:paraId="1A12B661" w14:textId="77777777">
        <w:trPr>
          <w:cantSplit/>
        </w:trPr>
        <w:tc>
          <w:tcPr>
            <w:tcW w:w="2050" w:type="dxa"/>
            <w:tcMar>
              <w:top w:w="80" w:type="dxa"/>
              <w:left w:w="120" w:type="dxa"/>
              <w:bottom w:w="80" w:type="dxa"/>
              <w:right w:w="120" w:type="dxa"/>
            </w:tcMar>
            <w:vAlign w:val="center"/>
          </w:tcPr>
          <w:p w14:paraId="1FD8B257" w14:textId="77777777">
            <w:pPr>
              <w:spacing w:after="0" w:line="269" w:lineRule="auto"/>
            </w:pPr>
            <w:r>
              <w:rPr>
                <w:sz w:val="18"/>
              </w:rPr>
              <w:t>Service desk</w:t>
            </w:r>
          </w:p>
        </w:tc>
        <w:tc>
          <w:tcPr>
            <w:tcW w:w="3550" w:type="dxa"/>
            <w:tcMar>
              <w:top w:w="80" w:type="dxa"/>
              <w:left w:w="120" w:type="dxa"/>
              <w:bottom w:w="80" w:type="dxa"/>
              <w:right w:w="120" w:type="dxa"/>
            </w:tcMar>
            <w:vAlign w:val="center"/>
          </w:tcPr>
          <w:p w14:paraId="573E67C1" w14:textId="77777777">
            <w:pPr>
              <w:spacing w:after="0" w:line="269" w:lineRule="auto"/>
            </w:pPr>
            <w:r>
              <w:rPr>
                <w:sz w:val="18"/>
              </w:rPr>
              <w:t>Monitored support queue and escalation manager</w:t>
            </w:r>
          </w:p>
        </w:tc>
        <w:tc>
          <w:tcPr>
            <w:tcW w:w="3760" w:type="dxa"/>
            <w:tcMar>
              <w:top w:w="80" w:type="dxa"/>
              <w:left w:w="120" w:type="dxa"/>
              <w:bottom w:w="80" w:type="dxa"/>
              <w:right w:w="120" w:type="dxa"/>
            </w:tcMar>
            <w:vAlign w:val="center"/>
          </w:tcPr>
          <w:p w14:paraId="101F4124" w14:textId="77777777">
            <w:pPr>
              <w:spacing w:after="0" w:line="269" w:lineRule="auto"/>
            </w:pPr>
            <w:r>
              <w:rPr>
                <w:sz w:val="18"/>
              </w:rPr>
              <w:t>Runbook, alert destination, SLAs and contact details</w:t>
            </w:r>
          </w:p>
        </w:tc>
      </w:tr>
    </w:tbl>
    <w:p w14:paraId="5AEB78D5" w14:textId="77777777">
      <w:pPr>
        <w:spacing w:after="20"/>
      </w:pPr>
    </w:p>
    <w:p w14:paraId="16877C2B" w14:textId="77777777">
      <w:pPr>
        <w:pStyle w:val="Heading2"/>
      </w:pPr>
      <w:r>
        <w:t>Decisions that must be written down</w:t>
      </w:r>
    </w:p>
    <w:p w14:paraId="66B3299A" w14:textId="77777777">
      <w:pPr>
        <w:spacing w:after="80"/>
        <w:ind w:left="29"/>
      </w:pPr>
      <w:r>
        <w:rPr>
          <w:b/>
          <w:color w:val="2CB5A9"/>
        </w:rPr>
        <w:t>☐</w:t>
      </w:r>
      <w:r>
        <w:rPr>
          <w:b/>
          <w:color w:val="2CB5A9"/>
        </w:rPr>
        <w:t xml:space="preserve">  </w:t>
      </w:r>
      <w:r>
        <w:t>Final staff-facing hostname, for example https://ielevate.oldham.ac.uk. Do not guess it in the Entra portal.</w:t>
      </w:r>
    </w:p>
    <w:p w14:paraId="024FEAB1" w14:textId="77777777">
      <w:pPr>
        <w:spacing w:after="80"/>
        <w:ind w:left="29"/>
      </w:pPr>
      <w:r>
        <w:rPr>
          <w:b/>
          <w:color w:val="2CB5A9"/>
        </w:rPr>
        <w:t>☐</w:t>
      </w:r>
      <w:r>
        <w:rPr>
          <w:b/>
          <w:color w:val="2CB5A9"/>
        </w:rPr>
        <w:t xml:space="preserve">  </w:t>
      </w:r>
      <w:r>
        <w:t>Whether the public Azure endpoint design meets college policy, or whether VNet integration/private endpoints are mandatory before launch.</w:t>
      </w:r>
    </w:p>
    <w:p w14:paraId="4EEB3170" w14:textId="77777777">
      <w:pPr>
        <w:spacing w:after="80"/>
        <w:ind w:left="29"/>
      </w:pPr>
      <w:r>
        <w:rPr>
          <w:b/>
          <w:color w:val="2CB5A9"/>
        </w:rPr>
        <w:t>☐</w:t>
      </w:r>
      <w:r>
        <w:rPr>
          <w:b/>
          <w:color w:val="2CB5A9"/>
        </w:rPr>
        <w:t xml:space="preserve">  </w:t>
      </w:r>
      <w:r>
        <w:t>App Service tier and instance count; whether a staging slot and zero-downtime swap are required.</w:t>
      </w:r>
    </w:p>
    <w:p w14:paraId="2FD464D1" w14:textId="77777777">
      <w:pPr>
        <w:spacing w:after="80"/>
        <w:ind w:left="29"/>
      </w:pPr>
      <w:r>
        <w:rPr>
          <w:b/>
          <w:color w:val="2CB5A9"/>
        </w:rPr>
        <w:t>☐</w:t>
      </w:r>
      <w:r>
        <w:rPr>
          <w:b/>
          <w:color w:val="2CB5A9"/>
        </w:rPr>
        <w:t xml:space="preserve">  </w:t>
      </w:r>
      <w:r>
        <w:t>Azure SQL short-term retention, backup redundancy, long-term retention and tested recovery objectives (RPO/RTO).</w:t>
      </w:r>
    </w:p>
    <w:p w14:paraId="022C6937" w14:textId="77777777">
      <w:pPr>
        <w:spacing w:after="80"/>
        <w:ind w:left="29"/>
      </w:pPr>
      <w:r>
        <w:rPr>
          <w:b/>
          <w:color w:val="2CB5A9"/>
        </w:rPr>
        <w:t>☐</w:t>
      </w:r>
      <w:r>
        <w:rPr>
          <w:b/>
          <w:color w:val="2CB5A9"/>
        </w:rPr>
        <w:t xml:space="preserve">  </w:t>
      </w:r>
      <w:r>
        <w:t>Who may sign in: all tenant users with application-side checks, or an Entra-assigned staff group only.</w:t>
      </w:r>
    </w:p>
    <w:p w14:paraId="7CCD1ACC" w14:textId="77777777">
      <w:pPr>
        <w:spacing w:after="80"/>
        <w:ind w:left="29"/>
      </w:pPr>
      <w:r>
        <w:rPr>
          <w:b/>
          <w:color w:val="2CB5A9"/>
        </w:rPr>
        <w:t>☐</w:t>
      </w:r>
      <w:r>
        <w:rPr>
          <w:b/>
          <w:color w:val="2CB5A9"/>
        </w:rPr>
        <w:t xml:space="preserve">  </w:t>
      </w:r>
      <w:r>
        <w:t>Whether the supplied official curriculum staff seed is approved and current. If not, exclude it and load approved staff/organisation data later.</w:t>
      </w:r>
    </w:p>
    <w:p w14:paraId="638A10AD" w14:textId="77777777">
      <w:pPr>
        <w:spacing w:after="80"/>
        <w:ind w:left="29"/>
      </w:pPr>
      <w:r>
        <w:rPr>
          <w:b/>
          <w:color w:val="2CB5A9"/>
        </w:rPr>
        <w:lastRenderedPageBreak/>
        <w:t>☐</w:t>
      </w:r>
      <w:r>
        <w:rPr>
          <w:b/>
          <w:color w:val="2CB5A9"/>
        </w:rPr>
        <w:t xml:space="preserve">  </w:t>
      </w:r>
      <w:r>
        <w:t>Pilot group, acceptance owner, planned launch window, communications, support cover and rollback threshold.</w:t>
      </w:r>
    </w:p>
    <w:p w14:paraId="42AEA479" w14:textId="77777777">
      <w:pPr>
        <w:spacing w:after="80"/>
        <w:ind w:left="29"/>
      </w:pPr>
      <w:r>
        <w:rPr>
          <w:b/>
          <w:color w:val="2CB5A9"/>
        </w:rPr>
        <w:t>☐</w:t>
      </w:r>
      <w:r>
        <w:rPr>
          <w:b/>
          <w:color w:val="2CB5A9"/>
        </w:rPr>
        <w:t xml:space="preserve">  </w:t>
      </w:r>
      <w:r>
        <w:t>Retention and access-review frequency for staff records, evidence, audit data, exports and operational logs.</w:t>
      </w:r>
    </w:p>
    <w:p w14:paraId="40E897D0" w14:textId="77777777">
      <w:pPr>
        <w:pStyle w:val="Heading2"/>
      </w:pPr>
      <w:r>
        <w:t>Recommended release gates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000"/>
        <w:gridCol w:w="7360"/>
      </w:tblGrid>
      <w:tr w14:paraId="4118F048" w14:textId="77777777">
        <w:trPr>
          <w:cantSplit/>
          <w:tblHeader/>
        </w:trPr>
        <w:tc>
          <w:tcPr>
            <w:tcW w:w="2000" w:type="dxa"/>
            <w:shd w:val="clear" w:color="auto" w:fill="E8EEF5"/>
            <w:tcMar>
              <w:top w:w="80" w:type="dxa"/>
              <w:left w:w="120" w:type="dxa"/>
              <w:bottom w:w="80" w:type="dxa"/>
              <w:right w:w="120" w:type="dxa"/>
            </w:tcMar>
            <w:vAlign w:val="center"/>
          </w:tcPr>
          <w:p w14:paraId="3614E8F2" w14:textId="77777777">
            <w:pPr>
              <w:spacing w:after="0"/>
            </w:pPr>
            <w:r>
              <w:rPr>
                <w:b/>
                <w:color w:val="0B2545"/>
                <w:sz w:val="19"/>
              </w:rPr>
              <w:t>Gate</w:t>
            </w:r>
          </w:p>
        </w:tc>
        <w:tc>
          <w:tcPr>
            <w:tcW w:w="7360" w:type="dxa"/>
            <w:shd w:val="clear" w:color="auto" w:fill="E8EEF5"/>
            <w:tcMar>
              <w:top w:w="80" w:type="dxa"/>
              <w:left w:w="120" w:type="dxa"/>
              <w:bottom w:w="80" w:type="dxa"/>
              <w:right w:w="120" w:type="dxa"/>
            </w:tcMar>
            <w:vAlign w:val="center"/>
          </w:tcPr>
          <w:p w14:paraId="5B395258" w14:textId="77777777">
            <w:pPr>
              <w:spacing w:after="0"/>
            </w:pPr>
            <w:r>
              <w:rPr>
                <w:b/>
                <w:color w:val="0B2545"/>
                <w:sz w:val="19"/>
              </w:rPr>
              <w:t>Must be true before proceeding</w:t>
            </w:r>
          </w:p>
        </w:tc>
      </w:tr>
      <w:tr w14:paraId="2E0723C5" w14:textId="77777777">
        <w:trPr>
          <w:cantSplit/>
        </w:trPr>
        <w:tc>
          <w:tcPr>
            <w:tcW w:w="2000" w:type="dxa"/>
            <w:tcMar>
              <w:top w:w="80" w:type="dxa"/>
              <w:left w:w="120" w:type="dxa"/>
              <w:bottom w:w="80" w:type="dxa"/>
              <w:right w:w="120" w:type="dxa"/>
            </w:tcMar>
            <w:vAlign w:val="center"/>
          </w:tcPr>
          <w:p w14:paraId="74C6CCB9" w14:textId="77777777">
            <w:pPr>
              <w:spacing w:after="0" w:line="269" w:lineRule="auto"/>
            </w:pPr>
            <w:r>
              <w:rPr>
                <w:b/>
                <w:sz w:val="18"/>
              </w:rPr>
              <w:t>G0 — Ownership</w:t>
            </w:r>
          </w:p>
        </w:tc>
        <w:tc>
          <w:tcPr>
            <w:tcW w:w="7360" w:type="dxa"/>
            <w:tcMar>
              <w:top w:w="80" w:type="dxa"/>
              <w:left w:w="120" w:type="dxa"/>
              <w:bottom w:w="80" w:type="dxa"/>
              <w:right w:w="120" w:type="dxa"/>
            </w:tcMar>
            <w:vAlign w:val="center"/>
          </w:tcPr>
          <w:p w14:paraId="09A8DBDB" w14:textId="77777777">
            <w:pPr>
              <w:spacing w:after="0" w:line="269" w:lineRule="auto"/>
            </w:pPr>
            <w:r>
              <w:rPr>
                <w:sz w:val="18"/>
              </w:rPr>
              <w:t>Repository, subscription, Entra apps, database, data and support each have a primary and deputy owner.</w:t>
            </w:r>
          </w:p>
        </w:tc>
      </w:tr>
      <w:tr w14:paraId="67FC725B" w14:textId="77777777">
        <w:trPr>
          <w:cantSplit/>
        </w:trPr>
        <w:tc>
          <w:tcPr>
            <w:tcW w:w="2000" w:type="dxa"/>
            <w:tcMar>
              <w:top w:w="80" w:type="dxa"/>
              <w:left w:w="120" w:type="dxa"/>
              <w:bottom w:w="80" w:type="dxa"/>
              <w:right w:w="120" w:type="dxa"/>
            </w:tcMar>
            <w:vAlign w:val="center"/>
          </w:tcPr>
          <w:p w14:paraId="62F413C8" w14:textId="77777777">
            <w:pPr>
              <w:spacing w:after="0" w:line="269" w:lineRule="auto"/>
            </w:pPr>
            <w:r>
              <w:rPr>
                <w:b/>
                <w:sz w:val="18"/>
              </w:rPr>
              <w:t>G1 — Design</w:t>
            </w:r>
          </w:p>
        </w:tc>
        <w:tc>
          <w:tcPr>
            <w:tcW w:w="7360" w:type="dxa"/>
            <w:tcMar>
              <w:top w:w="80" w:type="dxa"/>
              <w:left w:w="120" w:type="dxa"/>
              <w:bottom w:w="80" w:type="dxa"/>
              <w:right w:w="120" w:type="dxa"/>
            </w:tcMar>
            <w:vAlign w:val="center"/>
          </w:tcPr>
          <w:p w14:paraId="48A7C9FB" w14:textId="77777777">
            <w:pPr>
              <w:spacing w:after="0" w:line="269" w:lineRule="auto"/>
            </w:pPr>
            <w:r>
              <w:rPr>
                <w:sz w:val="18"/>
              </w:rPr>
              <w:t>Security, network, cost, region, sizing, recovery and data-protection decisions are accepted.</w:t>
            </w:r>
          </w:p>
        </w:tc>
      </w:tr>
      <w:tr w14:paraId="767DED8F" w14:textId="77777777">
        <w:trPr>
          <w:cantSplit/>
        </w:trPr>
        <w:tc>
          <w:tcPr>
            <w:tcW w:w="2000" w:type="dxa"/>
            <w:tcMar>
              <w:top w:w="80" w:type="dxa"/>
              <w:left w:w="120" w:type="dxa"/>
              <w:bottom w:w="80" w:type="dxa"/>
              <w:right w:w="120" w:type="dxa"/>
            </w:tcMar>
            <w:vAlign w:val="center"/>
          </w:tcPr>
          <w:p w14:paraId="5ABBF489" w14:textId="77777777">
            <w:pPr>
              <w:spacing w:after="0" w:line="269" w:lineRule="auto"/>
            </w:pPr>
            <w:r>
              <w:rPr>
                <w:b/>
                <w:sz w:val="18"/>
              </w:rPr>
              <w:t>G2 — Build</w:t>
            </w:r>
          </w:p>
        </w:tc>
        <w:tc>
          <w:tcPr>
            <w:tcW w:w="7360" w:type="dxa"/>
            <w:tcMar>
              <w:top w:w="80" w:type="dxa"/>
              <w:left w:w="120" w:type="dxa"/>
              <w:bottom w:w="80" w:type="dxa"/>
              <w:right w:w="120" w:type="dxa"/>
            </w:tcMar>
            <w:vAlign w:val="center"/>
          </w:tcPr>
          <w:p w14:paraId="77A0FFB0" w14:textId="77777777">
            <w:pPr>
              <w:spacing w:after="0" w:line="269" w:lineRule="auto"/>
            </w:pPr>
            <w:r>
              <w:rPr>
                <w:sz w:val="18"/>
              </w:rPr>
              <w:t>Clean commit/tag passes CI, dependency audits and release verification; package checksum recorded.</w:t>
            </w:r>
          </w:p>
        </w:tc>
      </w:tr>
      <w:tr w14:paraId="18327AAC" w14:textId="77777777">
        <w:trPr>
          <w:cantSplit/>
        </w:trPr>
        <w:tc>
          <w:tcPr>
            <w:tcW w:w="2000" w:type="dxa"/>
            <w:tcMar>
              <w:top w:w="80" w:type="dxa"/>
              <w:left w:w="120" w:type="dxa"/>
              <w:bottom w:w="80" w:type="dxa"/>
              <w:right w:w="120" w:type="dxa"/>
            </w:tcMar>
            <w:vAlign w:val="center"/>
          </w:tcPr>
          <w:p w14:paraId="580F7312" w14:textId="77777777">
            <w:pPr>
              <w:spacing w:after="0" w:line="269" w:lineRule="auto"/>
            </w:pPr>
            <w:r>
              <w:rPr>
                <w:b/>
                <w:sz w:val="18"/>
              </w:rPr>
              <w:t>G3 — Platform</w:t>
            </w:r>
          </w:p>
        </w:tc>
        <w:tc>
          <w:tcPr>
            <w:tcW w:w="7360" w:type="dxa"/>
            <w:tcMar>
              <w:top w:w="80" w:type="dxa"/>
              <w:left w:w="120" w:type="dxa"/>
              <w:bottom w:w="80" w:type="dxa"/>
              <w:right w:w="120" w:type="dxa"/>
            </w:tcMar>
            <w:vAlign w:val="center"/>
          </w:tcPr>
          <w:p w14:paraId="63BE5792" w14:textId="77777777">
            <w:pPr>
              <w:spacing w:after="0" w:line="269" w:lineRule="auto"/>
            </w:pPr>
            <w:r>
              <w:rPr>
                <w:sz w:val="18"/>
              </w:rPr>
              <w:t>Bicep deployment validated/previewed, resources provisioned and outputs recorded.</w:t>
            </w:r>
          </w:p>
        </w:tc>
      </w:tr>
      <w:tr w14:paraId="4A11848D" w14:textId="77777777">
        <w:trPr>
          <w:cantSplit/>
        </w:trPr>
        <w:tc>
          <w:tcPr>
            <w:tcW w:w="2000" w:type="dxa"/>
            <w:tcMar>
              <w:top w:w="80" w:type="dxa"/>
              <w:left w:w="120" w:type="dxa"/>
              <w:bottom w:w="80" w:type="dxa"/>
              <w:right w:w="120" w:type="dxa"/>
            </w:tcMar>
            <w:vAlign w:val="center"/>
          </w:tcPr>
          <w:p w14:paraId="6398CAE9" w14:textId="77777777">
            <w:pPr>
              <w:spacing w:after="0" w:line="269" w:lineRule="auto"/>
            </w:pPr>
            <w:r>
              <w:rPr>
                <w:b/>
                <w:sz w:val="18"/>
              </w:rPr>
              <w:t>G4 — Data</w:t>
            </w:r>
          </w:p>
        </w:tc>
        <w:tc>
          <w:tcPr>
            <w:tcW w:w="7360" w:type="dxa"/>
            <w:tcMar>
              <w:top w:w="80" w:type="dxa"/>
              <w:left w:w="120" w:type="dxa"/>
              <w:bottom w:w="80" w:type="dxa"/>
              <w:right w:w="120" w:type="dxa"/>
            </w:tcMar>
            <w:vAlign w:val="center"/>
          </w:tcPr>
          <w:p w14:paraId="77AD2FD9" w14:textId="77777777">
            <w:pPr>
              <w:spacing w:after="0" w:line="269" w:lineRule="auto"/>
            </w:pPr>
            <w:r>
              <w:rPr>
                <w:sz w:val="18"/>
              </w:rPr>
              <w:t>Migrations complete, managed identity works, backup/restore policy set and bootstrap admin verified.</w:t>
            </w:r>
          </w:p>
        </w:tc>
      </w:tr>
      <w:tr w14:paraId="577C30F2" w14:textId="77777777">
        <w:trPr>
          <w:cantSplit/>
        </w:trPr>
        <w:tc>
          <w:tcPr>
            <w:tcW w:w="2000" w:type="dxa"/>
            <w:tcMar>
              <w:top w:w="80" w:type="dxa"/>
              <w:left w:w="120" w:type="dxa"/>
              <w:bottom w:w="80" w:type="dxa"/>
              <w:right w:w="120" w:type="dxa"/>
            </w:tcMar>
            <w:vAlign w:val="center"/>
          </w:tcPr>
          <w:p w14:paraId="1D1704A5" w14:textId="77777777">
            <w:pPr>
              <w:spacing w:after="0" w:line="269" w:lineRule="auto"/>
            </w:pPr>
            <w:r>
              <w:rPr>
                <w:b/>
                <w:sz w:val="18"/>
              </w:rPr>
              <w:t>G5 — Acceptance</w:t>
            </w:r>
          </w:p>
        </w:tc>
        <w:tc>
          <w:tcPr>
            <w:tcW w:w="7360" w:type="dxa"/>
            <w:tcMar>
              <w:top w:w="80" w:type="dxa"/>
              <w:left w:w="120" w:type="dxa"/>
              <w:bottom w:w="80" w:type="dxa"/>
              <w:right w:w="120" w:type="dxa"/>
            </w:tcMar>
            <w:vAlign w:val="center"/>
          </w:tcPr>
          <w:p w14:paraId="1719E53E" w14:textId="77777777">
            <w:pPr>
              <w:spacing w:after="0" w:line="269" w:lineRule="auto"/>
            </w:pPr>
            <w:r>
              <w:rPr>
                <w:sz w:val="18"/>
              </w:rPr>
              <w:t>Role/scoping, functional, reporting, accessibility, security and recovery tests are signed off.</w:t>
            </w:r>
          </w:p>
        </w:tc>
      </w:tr>
      <w:tr w14:paraId="23124BE0" w14:textId="77777777">
        <w:trPr>
          <w:cantSplit/>
        </w:trPr>
        <w:tc>
          <w:tcPr>
            <w:tcW w:w="2000" w:type="dxa"/>
            <w:tcMar>
              <w:top w:w="80" w:type="dxa"/>
              <w:left w:w="120" w:type="dxa"/>
              <w:bottom w:w="80" w:type="dxa"/>
              <w:right w:w="120" w:type="dxa"/>
            </w:tcMar>
            <w:vAlign w:val="center"/>
          </w:tcPr>
          <w:p w14:paraId="526EA14F" w14:textId="77777777">
            <w:pPr>
              <w:spacing w:after="0" w:line="269" w:lineRule="auto"/>
            </w:pPr>
            <w:r>
              <w:rPr>
                <w:b/>
                <w:sz w:val="18"/>
              </w:rPr>
              <w:t>G6 — Launch</w:t>
            </w:r>
          </w:p>
        </w:tc>
        <w:tc>
          <w:tcPr>
            <w:tcW w:w="7360" w:type="dxa"/>
            <w:tcMar>
              <w:top w:w="80" w:type="dxa"/>
              <w:left w:w="120" w:type="dxa"/>
              <w:bottom w:w="80" w:type="dxa"/>
              <w:right w:w="120" w:type="dxa"/>
            </w:tcMar>
            <w:vAlign w:val="center"/>
          </w:tcPr>
          <w:p w14:paraId="792F3507" w14:textId="77777777">
            <w:pPr>
              <w:spacing w:after="0" w:line="269" w:lineRule="auto"/>
            </w:pPr>
            <w:r>
              <w:rPr>
                <w:sz w:val="18"/>
              </w:rPr>
              <w:t>DNS/TLS, Entra consent/assignment, monitoring, service desk and communications are live.</w:t>
            </w:r>
          </w:p>
        </w:tc>
      </w:tr>
    </w:tbl>
    <w:p w14:paraId="0FF58D72" w14:textId="77777777">
      <w:pPr>
        <w:spacing w:after="20"/>
      </w:pPr>
    </w:p>
    <w:p w14:paraId="5A400350" w14:textId="77777777">
      <w:pPr>
        <w:pStyle w:val="Heading1"/>
      </w:pPr>
      <w:bookmarkStart w:id="5" w:name="repository"/>
      <w:r>
        <w:lastRenderedPageBreak/>
        <w:t>4. Put the repository into college ownership</w:t>
      </w:r>
      <w:bookmarkEnd w:id="5"/>
    </w:p>
    <w:p w14:paraId="64CBF70A" w14:textId="77777777">
      <w:r>
        <w:t>The current remote points to a personal GitHub account. Transfer it to an approved private college organisation before production. A transfer preserves issues, pull requests and Git history; confirm the old URL redirects and update local remotes afterwards.</w:t>
      </w:r>
    </w:p>
    <w:p w14:paraId="7FD138CF" w14:textId="77777777">
      <w:pPr>
        <w:pStyle w:val="Heading2"/>
      </w:pPr>
      <w:r>
        <w:t>Transfer and protect</w:t>
      </w:r>
    </w:p>
    <w:p w14:paraId="187D58E9" w14:textId="77777777">
      <w:pPr>
        <w:numPr>
          <w:ilvl w:val="0"/>
          <w:numId w:val="5"/>
        </w:numPr>
      </w:pPr>
      <w:r>
        <w:t>Create or identify the approved Oldham College GitHub organisation and nominate at least two permanent organisation owners.</w:t>
      </w:r>
    </w:p>
    <w:p w14:paraId="1BC891ED" w14:textId="77777777">
      <w:pPr>
        <w:numPr>
          <w:ilvl w:val="0"/>
          <w:numId w:val="5"/>
        </w:numPr>
      </w:pPr>
      <w:r>
        <w:t>In the current repository's GitHub Settings, use General → Danger Zone → Transfer ownership. Enter the approved organisation and confirm the repository name.</w:t>
      </w:r>
    </w:p>
    <w:p w14:paraId="7892FC2C" w14:textId="77777777">
      <w:pPr>
        <w:numPr>
          <w:ilvl w:val="0"/>
          <w:numId w:val="5"/>
        </w:numPr>
      </w:pPr>
      <w:r>
        <w:t>Confirm the transferred repository is Private. Remove obsolete personal collaborators and assign college teams using least privilege.</w:t>
      </w:r>
    </w:p>
    <w:p w14:paraId="39E12456" w14:textId="77777777">
      <w:pPr>
        <w:numPr>
          <w:ilvl w:val="0"/>
          <w:numId w:val="5"/>
        </w:numPr>
      </w:pPr>
      <w:r>
        <w:t>Update each maintainer's local remote with git remote set-url origin https://github.com/&lt;college-org&gt;/&lt;repository&gt;.git.</w:t>
      </w:r>
    </w:p>
    <w:p w14:paraId="0D3BD6EE" w14:textId="77777777">
      <w:pPr>
        <w:numPr>
          <w:ilvl w:val="0"/>
          <w:numId w:val="5"/>
        </w:numPr>
      </w:pPr>
      <w:r>
        <w:t>Create an active ruleset for main: require a pull request, at least one independent approval, resolved conversations and the API/Web CI status checks; block force-pushes and deletion.</w:t>
      </w:r>
    </w:p>
    <w:p w14:paraId="4BB11A37" w14:textId="77777777">
      <w:pPr>
        <w:numPr>
          <w:ilvl w:val="0"/>
          <w:numId w:val="5"/>
        </w:numPr>
      </w:pPr>
      <w:r>
        <w:t>Enable the organisation's approved Dependabot, secret-scanning, code-scanning and audit-log controls. Do not put passwords in GitHub variables.</w:t>
      </w:r>
    </w:p>
    <w:p w14:paraId="64477AD5" w14:textId="77777777">
      <w:pPr>
        <w:numPr>
          <w:ilvl w:val="0"/>
          <w:numId w:val="5"/>
        </w:numPr>
      </w:pPr>
      <w:r>
        <w:t>Create a production GitHub Environment if future automated deployment is introduced; require human approval and keep deployment credentials in approved secrets or, preferably, use workload identity federation.</w:t>
      </w:r>
    </w:p>
    <w:p w14:paraId="254028D4" w14:textId="77777777">
      <w:pPr>
        <w:pStyle w:val="Heading2"/>
      </w:pPr>
      <w:r>
        <w:t>Repository variables used by the existing release workflow</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3000"/>
        <w:gridCol w:w="6360"/>
      </w:tblGrid>
      <w:tr w14:paraId="6CC70F57" w14:textId="77777777">
        <w:trPr>
          <w:cantSplit/>
          <w:tblHeader/>
        </w:trPr>
        <w:tc>
          <w:tcPr>
            <w:tcW w:w="3000" w:type="dxa"/>
            <w:shd w:val="clear" w:color="auto" w:fill="E8EEF5"/>
            <w:tcMar>
              <w:top w:w="80" w:type="dxa"/>
              <w:left w:w="120" w:type="dxa"/>
              <w:bottom w:w="80" w:type="dxa"/>
              <w:right w:w="120" w:type="dxa"/>
            </w:tcMar>
            <w:vAlign w:val="center"/>
          </w:tcPr>
          <w:p w14:paraId="296B12A0" w14:textId="77777777">
            <w:pPr>
              <w:spacing w:after="0"/>
            </w:pPr>
            <w:r>
              <w:rPr>
                <w:b/>
                <w:color w:val="0B2545"/>
                <w:sz w:val="19"/>
              </w:rPr>
              <w:t>Variable</w:t>
            </w:r>
          </w:p>
        </w:tc>
        <w:tc>
          <w:tcPr>
            <w:tcW w:w="6360" w:type="dxa"/>
            <w:shd w:val="clear" w:color="auto" w:fill="E8EEF5"/>
            <w:tcMar>
              <w:top w:w="80" w:type="dxa"/>
              <w:left w:w="120" w:type="dxa"/>
              <w:bottom w:w="80" w:type="dxa"/>
              <w:right w:w="120" w:type="dxa"/>
            </w:tcMar>
            <w:vAlign w:val="center"/>
          </w:tcPr>
          <w:p w14:paraId="0BB65427" w14:textId="77777777">
            <w:pPr>
              <w:spacing w:after="0"/>
            </w:pPr>
            <w:r>
              <w:rPr>
                <w:b/>
                <w:color w:val="0B2545"/>
                <w:sz w:val="19"/>
              </w:rPr>
              <w:t>Value / rule</w:t>
            </w:r>
          </w:p>
        </w:tc>
      </w:tr>
      <w:tr w14:paraId="0E1CF0C2" w14:textId="77777777">
        <w:trPr>
          <w:cantSplit/>
        </w:trPr>
        <w:tc>
          <w:tcPr>
            <w:tcW w:w="3000" w:type="dxa"/>
            <w:tcMar>
              <w:top w:w="80" w:type="dxa"/>
              <w:left w:w="120" w:type="dxa"/>
              <w:bottom w:w="80" w:type="dxa"/>
              <w:right w:w="120" w:type="dxa"/>
            </w:tcMar>
            <w:vAlign w:val="center"/>
          </w:tcPr>
          <w:p w14:paraId="2BA47F22" w14:textId="77777777">
            <w:pPr>
              <w:spacing w:after="0" w:line="269" w:lineRule="auto"/>
            </w:pPr>
            <w:r>
              <w:rPr>
                <w:b/>
                <w:sz w:val="18"/>
              </w:rPr>
              <w:t>ENTRA_TENANT_ID</w:t>
            </w:r>
          </w:p>
        </w:tc>
        <w:tc>
          <w:tcPr>
            <w:tcW w:w="6360" w:type="dxa"/>
            <w:tcMar>
              <w:top w:w="80" w:type="dxa"/>
              <w:left w:w="120" w:type="dxa"/>
              <w:bottom w:w="80" w:type="dxa"/>
              <w:right w:w="120" w:type="dxa"/>
            </w:tcMar>
            <w:vAlign w:val="center"/>
          </w:tcPr>
          <w:p w14:paraId="60ADFF03" w14:textId="77777777">
            <w:pPr>
              <w:spacing w:after="0" w:line="269" w:lineRule="auto"/>
            </w:pPr>
            <w:r>
              <w:rPr>
                <w:sz w:val="18"/>
              </w:rPr>
              <w:t>2ff33ca4-e942-419c-b5ca-e224a5167498</w:t>
            </w:r>
          </w:p>
        </w:tc>
      </w:tr>
      <w:tr w14:paraId="45A14D7B" w14:textId="77777777">
        <w:trPr>
          <w:cantSplit/>
        </w:trPr>
        <w:tc>
          <w:tcPr>
            <w:tcW w:w="3000" w:type="dxa"/>
            <w:tcMar>
              <w:top w:w="80" w:type="dxa"/>
              <w:left w:w="120" w:type="dxa"/>
              <w:bottom w:w="80" w:type="dxa"/>
              <w:right w:w="120" w:type="dxa"/>
            </w:tcMar>
            <w:vAlign w:val="center"/>
          </w:tcPr>
          <w:p w14:paraId="074CEDB7" w14:textId="77777777">
            <w:pPr>
              <w:spacing w:after="0" w:line="269" w:lineRule="auto"/>
            </w:pPr>
            <w:r>
              <w:rPr>
                <w:b/>
                <w:sz w:val="18"/>
              </w:rPr>
              <w:t>ENTRA_API_CLIENT_ID</w:t>
            </w:r>
          </w:p>
        </w:tc>
        <w:tc>
          <w:tcPr>
            <w:tcW w:w="6360" w:type="dxa"/>
            <w:tcMar>
              <w:top w:w="80" w:type="dxa"/>
              <w:left w:w="120" w:type="dxa"/>
              <w:bottom w:w="80" w:type="dxa"/>
              <w:right w:w="120" w:type="dxa"/>
            </w:tcMar>
            <w:vAlign w:val="center"/>
          </w:tcPr>
          <w:p w14:paraId="2D48318A" w14:textId="77777777">
            <w:pPr>
              <w:spacing w:after="0" w:line="269" w:lineRule="auto"/>
            </w:pPr>
            <w:r>
              <w:rPr>
                <w:sz w:val="18"/>
              </w:rPr>
              <w:t>f6d35a24-dc89-40b0-819a-69400ed2491d</w:t>
            </w:r>
          </w:p>
        </w:tc>
      </w:tr>
      <w:tr w14:paraId="28221830" w14:textId="77777777">
        <w:trPr>
          <w:cantSplit/>
        </w:trPr>
        <w:tc>
          <w:tcPr>
            <w:tcW w:w="3000" w:type="dxa"/>
            <w:tcMar>
              <w:top w:w="80" w:type="dxa"/>
              <w:left w:w="120" w:type="dxa"/>
              <w:bottom w:w="80" w:type="dxa"/>
              <w:right w:w="120" w:type="dxa"/>
            </w:tcMar>
            <w:vAlign w:val="center"/>
          </w:tcPr>
          <w:p w14:paraId="5826330F" w14:textId="77777777">
            <w:pPr>
              <w:spacing w:after="0" w:line="269" w:lineRule="auto"/>
            </w:pPr>
            <w:r>
              <w:rPr>
                <w:b/>
                <w:sz w:val="18"/>
              </w:rPr>
              <w:t>ENTRA_SPA_CLIENT_ID</w:t>
            </w:r>
          </w:p>
        </w:tc>
        <w:tc>
          <w:tcPr>
            <w:tcW w:w="6360" w:type="dxa"/>
            <w:tcMar>
              <w:top w:w="80" w:type="dxa"/>
              <w:left w:w="120" w:type="dxa"/>
              <w:bottom w:w="80" w:type="dxa"/>
              <w:right w:w="120" w:type="dxa"/>
            </w:tcMar>
            <w:vAlign w:val="center"/>
          </w:tcPr>
          <w:p w14:paraId="4C81BC50" w14:textId="77777777">
            <w:pPr>
              <w:spacing w:after="0" w:line="269" w:lineRule="auto"/>
            </w:pPr>
            <w:r>
              <w:rPr>
                <w:sz w:val="18"/>
              </w:rPr>
              <w:t>40b00b7a-32b3-4a89-bac0-f016fd431d95</w:t>
            </w:r>
          </w:p>
        </w:tc>
      </w:tr>
      <w:tr w14:paraId="0AE0951F" w14:textId="77777777">
        <w:trPr>
          <w:cantSplit/>
        </w:trPr>
        <w:tc>
          <w:tcPr>
            <w:tcW w:w="3000" w:type="dxa"/>
            <w:tcMar>
              <w:top w:w="80" w:type="dxa"/>
              <w:left w:w="120" w:type="dxa"/>
              <w:bottom w:w="80" w:type="dxa"/>
              <w:right w:w="120" w:type="dxa"/>
            </w:tcMar>
            <w:vAlign w:val="center"/>
          </w:tcPr>
          <w:p w14:paraId="3F06BC15" w14:textId="77777777">
            <w:pPr>
              <w:spacing w:after="0" w:line="269" w:lineRule="auto"/>
            </w:pPr>
            <w:r>
              <w:rPr>
                <w:b/>
                <w:sz w:val="18"/>
              </w:rPr>
              <w:t>ENTRA_API_SCOPE</w:t>
            </w:r>
          </w:p>
        </w:tc>
        <w:tc>
          <w:tcPr>
            <w:tcW w:w="6360" w:type="dxa"/>
            <w:tcMar>
              <w:top w:w="80" w:type="dxa"/>
              <w:left w:w="120" w:type="dxa"/>
              <w:bottom w:w="80" w:type="dxa"/>
              <w:right w:w="120" w:type="dxa"/>
            </w:tcMar>
            <w:vAlign w:val="center"/>
          </w:tcPr>
          <w:p w14:paraId="006A58E2" w14:textId="77777777">
            <w:pPr>
              <w:spacing w:after="0" w:line="269" w:lineRule="auto"/>
            </w:pPr>
            <w:r>
              <w:rPr>
                <w:sz w:val="18"/>
              </w:rPr>
              <w:t>api://f6d35a24-dc89-40b0-819a-69400ed2491d/access_as_user</w:t>
            </w:r>
          </w:p>
        </w:tc>
      </w:tr>
    </w:tbl>
    <w:p w14:paraId="64C57085" w14:textId="77777777">
      <w:pPr>
        <w:spacing w:after="20"/>
      </w:pPr>
    </w:p>
    <w:tbl>
      <w:tblPr>
        <w:tblStyle w:val="TableGrid"/>
        <w:tblW w:w="9360" w:type="dxa"/>
        <w:tblInd w:w="120" w:type="dxa"/>
        <w:tblBorders>
          <w:top w:val="single" w:sz="8" w:space="0" w:color="2CB5A9"/>
          <w:left w:val="single" w:sz="8" w:space="0" w:color="2CB5A9"/>
          <w:bottom w:val="single" w:sz="8" w:space="0" w:color="2CB5A9"/>
          <w:right w:val="single" w:sz="8" w:space="0" w:color="2CB5A9"/>
          <w:insideH w:val="single" w:sz="8" w:space="0" w:color="2CB5A9"/>
          <w:insideV w:val="single" w:sz="8" w:space="0" w:color="2CB5A9"/>
        </w:tblBorders>
        <w:tblLayout w:type="fixed"/>
        <w:tblLook w:val="04A0" w:firstRow="1" w:lastRow="0" w:firstColumn="1" w:lastColumn="0" w:noHBand="0" w:noVBand="1"/>
      </w:tblPr>
      <w:tblGrid>
        <w:gridCol w:w="9360"/>
      </w:tblGrid>
      <w:tr w14:paraId="517AA981" w14:textId="77777777">
        <w:trPr>
          <w:cantSplit/>
          <w:tblHeader/>
        </w:trPr>
        <w:tc>
          <w:tcPr>
            <w:tcW w:w="9360" w:type="dxa"/>
            <w:shd w:val="clear" w:color="auto" w:fill="E6F5F3"/>
            <w:tcMar>
              <w:top w:w="80" w:type="dxa"/>
              <w:left w:w="120" w:type="dxa"/>
              <w:bottom w:w="80" w:type="dxa"/>
              <w:right w:w="120" w:type="dxa"/>
            </w:tcMar>
            <w:vAlign w:val="center"/>
          </w:tcPr>
          <w:p w14:paraId="057A94BF" w14:textId="77777777">
            <w:pPr>
              <w:spacing w:after="60"/>
            </w:pPr>
            <w:r>
              <w:rPr>
                <w:b/>
                <w:color w:val="2CB5A9"/>
              </w:rPr>
              <w:lastRenderedPageBreak/>
              <w:t>Identifiers are not passwords</w:t>
            </w:r>
          </w:p>
          <w:p w14:paraId="4AA906E7" w14:textId="77777777">
            <w:pPr>
              <w:spacing w:after="0"/>
            </w:pPr>
            <w:r>
              <w:rPr>
                <w:sz w:val="20"/>
              </w:rPr>
              <w:t>The four values above are non-secret identifiers required at build time. GitHub variables are appropriate. SQL passwords, client secrets, tokens, certificates, production exports and connection credentials are not variables and must never be committed or printed in workflow logs.</w:t>
            </w:r>
          </w:p>
        </w:tc>
      </w:tr>
    </w:tbl>
    <w:p w14:paraId="69C58EAE" w14:textId="77777777">
      <w:pPr>
        <w:spacing w:after="20"/>
      </w:pPr>
    </w:p>
    <w:p w14:paraId="5AFF9ABA" w14:textId="77777777">
      <w:pPr>
        <w:pStyle w:val="Heading2"/>
      </w:pPr>
      <w:r>
        <w:t>Create the first approved tag</w:t>
      </w:r>
    </w:p>
    <w:p w14:paraId="1ADFB288" w14:textId="77777777">
      <w:pPr>
        <w:pStyle w:val="CodeBlock"/>
        <w:shd w:val="clear" w:color="auto" w:fill="F2F4F7"/>
      </w:pPr>
      <w:r>
        <w:t>git status --short</w:t>
      </w:r>
      <w:r>
        <w:br/>
        <w:t>git pull --ff-only</w:t>
      </w:r>
      <w:r>
        <w:br/>
        <w:t>git tag -a v1.0.0 -m "i-Elevate production release v1.0.0"</w:t>
      </w:r>
      <w:r>
        <w:br/>
      </w:r>
      <w:r>
        <w:t>git push origin main</w:t>
      </w:r>
      <w:r>
        <w:br/>
        <w:t>git push origin v1.0.0</w:t>
      </w:r>
    </w:p>
    <w:p w14:paraId="12D0C089" w14:textId="77777777">
      <w:r>
        <w:t>Only tag after the branch is clean, CI passes, the code is accepted and the exact commit is recorded. Use the college's release naming policy if it differs.</w:t>
      </w:r>
    </w:p>
    <w:p w14:paraId="6D76F2ED" w14:textId="77777777">
      <w:pPr>
        <w:pStyle w:val="SmallNote"/>
      </w:pPr>
      <w:r>
        <w:rPr>
          <w:b/>
        </w:rPr>
        <w:t xml:space="preserve">Repository reference: </w:t>
      </w:r>
      <w:r>
        <w:rPr>
          <w:rFonts w:ascii="Consolas" w:eastAsia="Consolas" w:hAnsi="Consolas"/>
          <w:color w:val="1F4D78"/>
          <w:sz w:val="17"/>
        </w:rPr>
        <w:t>.github/workflows/ci.yml</w:t>
      </w:r>
      <w:r>
        <w:t xml:space="preserve">  •  </w:t>
      </w:r>
      <w:r>
        <w:rPr>
          <w:rFonts w:ascii="Consolas" w:eastAsia="Consolas" w:hAnsi="Consolas"/>
          <w:color w:val="1F4D78"/>
          <w:sz w:val="17"/>
        </w:rPr>
        <w:t>.github/workflows/release-azure.yml</w:t>
      </w:r>
      <w:r>
        <w:t xml:space="preserve">  •  </w:t>
      </w:r>
      <w:r>
        <w:rPr>
          <w:rFonts w:ascii="Consolas" w:eastAsia="Consolas" w:hAnsi="Consolas"/>
          <w:color w:val="1F4D78"/>
          <w:sz w:val="17"/>
        </w:rPr>
        <w:t>HANDOVER.md</w:t>
      </w:r>
    </w:p>
    <w:p w14:paraId="07525FEB" w14:textId="4D25675F">
      <w:pPr>
        <w:pStyle w:val="SmallNote"/>
      </w:pPr>
      <w:r>
        <w:rPr>
          <w:b/>
        </w:rPr>
        <w:t xml:space="preserve">Microsoft/GitHub reference: </w:t>
      </w:r>
      <w:hyperlink r:id="rId10">
        <w:r>
          <w:rPr>
            <w:color w:val="1F4D78"/>
            <w:u w:val="single"/>
          </w:rPr>
          <w:t>Move work to an organisation</w:t>
        </w:r>
      </w:hyperlink>
      <w:r>
        <w:t xml:space="preserve">  •  </w:t>
      </w:r>
      <w:hyperlink r:id="rId11">
        <w:r>
          <w:rPr>
            <w:color w:val="1F4D78"/>
            <w:u w:val="single"/>
          </w:rPr>
          <w:t>Repository rulesets</w:t>
        </w:r>
      </w:hyperlink>
      <w:r>
        <w:t xml:space="preserve">  •  </w:t>
      </w:r>
      <w:hyperlink r:id="rId12">
        <w:r>
          <w:rPr>
            <w:color w:val="1F4D78"/>
            <w:u w:val="single"/>
          </w:rPr>
          <w:t>GitHub Actions variables</w:t>
        </w:r>
      </w:hyperlink>
    </w:p>
    <w:p w14:paraId="7E366A8C" w14:textId="77777777">
      <w:pPr>
        <w:pStyle w:val="Heading1"/>
      </w:pPr>
      <w:bookmarkStart w:id="6" w:name="workstation"/>
      <w:r>
        <w:lastRenderedPageBreak/>
        <w:t>5. Prepare the deployment workstation</w:t>
      </w:r>
      <w:bookmarkEnd w:id="6"/>
    </w:p>
    <w:p w14:paraId="08A27533" w14:textId="77777777">
      <w:r>
        <w:t>Use a managed Windows workstation or controlled build runner. The operator must be able to access the college tenant, subscription, GitHub repository and—temporarily—the Azure SQL public endpoint if the starter network design is used.</w:t>
      </w:r>
    </w:p>
    <w:p w14:paraId="5B76CE36" w14:textId="77777777">
      <w:pPr>
        <w:pStyle w:val="Heading2"/>
      </w:pPr>
      <w:r>
        <w:t>Required tools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800"/>
        <w:gridCol w:w="4860"/>
        <w:gridCol w:w="2700"/>
      </w:tblGrid>
      <w:tr w14:paraId="1BD49A41" w14:textId="77777777">
        <w:trPr>
          <w:cantSplit/>
          <w:tblHeader/>
        </w:trPr>
        <w:tc>
          <w:tcPr>
            <w:tcW w:w="1800" w:type="dxa"/>
            <w:shd w:val="clear" w:color="auto" w:fill="E8EEF5"/>
            <w:tcMar>
              <w:top w:w="80" w:type="dxa"/>
              <w:left w:w="120" w:type="dxa"/>
              <w:bottom w:w="80" w:type="dxa"/>
              <w:right w:w="120" w:type="dxa"/>
            </w:tcMar>
            <w:vAlign w:val="center"/>
          </w:tcPr>
          <w:p w14:paraId="77D1DFA8" w14:textId="77777777">
            <w:pPr>
              <w:spacing w:after="0"/>
            </w:pPr>
            <w:r>
              <w:rPr>
                <w:b/>
                <w:color w:val="0B2545"/>
                <w:sz w:val="19"/>
              </w:rPr>
              <w:t>Tool</w:t>
            </w:r>
          </w:p>
        </w:tc>
        <w:tc>
          <w:tcPr>
            <w:tcW w:w="4860" w:type="dxa"/>
            <w:shd w:val="clear" w:color="auto" w:fill="E8EEF5"/>
            <w:tcMar>
              <w:top w:w="80" w:type="dxa"/>
              <w:left w:w="120" w:type="dxa"/>
              <w:bottom w:w="80" w:type="dxa"/>
              <w:right w:w="120" w:type="dxa"/>
            </w:tcMar>
            <w:vAlign w:val="center"/>
          </w:tcPr>
          <w:p w14:paraId="497E1B67" w14:textId="77777777">
            <w:pPr>
              <w:spacing w:after="0"/>
            </w:pPr>
            <w:r>
              <w:rPr>
                <w:b/>
                <w:color w:val="0B2545"/>
                <w:sz w:val="19"/>
              </w:rPr>
              <w:t>Repository requirement</w:t>
            </w:r>
          </w:p>
        </w:tc>
        <w:tc>
          <w:tcPr>
            <w:tcW w:w="2700" w:type="dxa"/>
            <w:shd w:val="clear" w:color="auto" w:fill="E8EEF5"/>
            <w:tcMar>
              <w:top w:w="80" w:type="dxa"/>
              <w:left w:w="120" w:type="dxa"/>
              <w:bottom w:w="80" w:type="dxa"/>
              <w:right w:w="120" w:type="dxa"/>
            </w:tcMar>
            <w:vAlign w:val="center"/>
          </w:tcPr>
          <w:p w14:paraId="05EE2380" w14:textId="77777777">
            <w:pPr>
              <w:spacing w:after="0"/>
            </w:pPr>
            <w:r>
              <w:rPr>
                <w:b/>
                <w:color w:val="0B2545"/>
                <w:sz w:val="19"/>
              </w:rPr>
              <w:t>Check</w:t>
            </w:r>
          </w:p>
        </w:tc>
      </w:tr>
      <w:tr w14:paraId="5F601625" w14:textId="77777777">
        <w:trPr>
          <w:cantSplit/>
        </w:trPr>
        <w:tc>
          <w:tcPr>
            <w:tcW w:w="1800" w:type="dxa"/>
            <w:tcMar>
              <w:top w:w="80" w:type="dxa"/>
              <w:left w:w="120" w:type="dxa"/>
              <w:bottom w:w="80" w:type="dxa"/>
              <w:right w:w="120" w:type="dxa"/>
            </w:tcMar>
            <w:vAlign w:val="center"/>
          </w:tcPr>
          <w:p w14:paraId="462E5E4B" w14:textId="77777777">
            <w:pPr>
              <w:spacing w:after="0" w:line="269" w:lineRule="auto"/>
            </w:pPr>
            <w:r>
              <w:rPr>
                <w:sz w:val="18"/>
              </w:rPr>
              <w:t>Git</w:t>
            </w:r>
          </w:p>
        </w:tc>
        <w:tc>
          <w:tcPr>
            <w:tcW w:w="4860" w:type="dxa"/>
            <w:tcMar>
              <w:top w:w="80" w:type="dxa"/>
              <w:left w:w="120" w:type="dxa"/>
              <w:bottom w:w="80" w:type="dxa"/>
              <w:right w:w="120" w:type="dxa"/>
            </w:tcMar>
            <w:vAlign w:val="center"/>
          </w:tcPr>
          <w:p w14:paraId="7BE4434D" w14:textId="77777777">
            <w:pPr>
              <w:spacing w:after="0" w:line="269" w:lineRule="auto"/>
            </w:pPr>
            <w:r>
              <w:rPr>
                <w:sz w:val="18"/>
              </w:rPr>
              <w:t>Current supported client</w:t>
            </w:r>
          </w:p>
        </w:tc>
        <w:tc>
          <w:tcPr>
            <w:tcW w:w="2700" w:type="dxa"/>
            <w:tcMar>
              <w:top w:w="80" w:type="dxa"/>
              <w:left w:w="120" w:type="dxa"/>
              <w:bottom w:w="80" w:type="dxa"/>
              <w:right w:w="120" w:type="dxa"/>
            </w:tcMar>
            <w:vAlign w:val="center"/>
          </w:tcPr>
          <w:p w14:paraId="7EF6DBED" w14:textId="77777777">
            <w:pPr>
              <w:spacing w:after="0" w:line="269" w:lineRule="auto"/>
            </w:pPr>
            <w:r>
              <w:rPr>
                <w:sz w:val="18"/>
              </w:rPr>
              <w:t>git --version</w:t>
            </w:r>
          </w:p>
        </w:tc>
      </w:tr>
      <w:tr w14:paraId="6CD453DC" w14:textId="77777777">
        <w:trPr>
          <w:cantSplit/>
        </w:trPr>
        <w:tc>
          <w:tcPr>
            <w:tcW w:w="1800" w:type="dxa"/>
            <w:tcMar>
              <w:top w:w="80" w:type="dxa"/>
              <w:left w:w="120" w:type="dxa"/>
              <w:bottom w:w="80" w:type="dxa"/>
              <w:right w:w="120" w:type="dxa"/>
            </w:tcMar>
            <w:vAlign w:val="center"/>
          </w:tcPr>
          <w:p w14:paraId="043E7DCF" w14:textId="77777777">
            <w:pPr>
              <w:spacing w:after="0" w:line="269" w:lineRule="auto"/>
            </w:pPr>
            <w:r>
              <w:rPr>
                <w:sz w:val="18"/>
              </w:rPr>
              <w:t>PowerShell</w:t>
            </w:r>
          </w:p>
        </w:tc>
        <w:tc>
          <w:tcPr>
            <w:tcW w:w="4860" w:type="dxa"/>
            <w:tcMar>
              <w:top w:w="80" w:type="dxa"/>
              <w:left w:w="120" w:type="dxa"/>
              <w:bottom w:w="80" w:type="dxa"/>
              <w:right w:w="120" w:type="dxa"/>
            </w:tcMar>
            <w:vAlign w:val="center"/>
          </w:tcPr>
          <w:p w14:paraId="6C6D250B" w14:textId="77777777">
            <w:pPr>
              <w:spacing w:after="0" w:line="269" w:lineRule="auto"/>
            </w:pPr>
            <w:r>
              <w:rPr>
                <w:sz w:val="18"/>
              </w:rPr>
              <w:t>PowerShell 7 recommended; Windows PowerShell scripts are supported where stated</w:t>
            </w:r>
          </w:p>
        </w:tc>
        <w:tc>
          <w:tcPr>
            <w:tcW w:w="2700" w:type="dxa"/>
            <w:tcMar>
              <w:top w:w="80" w:type="dxa"/>
              <w:left w:w="120" w:type="dxa"/>
              <w:bottom w:w="80" w:type="dxa"/>
              <w:right w:w="120" w:type="dxa"/>
            </w:tcMar>
            <w:vAlign w:val="center"/>
          </w:tcPr>
          <w:p w14:paraId="323315B3" w14:textId="77777777">
            <w:pPr>
              <w:spacing w:after="0" w:line="269" w:lineRule="auto"/>
            </w:pPr>
            <w:r>
              <w:rPr>
                <w:sz w:val="18"/>
              </w:rPr>
              <w:t>$PSVersionTable.PSVersion</w:t>
            </w:r>
          </w:p>
        </w:tc>
      </w:tr>
      <w:tr w14:paraId="4E8C543E" w14:textId="77777777">
        <w:trPr>
          <w:cantSplit/>
        </w:trPr>
        <w:tc>
          <w:tcPr>
            <w:tcW w:w="1800" w:type="dxa"/>
            <w:tcMar>
              <w:top w:w="80" w:type="dxa"/>
              <w:left w:w="120" w:type="dxa"/>
              <w:bottom w:w="80" w:type="dxa"/>
              <w:right w:w="120" w:type="dxa"/>
            </w:tcMar>
            <w:vAlign w:val="center"/>
          </w:tcPr>
          <w:p w14:paraId="28A204FA" w14:textId="77777777">
            <w:pPr>
              <w:spacing w:after="0" w:line="269" w:lineRule="auto"/>
            </w:pPr>
            <w:r>
              <w:rPr>
                <w:sz w:val="18"/>
              </w:rPr>
              <w:t>.NET SDK</w:t>
            </w:r>
          </w:p>
        </w:tc>
        <w:tc>
          <w:tcPr>
            <w:tcW w:w="4860" w:type="dxa"/>
            <w:tcMar>
              <w:top w:w="80" w:type="dxa"/>
              <w:left w:w="120" w:type="dxa"/>
              <w:bottom w:w="80" w:type="dxa"/>
              <w:right w:w="120" w:type="dxa"/>
            </w:tcMar>
            <w:vAlign w:val="center"/>
          </w:tcPr>
          <w:p w14:paraId="6AA5AD94" w14:textId="77777777">
            <w:pPr>
              <w:spacing w:after="0" w:line="269" w:lineRule="auto"/>
            </w:pPr>
            <w:r>
              <w:rPr>
                <w:sz w:val="18"/>
              </w:rPr>
              <w:t>10.0.300 or compatible latest feature band</w:t>
            </w:r>
          </w:p>
        </w:tc>
        <w:tc>
          <w:tcPr>
            <w:tcW w:w="2700" w:type="dxa"/>
            <w:tcMar>
              <w:top w:w="80" w:type="dxa"/>
              <w:left w:w="120" w:type="dxa"/>
              <w:bottom w:w="80" w:type="dxa"/>
              <w:right w:w="120" w:type="dxa"/>
            </w:tcMar>
            <w:vAlign w:val="center"/>
          </w:tcPr>
          <w:p w14:paraId="710100E5" w14:textId="77777777">
            <w:pPr>
              <w:spacing w:after="0" w:line="269" w:lineRule="auto"/>
            </w:pPr>
            <w:r>
              <w:rPr>
                <w:sz w:val="18"/>
              </w:rPr>
              <w:t>dotnet --info</w:t>
            </w:r>
          </w:p>
        </w:tc>
      </w:tr>
      <w:tr w14:paraId="0BEEAD62" w14:textId="77777777">
        <w:trPr>
          <w:cantSplit/>
        </w:trPr>
        <w:tc>
          <w:tcPr>
            <w:tcW w:w="1800" w:type="dxa"/>
            <w:tcMar>
              <w:top w:w="80" w:type="dxa"/>
              <w:left w:w="120" w:type="dxa"/>
              <w:bottom w:w="80" w:type="dxa"/>
              <w:right w:w="120" w:type="dxa"/>
            </w:tcMar>
            <w:vAlign w:val="center"/>
          </w:tcPr>
          <w:p w14:paraId="78889C85" w14:textId="77777777">
            <w:pPr>
              <w:spacing w:after="0" w:line="269" w:lineRule="auto"/>
            </w:pPr>
            <w:r>
              <w:rPr>
                <w:sz w:val="18"/>
              </w:rPr>
              <w:t>Node.js</w:t>
            </w:r>
          </w:p>
        </w:tc>
        <w:tc>
          <w:tcPr>
            <w:tcW w:w="4860" w:type="dxa"/>
            <w:tcMar>
              <w:top w:w="80" w:type="dxa"/>
              <w:left w:w="120" w:type="dxa"/>
              <w:bottom w:w="80" w:type="dxa"/>
              <w:right w:w="120" w:type="dxa"/>
            </w:tcMar>
            <w:vAlign w:val="center"/>
          </w:tcPr>
          <w:p w14:paraId="2BE99DE4" w14:textId="77777777">
            <w:pPr>
              <w:spacing w:after="0" w:line="269" w:lineRule="auto"/>
            </w:pPr>
            <w:r>
              <w:rPr>
                <w:sz w:val="18"/>
              </w:rPr>
              <w:t>24</w:t>
            </w:r>
          </w:p>
        </w:tc>
        <w:tc>
          <w:tcPr>
            <w:tcW w:w="2700" w:type="dxa"/>
            <w:tcMar>
              <w:top w:w="80" w:type="dxa"/>
              <w:left w:w="120" w:type="dxa"/>
              <w:bottom w:w="80" w:type="dxa"/>
              <w:right w:w="120" w:type="dxa"/>
            </w:tcMar>
            <w:vAlign w:val="center"/>
          </w:tcPr>
          <w:p w14:paraId="3C5B0C2B" w14:textId="77777777">
            <w:pPr>
              <w:spacing w:after="0" w:line="269" w:lineRule="auto"/>
            </w:pPr>
            <w:r>
              <w:rPr>
                <w:sz w:val="18"/>
              </w:rPr>
              <w:t>node --version</w:t>
            </w:r>
          </w:p>
        </w:tc>
      </w:tr>
      <w:tr w14:paraId="28EDF630" w14:textId="77777777">
        <w:trPr>
          <w:cantSplit/>
        </w:trPr>
        <w:tc>
          <w:tcPr>
            <w:tcW w:w="1800" w:type="dxa"/>
            <w:tcMar>
              <w:top w:w="80" w:type="dxa"/>
              <w:left w:w="120" w:type="dxa"/>
              <w:bottom w:w="80" w:type="dxa"/>
              <w:right w:w="120" w:type="dxa"/>
            </w:tcMar>
            <w:vAlign w:val="center"/>
          </w:tcPr>
          <w:p w14:paraId="5E7E4152" w14:textId="77777777">
            <w:pPr>
              <w:spacing w:after="0" w:line="269" w:lineRule="auto"/>
            </w:pPr>
            <w:r>
              <w:rPr>
                <w:sz w:val="18"/>
              </w:rPr>
              <w:t>npm</w:t>
            </w:r>
          </w:p>
        </w:tc>
        <w:tc>
          <w:tcPr>
            <w:tcW w:w="4860" w:type="dxa"/>
            <w:tcMar>
              <w:top w:w="80" w:type="dxa"/>
              <w:left w:w="120" w:type="dxa"/>
              <w:bottom w:w="80" w:type="dxa"/>
              <w:right w:w="120" w:type="dxa"/>
            </w:tcMar>
            <w:vAlign w:val="center"/>
          </w:tcPr>
          <w:p w14:paraId="2C9CD3E3" w14:textId="77777777">
            <w:pPr>
              <w:spacing w:after="0" w:line="269" w:lineRule="auto"/>
            </w:pPr>
            <w:r>
              <w:rPr>
                <w:sz w:val="18"/>
              </w:rPr>
              <w:t>Bundled with approved Node installation</w:t>
            </w:r>
          </w:p>
        </w:tc>
        <w:tc>
          <w:tcPr>
            <w:tcW w:w="2700" w:type="dxa"/>
            <w:tcMar>
              <w:top w:w="80" w:type="dxa"/>
              <w:left w:w="120" w:type="dxa"/>
              <w:bottom w:w="80" w:type="dxa"/>
              <w:right w:w="120" w:type="dxa"/>
            </w:tcMar>
            <w:vAlign w:val="center"/>
          </w:tcPr>
          <w:p w14:paraId="177970ED" w14:textId="77777777">
            <w:pPr>
              <w:spacing w:after="0" w:line="269" w:lineRule="auto"/>
            </w:pPr>
            <w:r>
              <w:rPr>
                <w:sz w:val="18"/>
              </w:rPr>
              <w:t>npm --version</w:t>
            </w:r>
          </w:p>
        </w:tc>
      </w:tr>
      <w:tr w14:paraId="531E8FAA" w14:textId="77777777">
        <w:trPr>
          <w:cantSplit/>
        </w:trPr>
        <w:tc>
          <w:tcPr>
            <w:tcW w:w="1800" w:type="dxa"/>
            <w:tcMar>
              <w:top w:w="80" w:type="dxa"/>
              <w:left w:w="120" w:type="dxa"/>
              <w:bottom w:w="80" w:type="dxa"/>
              <w:right w:w="120" w:type="dxa"/>
            </w:tcMar>
            <w:vAlign w:val="center"/>
          </w:tcPr>
          <w:p w14:paraId="4C0A4ADB" w14:textId="77777777">
            <w:pPr>
              <w:spacing w:after="0" w:line="269" w:lineRule="auto"/>
            </w:pPr>
            <w:r>
              <w:rPr>
                <w:sz w:val="18"/>
              </w:rPr>
              <w:t>Azure CLI</w:t>
            </w:r>
          </w:p>
        </w:tc>
        <w:tc>
          <w:tcPr>
            <w:tcW w:w="4860" w:type="dxa"/>
            <w:tcMar>
              <w:top w:w="80" w:type="dxa"/>
              <w:left w:w="120" w:type="dxa"/>
              <w:bottom w:w="80" w:type="dxa"/>
              <w:right w:w="120" w:type="dxa"/>
            </w:tcMar>
            <w:vAlign w:val="center"/>
          </w:tcPr>
          <w:p w14:paraId="41E68EF9" w14:textId="77777777">
            <w:pPr>
              <w:spacing w:after="0" w:line="269" w:lineRule="auto"/>
            </w:pPr>
            <w:r>
              <w:rPr>
                <w:sz w:val="18"/>
              </w:rPr>
              <w:t>Current supported version with Bicep</w:t>
            </w:r>
          </w:p>
        </w:tc>
        <w:tc>
          <w:tcPr>
            <w:tcW w:w="2700" w:type="dxa"/>
            <w:tcMar>
              <w:top w:w="80" w:type="dxa"/>
              <w:left w:w="120" w:type="dxa"/>
              <w:bottom w:w="80" w:type="dxa"/>
              <w:right w:w="120" w:type="dxa"/>
            </w:tcMar>
            <w:vAlign w:val="center"/>
          </w:tcPr>
          <w:p w14:paraId="4507B103" w14:textId="77777777">
            <w:pPr>
              <w:spacing w:after="0" w:line="269" w:lineRule="auto"/>
            </w:pPr>
            <w:r>
              <w:rPr>
                <w:sz w:val="18"/>
              </w:rPr>
              <w:t>az version; az bicep version</w:t>
            </w:r>
          </w:p>
        </w:tc>
      </w:tr>
      <w:tr w14:paraId="44EB7A73" w14:textId="77777777">
        <w:trPr>
          <w:cantSplit/>
        </w:trPr>
        <w:tc>
          <w:tcPr>
            <w:tcW w:w="1800" w:type="dxa"/>
            <w:tcMar>
              <w:top w:w="80" w:type="dxa"/>
              <w:left w:w="120" w:type="dxa"/>
              <w:bottom w:w="80" w:type="dxa"/>
              <w:right w:w="120" w:type="dxa"/>
            </w:tcMar>
            <w:vAlign w:val="center"/>
          </w:tcPr>
          <w:p w14:paraId="567A42D9" w14:textId="77777777">
            <w:pPr>
              <w:spacing w:after="0" w:line="269" w:lineRule="auto"/>
            </w:pPr>
            <w:r>
              <w:rPr>
                <w:sz w:val="18"/>
              </w:rPr>
              <w:t>sqlcmd</w:t>
            </w:r>
          </w:p>
        </w:tc>
        <w:tc>
          <w:tcPr>
            <w:tcW w:w="4860" w:type="dxa"/>
            <w:tcMar>
              <w:top w:w="80" w:type="dxa"/>
              <w:left w:w="120" w:type="dxa"/>
              <w:bottom w:w="80" w:type="dxa"/>
              <w:right w:w="120" w:type="dxa"/>
            </w:tcMar>
            <w:vAlign w:val="center"/>
          </w:tcPr>
          <w:p w14:paraId="2B6373B9" w14:textId="77777777">
            <w:pPr>
              <w:spacing w:after="0" w:line="269" w:lineRule="auto"/>
            </w:pPr>
            <w:r>
              <w:rPr>
                <w:sz w:val="18"/>
              </w:rPr>
              <w:t>Microsoft SQL command-line tools with Entra support</w:t>
            </w:r>
          </w:p>
        </w:tc>
        <w:tc>
          <w:tcPr>
            <w:tcW w:w="2700" w:type="dxa"/>
            <w:tcMar>
              <w:top w:w="80" w:type="dxa"/>
              <w:left w:w="120" w:type="dxa"/>
              <w:bottom w:w="80" w:type="dxa"/>
              <w:right w:w="120" w:type="dxa"/>
            </w:tcMar>
            <w:vAlign w:val="center"/>
          </w:tcPr>
          <w:p w14:paraId="215B4179" w14:textId="77777777">
            <w:pPr>
              <w:spacing w:after="0" w:line="269" w:lineRule="auto"/>
            </w:pPr>
            <w:r>
              <w:rPr>
                <w:sz w:val="18"/>
              </w:rPr>
              <w:t>sqlcmd -?</w:t>
            </w:r>
          </w:p>
        </w:tc>
      </w:tr>
      <w:tr w14:paraId="523168CD" w14:textId="77777777">
        <w:trPr>
          <w:cantSplit/>
        </w:trPr>
        <w:tc>
          <w:tcPr>
            <w:tcW w:w="1800" w:type="dxa"/>
            <w:tcMar>
              <w:top w:w="80" w:type="dxa"/>
              <w:left w:w="120" w:type="dxa"/>
              <w:bottom w:w="80" w:type="dxa"/>
              <w:right w:w="120" w:type="dxa"/>
            </w:tcMar>
            <w:vAlign w:val="center"/>
          </w:tcPr>
          <w:p w14:paraId="18C57029" w14:textId="77777777">
            <w:pPr>
              <w:spacing w:after="0" w:line="269" w:lineRule="auto"/>
            </w:pPr>
            <w:r>
              <w:rPr>
                <w:sz w:val="18"/>
              </w:rPr>
              <w:t>Optional SSMS</w:t>
            </w:r>
          </w:p>
        </w:tc>
        <w:tc>
          <w:tcPr>
            <w:tcW w:w="4860" w:type="dxa"/>
            <w:tcMar>
              <w:top w:w="80" w:type="dxa"/>
              <w:left w:w="120" w:type="dxa"/>
              <w:bottom w:w="80" w:type="dxa"/>
              <w:right w:w="120" w:type="dxa"/>
            </w:tcMar>
            <w:vAlign w:val="center"/>
          </w:tcPr>
          <w:p w14:paraId="696C9B53" w14:textId="77777777">
            <w:pPr>
              <w:spacing w:after="0" w:line="269" w:lineRule="auto"/>
            </w:pPr>
            <w:r>
              <w:rPr>
                <w:sz w:val="18"/>
              </w:rPr>
              <w:t>Current supported SQL Server Management Studio</w:t>
            </w:r>
          </w:p>
        </w:tc>
        <w:tc>
          <w:tcPr>
            <w:tcW w:w="2700" w:type="dxa"/>
            <w:tcMar>
              <w:top w:w="80" w:type="dxa"/>
              <w:left w:w="120" w:type="dxa"/>
              <w:bottom w:w="80" w:type="dxa"/>
              <w:right w:w="120" w:type="dxa"/>
            </w:tcMar>
            <w:vAlign w:val="center"/>
          </w:tcPr>
          <w:p w14:paraId="068FB578" w14:textId="77777777">
            <w:pPr>
              <w:spacing w:after="0" w:line="269" w:lineRule="auto"/>
            </w:pPr>
            <w:r>
              <w:rPr>
                <w:sz w:val="18"/>
              </w:rPr>
              <w:t>Use Microsoft Entra authentication</w:t>
            </w:r>
          </w:p>
        </w:tc>
      </w:tr>
    </w:tbl>
    <w:p w14:paraId="4C8E60C1" w14:textId="77777777">
      <w:pPr>
        <w:spacing w:after="20"/>
      </w:pPr>
    </w:p>
    <w:p w14:paraId="0D22B59E" w14:textId="77777777">
      <w:pPr>
        <w:pStyle w:val="Heading2"/>
      </w:pPr>
      <w:r>
        <w:t>Prepare a clean checkout</w:t>
      </w:r>
    </w:p>
    <w:p w14:paraId="079E184A" w14:textId="77777777">
      <w:pPr>
        <w:pStyle w:val="CodeBlock"/>
        <w:shd w:val="clear" w:color="auto" w:fill="F2F4F7"/>
      </w:pPr>
      <w:r>
        <w:t>git clone https://github.com/&lt;college-org&gt;/&lt;repository&gt;.git</w:t>
      </w:r>
      <w:r>
        <w:br/>
        <w:t>Set-Location .\&lt;repository&gt;</w:t>
      </w:r>
      <w:r>
        <w:br/>
        <w:t>git fetch --tags --prune</w:t>
      </w:r>
      <w:r>
        <w:br/>
      </w:r>
      <w:r>
        <w:t>git checkout v1.0.0</w:t>
      </w:r>
      <w:r>
        <w:br/>
        <w:t>git status --short</w:t>
      </w:r>
    </w:p>
    <w:p w14:paraId="57167099" w14:textId="77777777">
      <w:r>
        <w:t>The final command must return no changed or untracked files. Do not use -AllowDirty for a production release.</w:t>
      </w:r>
    </w:p>
    <w:p w14:paraId="12EA93BF" w14:textId="77777777">
      <w:pPr>
        <w:pStyle w:val="Heading2"/>
      </w:pPr>
      <w:r>
        <w:t>Check the Azure context before every Azure command</w:t>
      </w:r>
    </w:p>
    <w:p w14:paraId="4C32CB05" w14:textId="77777777">
      <w:pPr>
        <w:pStyle w:val="CodeBlock"/>
        <w:shd w:val="clear" w:color="auto" w:fill="F2F4F7"/>
      </w:pPr>
      <w:r>
        <w:t>az login --tenant 2ff33ca4-e942-419c-b5ca-e224a5167498</w:t>
      </w:r>
      <w:r>
        <w:br/>
        <w:t>az account set --subscription acd523b9-54eb-4bbe-8776-fb761860c362</w:t>
      </w:r>
      <w:r>
        <w:br/>
        <w:t>az account show --query "{tenant:tenantId,subscription:id,name:name,user:user.name}" -o table</w:t>
      </w:r>
    </w:p>
    <w:tbl>
      <w:tblPr>
        <w:tblStyle w:val="TableGrid"/>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14:paraId="74CA4359" w14:textId="77777777">
        <w:trPr>
          <w:cantSplit/>
          <w:tblHeader/>
        </w:trPr>
        <w:tc>
          <w:tcPr>
            <w:tcW w:w="9360" w:type="dxa"/>
            <w:shd w:val="clear" w:color="auto" w:fill="FFF4CC"/>
            <w:tcMar>
              <w:top w:w="80" w:type="dxa"/>
              <w:left w:w="120" w:type="dxa"/>
              <w:bottom w:w="80" w:type="dxa"/>
              <w:right w:w="120" w:type="dxa"/>
            </w:tcMar>
            <w:vAlign w:val="center"/>
          </w:tcPr>
          <w:p w14:paraId="53A36757" w14:textId="77777777">
            <w:pPr>
              <w:spacing w:after="60"/>
            </w:pPr>
            <w:r>
              <w:rPr>
                <w:b/>
                <w:color w:val="7A5A00"/>
              </w:rPr>
              <w:lastRenderedPageBreak/>
              <w:t>Read the displayed account</w:t>
            </w:r>
          </w:p>
          <w:p w14:paraId="3EC05D5B" w14:textId="77777777">
            <w:pPr>
              <w:spacing w:after="0"/>
            </w:pPr>
            <w:r>
              <w:rPr>
                <w:sz w:val="20"/>
              </w:rPr>
              <w:t>Do not assume az login selected the correct tenant or subscription. Stop if either GUID differs from the approved environment record, or if the displayed operator is not the authorised deployment identity.</w:t>
            </w:r>
          </w:p>
        </w:tc>
      </w:tr>
    </w:tbl>
    <w:p w14:paraId="0E869EA0" w14:textId="77777777">
      <w:pPr>
        <w:spacing w:after="20"/>
      </w:pPr>
    </w:p>
    <w:p w14:paraId="5D802C2D" w14:textId="77777777">
      <w:pPr>
        <w:pStyle w:val="Heading2"/>
      </w:pPr>
      <w:r>
        <w:t>Confirm the App Service runtime string before provisioning</w:t>
      </w:r>
    </w:p>
    <w:p w14:paraId="192BA233" w14:textId="77777777">
      <w:pPr>
        <w:pStyle w:val="CodeBlock"/>
        <w:shd w:val="clear" w:color="auto" w:fill="F2F4F7"/>
      </w:pPr>
      <w:r>
        <w:t>az webapp list-runtimes --os linux --runtime dotnet --support supported -o table</w:t>
      </w:r>
    </w:p>
    <w:p w14:paraId="39FA4EED" w14:textId="77777777">
      <w:r>
        <w:t>The current Bicep template uses DOTNETCORE|10.0. Confirm that Azure still lists the .NET 10 Linux runtime in UK South. If Microsoft changes the accepted string, update and review the Bicep template before deployment—do not improvise directly in production.</w:t>
      </w:r>
    </w:p>
    <w:p w14:paraId="52B2B01D" w14:textId="77777777">
      <w:pPr>
        <w:pStyle w:val="SmallNote"/>
      </w:pPr>
      <w:r>
        <w:rPr>
          <w:b/>
        </w:rPr>
        <w:t xml:space="preserve">Repository reference: </w:t>
      </w:r>
      <w:r>
        <w:rPr>
          <w:rFonts w:ascii="Consolas" w:eastAsia="Consolas" w:hAnsi="Consolas"/>
          <w:color w:val="1F4D78"/>
          <w:sz w:val="17"/>
        </w:rPr>
        <w:t>global.json</w:t>
      </w:r>
      <w:r>
        <w:t xml:space="preserve">  •  </w:t>
      </w:r>
      <w:r>
        <w:rPr>
          <w:rFonts w:ascii="Consolas" w:eastAsia="Consolas" w:hAnsi="Consolas"/>
          <w:color w:val="1F4D78"/>
          <w:sz w:val="17"/>
        </w:rPr>
        <w:t>Directory.Packages.props</w:t>
      </w:r>
      <w:r>
        <w:t xml:space="preserve">  •  </w:t>
      </w:r>
      <w:r>
        <w:rPr>
          <w:rFonts w:ascii="Consolas" w:eastAsia="Consolas" w:hAnsi="Consolas"/>
          <w:color w:val="1F4D78"/>
          <w:sz w:val="17"/>
        </w:rPr>
        <w:t>apps/web/package.json</w:t>
      </w:r>
      <w:r>
        <w:t xml:space="preserve">  •  </w:t>
      </w:r>
      <w:r>
        <w:rPr>
          <w:rFonts w:ascii="Consolas" w:eastAsia="Consolas" w:hAnsi="Consolas"/>
          <w:color w:val="1F4D78"/>
          <w:sz w:val="17"/>
        </w:rPr>
        <w:t>scripts/check-prerequisites.ps1</w:t>
      </w:r>
    </w:p>
    <w:p w14:paraId="2C1B3675" w14:textId="3D92ED16">
      <w:pPr>
        <w:pStyle w:val="SmallNote"/>
      </w:pPr>
      <w:r>
        <w:rPr>
          <w:b/>
        </w:rPr>
        <w:t xml:space="preserve">Microsoft/GitHub reference: </w:t>
      </w:r>
      <w:hyperlink r:id="rId13">
        <w:r>
          <w:rPr>
            <w:color w:val="1F4D78"/>
            <w:u w:val="single"/>
          </w:rPr>
          <w:t>Bicep with Azure CLI</w:t>
        </w:r>
      </w:hyperlink>
      <w:r>
        <w:t xml:space="preserve">  •  </w:t>
      </w:r>
      <w:hyperlink r:id="rId14">
        <w:r>
          <w:rPr>
            <w:color w:val="1F4D78"/>
            <w:u w:val="single"/>
          </w:rPr>
          <w:t>Configure ASP.NET Core on App Service</w:t>
        </w:r>
      </w:hyperlink>
    </w:p>
    <w:p w14:paraId="2B04EBE4" w14:textId="77777777">
      <w:pPr>
        <w:pStyle w:val="Heading1"/>
      </w:pPr>
      <w:bookmarkStart w:id="7" w:name="entra"/>
      <w:r>
        <w:lastRenderedPageBreak/>
        <w:t>6. Finish Microsoft Entra configuration</w:t>
      </w:r>
      <w:bookmarkEnd w:id="7"/>
    </w:p>
    <w:p w14:paraId="76DA44F2" w14:textId="77777777">
      <w:r>
        <w:t>i-Elevate deliberately uses two single-tenant app registrations: one identifies the protected API and exposes a delegated scope; the second identifies the React single-page application (SPA) used in the browser. Neither registration needs a client secret for this design.</w:t>
      </w:r>
    </w:p>
    <w:p w14:paraId="2E93DDD1" w14:textId="77777777">
      <w:pPr>
        <w:pStyle w:val="Heading2"/>
      </w:pPr>
      <w:r>
        <w:t>Known registrations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100"/>
        <w:gridCol w:w="3900"/>
        <w:gridCol w:w="3360"/>
      </w:tblGrid>
      <w:tr w14:paraId="7C346669" w14:textId="77777777">
        <w:trPr>
          <w:cantSplit/>
          <w:tblHeader/>
        </w:trPr>
        <w:tc>
          <w:tcPr>
            <w:tcW w:w="2100" w:type="dxa"/>
            <w:shd w:val="clear" w:color="auto" w:fill="E8EEF5"/>
            <w:tcMar>
              <w:top w:w="80" w:type="dxa"/>
              <w:left w:w="120" w:type="dxa"/>
              <w:bottom w:w="80" w:type="dxa"/>
              <w:right w:w="120" w:type="dxa"/>
            </w:tcMar>
            <w:vAlign w:val="center"/>
          </w:tcPr>
          <w:p w14:paraId="79B175F6" w14:textId="77777777">
            <w:pPr>
              <w:spacing w:after="0"/>
            </w:pPr>
            <w:r>
              <w:rPr>
                <w:b/>
                <w:color w:val="0B2545"/>
                <w:sz w:val="19"/>
              </w:rPr>
              <w:t>Registration</w:t>
            </w:r>
          </w:p>
        </w:tc>
        <w:tc>
          <w:tcPr>
            <w:tcW w:w="3900" w:type="dxa"/>
            <w:shd w:val="clear" w:color="auto" w:fill="E8EEF5"/>
            <w:tcMar>
              <w:top w:w="80" w:type="dxa"/>
              <w:left w:w="120" w:type="dxa"/>
              <w:bottom w:w="80" w:type="dxa"/>
              <w:right w:w="120" w:type="dxa"/>
            </w:tcMar>
            <w:vAlign w:val="center"/>
          </w:tcPr>
          <w:p w14:paraId="280752CF" w14:textId="77777777">
            <w:pPr>
              <w:spacing w:after="0"/>
            </w:pPr>
            <w:r>
              <w:rPr>
                <w:b/>
                <w:color w:val="0B2545"/>
                <w:sz w:val="19"/>
              </w:rPr>
              <w:t>Known ID</w:t>
            </w:r>
          </w:p>
        </w:tc>
        <w:tc>
          <w:tcPr>
            <w:tcW w:w="3360" w:type="dxa"/>
            <w:shd w:val="clear" w:color="auto" w:fill="E8EEF5"/>
            <w:tcMar>
              <w:top w:w="80" w:type="dxa"/>
              <w:left w:w="120" w:type="dxa"/>
              <w:bottom w:w="80" w:type="dxa"/>
              <w:right w:w="120" w:type="dxa"/>
            </w:tcMar>
            <w:vAlign w:val="center"/>
          </w:tcPr>
          <w:p w14:paraId="3C008D2A" w14:textId="77777777">
            <w:pPr>
              <w:spacing w:after="0"/>
            </w:pPr>
            <w:r>
              <w:rPr>
                <w:b/>
                <w:color w:val="0B2545"/>
                <w:sz w:val="19"/>
              </w:rPr>
              <w:t>Purpose</w:t>
            </w:r>
          </w:p>
        </w:tc>
      </w:tr>
      <w:tr w14:paraId="0E950775" w14:textId="77777777">
        <w:trPr>
          <w:cantSplit/>
        </w:trPr>
        <w:tc>
          <w:tcPr>
            <w:tcW w:w="2100" w:type="dxa"/>
            <w:tcMar>
              <w:top w:w="80" w:type="dxa"/>
              <w:left w:w="120" w:type="dxa"/>
              <w:bottom w:w="80" w:type="dxa"/>
              <w:right w:w="120" w:type="dxa"/>
            </w:tcMar>
            <w:vAlign w:val="center"/>
          </w:tcPr>
          <w:p w14:paraId="0149C867" w14:textId="77777777">
            <w:pPr>
              <w:spacing w:after="0" w:line="269" w:lineRule="auto"/>
            </w:pPr>
            <w:r>
              <w:rPr>
                <w:sz w:val="18"/>
              </w:rPr>
              <w:t>i-Elevate API</w:t>
            </w:r>
          </w:p>
        </w:tc>
        <w:tc>
          <w:tcPr>
            <w:tcW w:w="3900" w:type="dxa"/>
            <w:tcMar>
              <w:top w:w="80" w:type="dxa"/>
              <w:left w:w="120" w:type="dxa"/>
              <w:bottom w:w="80" w:type="dxa"/>
              <w:right w:w="120" w:type="dxa"/>
            </w:tcMar>
            <w:vAlign w:val="center"/>
          </w:tcPr>
          <w:p w14:paraId="0699CD72" w14:textId="77777777">
            <w:pPr>
              <w:spacing w:after="0" w:line="269" w:lineRule="auto"/>
            </w:pPr>
            <w:r>
              <w:rPr>
                <w:sz w:val="18"/>
              </w:rPr>
              <w:t>f6d35a24-dc89-40b0-819a-69400ed2491d</w:t>
            </w:r>
          </w:p>
        </w:tc>
        <w:tc>
          <w:tcPr>
            <w:tcW w:w="3360" w:type="dxa"/>
            <w:tcMar>
              <w:top w:w="80" w:type="dxa"/>
              <w:left w:w="120" w:type="dxa"/>
              <w:bottom w:w="80" w:type="dxa"/>
              <w:right w:w="120" w:type="dxa"/>
            </w:tcMar>
            <w:vAlign w:val="center"/>
          </w:tcPr>
          <w:p w14:paraId="556B4077" w14:textId="77777777">
            <w:pPr>
              <w:spacing w:after="0" w:line="269" w:lineRule="auto"/>
            </w:pPr>
            <w:r>
              <w:rPr>
                <w:sz w:val="18"/>
              </w:rPr>
              <w:t>Validates Oldham College user tokens and exposes access_as_user.</w:t>
            </w:r>
          </w:p>
        </w:tc>
      </w:tr>
      <w:tr w14:paraId="557B5C9A" w14:textId="77777777">
        <w:trPr>
          <w:cantSplit/>
        </w:trPr>
        <w:tc>
          <w:tcPr>
            <w:tcW w:w="2100" w:type="dxa"/>
            <w:tcMar>
              <w:top w:w="80" w:type="dxa"/>
              <w:left w:w="120" w:type="dxa"/>
              <w:bottom w:w="80" w:type="dxa"/>
              <w:right w:w="120" w:type="dxa"/>
            </w:tcMar>
            <w:vAlign w:val="center"/>
          </w:tcPr>
          <w:p w14:paraId="064BCF27" w14:textId="77777777">
            <w:pPr>
              <w:spacing w:after="0" w:line="269" w:lineRule="auto"/>
            </w:pPr>
            <w:r>
              <w:rPr>
                <w:sz w:val="18"/>
              </w:rPr>
              <w:t>i-Elevate Web</w:t>
            </w:r>
          </w:p>
        </w:tc>
        <w:tc>
          <w:tcPr>
            <w:tcW w:w="3900" w:type="dxa"/>
            <w:tcMar>
              <w:top w:w="80" w:type="dxa"/>
              <w:left w:w="120" w:type="dxa"/>
              <w:bottom w:w="80" w:type="dxa"/>
              <w:right w:w="120" w:type="dxa"/>
            </w:tcMar>
            <w:vAlign w:val="center"/>
          </w:tcPr>
          <w:p w14:paraId="2556AEC3" w14:textId="77777777">
            <w:pPr>
              <w:spacing w:after="0" w:line="269" w:lineRule="auto"/>
            </w:pPr>
            <w:r>
              <w:rPr>
                <w:sz w:val="18"/>
              </w:rPr>
              <w:t>40b00b7a-32b3-4a89-bac0-f016fd431d95</w:t>
            </w:r>
          </w:p>
        </w:tc>
        <w:tc>
          <w:tcPr>
            <w:tcW w:w="3360" w:type="dxa"/>
            <w:tcMar>
              <w:top w:w="80" w:type="dxa"/>
              <w:left w:w="120" w:type="dxa"/>
              <w:bottom w:w="80" w:type="dxa"/>
              <w:right w:w="120" w:type="dxa"/>
            </w:tcMar>
            <w:vAlign w:val="center"/>
          </w:tcPr>
          <w:p w14:paraId="097B2D09" w14:textId="77777777">
            <w:pPr>
              <w:spacing w:after="0" w:line="269" w:lineRule="auto"/>
            </w:pPr>
            <w:r>
              <w:rPr>
                <w:sz w:val="18"/>
              </w:rPr>
              <w:t>Browser SPA requests the API's delegated scope.</w:t>
            </w:r>
          </w:p>
        </w:tc>
      </w:tr>
      <w:tr w14:paraId="66BE757C" w14:textId="77777777">
        <w:trPr>
          <w:cantSplit/>
        </w:trPr>
        <w:tc>
          <w:tcPr>
            <w:tcW w:w="2100" w:type="dxa"/>
            <w:tcMar>
              <w:top w:w="80" w:type="dxa"/>
              <w:left w:w="120" w:type="dxa"/>
              <w:bottom w:w="80" w:type="dxa"/>
              <w:right w:w="120" w:type="dxa"/>
            </w:tcMar>
            <w:vAlign w:val="center"/>
          </w:tcPr>
          <w:p w14:paraId="789C71D5" w14:textId="77777777">
            <w:pPr>
              <w:spacing w:after="0" w:line="269" w:lineRule="auto"/>
            </w:pPr>
            <w:r>
              <w:rPr>
                <w:sz w:val="18"/>
              </w:rPr>
              <w:t>Tenant</w:t>
            </w:r>
          </w:p>
        </w:tc>
        <w:tc>
          <w:tcPr>
            <w:tcW w:w="3900" w:type="dxa"/>
            <w:tcMar>
              <w:top w:w="80" w:type="dxa"/>
              <w:left w:w="120" w:type="dxa"/>
              <w:bottom w:w="80" w:type="dxa"/>
              <w:right w:w="120" w:type="dxa"/>
            </w:tcMar>
            <w:vAlign w:val="center"/>
          </w:tcPr>
          <w:p w14:paraId="24C7FC2E" w14:textId="77777777">
            <w:pPr>
              <w:spacing w:after="0" w:line="269" w:lineRule="auto"/>
            </w:pPr>
            <w:r>
              <w:rPr>
                <w:sz w:val="18"/>
              </w:rPr>
              <w:t>2ff33ca4-e942-419c-b5ca-e224a5167498</w:t>
            </w:r>
          </w:p>
        </w:tc>
        <w:tc>
          <w:tcPr>
            <w:tcW w:w="3360" w:type="dxa"/>
            <w:tcMar>
              <w:top w:w="80" w:type="dxa"/>
              <w:left w:w="120" w:type="dxa"/>
              <w:bottom w:w="80" w:type="dxa"/>
              <w:right w:w="120" w:type="dxa"/>
            </w:tcMar>
            <w:vAlign w:val="center"/>
          </w:tcPr>
          <w:p w14:paraId="272237AB" w14:textId="77777777">
            <w:pPr>
              <w:spacing w:after="0" w:line="269" w:lineRule="auto"/>
            </w:pPr>
            <w:r>
              <w:rPr>
                <w:sz w:val="18"/>
              </w:rPr>
              <w:t>Accounts in this organisational directory only.</w:t>
            </w:r>
          </w:p>
        </w:tc>
      </w:tr>
    </w:tbl>
    <w:p w14:paraId="33ADF223" w14:textId="77777777">
      <w:pPr>
        <w:spacing w:after="20"/>
      </w:pPr>
    </w:p>
    <w:p w14:paraId="332EE542" w14:textId="77777777">
      <w:pPr>
        <w:pStyle w:val="Heading2"/>
      </w:pPr>
      <w:r>
        <w:t>Check the API registration</w:t>
      </w:r>
    </w:p>
    <w:p w14:paraId="291DE5D3" w14:textId="77777777">
      <w:pPr>
        <w:spacing w:after="80"/>
        <w:ind w:left="29"/>
      </w:pPr>
      <w:r>
        <w:rPr>
          <w:b/>
          <w:color w:val="2CB5A9"/>
        </w:rPr>
        <w:t>☐</w:t>
      </w:r>
      <w:r>
        <w:rPr>
          <w:b/>
          <w:color w:val="2CB5A9"/>
        </w:rPr>
        <w:t xml:space="preserve">  </w:t>
      </w:r>
      <w:r>
        <w:t>Supported account type is Accounts in this organisational directory only.</w:t>
      </w:r>
    </w:p>
    <w:p w14:paraId="7B06A91D" w14:textId="77777777">
      <w:pPr>
        <w:spacing w:after="80"/>
        <w:ind w:left="29"/>
      </w:pPr>
      <w:r>
        <w:rPr>
          <w:b/>
          <w:color w:val="2CB5A9"/>
        </w:rPr>
        <w:t>☐</w:t>
      </w:r>
      <w:r>
        <w:rPr>
          <w:b/>
          <w:color w:val="2CB5A9"/>
        </w:rPr>
        <w:t xml:space="preserve">  </w:t>
      </w:r>
      <w:r>
        <w:t>Application ID URI is api://f6d35a24-dc89-40b0-819a-69400ed2491d.</w:t>
      </w:r>
    </w:p>
    <w:p w14:paraId="4992B917" w14:textId="77777777">
      <w:pPr>
        <w:spacing w:after="80"/>
        <w:ind w:left="29"/>
      </w:pPr>
      <w:r>
        <w:rPr>
          <w:b/>
          <w:color w:val="2CB5A9"/>
        </w:rPr>
        <w:t>☐</w:t>
      </w:r>
      <w:r>
        <w:rPr>
          <w:b/>
          <w:color w:val="2CB5A9"/>
        </w:rPr>
        <w:t xml:space="preserve">  </w:t>
      </w:r>
      <w:r>
        <w:t>Expose an API contains an enabled delegated scope named access_as_user.</w:t>
      </w:r>
    </w:p>
    <w:p w14:paraId="1CD3956D" w14:textId="77777777">
      <w:pPr>
        <w:spacing w:after="80"/>
        <w:ind w:left="29"/>
      </w:pPr>
      <w:r>
        <w:rPr>
          <w:b/>
          <w:color w:val="2CB5A9"/>
        </w:rPr>
        <w:t>☐</w:t>
      </w:r>
      <w:r>
        <w:rPr>
          <w:b/>
          <w:color w:val="2CB5A9"/>
        </w:rPr>
        <w:t xml:space="preserve">  </w:t>
      </w:r>
      <w:r>
        <w:t>The full scope is api://f6d35a24-dc89-40b0-819a-69400ed2491d/access_as_user.</w:t>
      </w:r>
    </w:p>
    <w:p w14:paraId="7C1849EA" w14:textId="77777777">
      <w:pPr>
        <w:spacing w:after="80"/>
        <w:ind w:left="29"/>
      </w:pPr>
      <w:r>
        <w:rPr>
          <w:b/>
          <w:color w:val="2CB5A9"/>
        </w:rPr>
        <w:t>☐</w:t>
      </w:r>
      <w:r>
        <w:rPr>
          <w:b/>
          <w:color w:val="2CB5A9"/>
        </w:rPr>
        <w:t xml:space="preserve">  </w:t>
      </w:r>
      <w:r>
        <w:t>The i-Elevate Web client is listed as an authorised client application if the identity team uses pre-authorisation.</w:t>
      </w:r>
    </w:p>
    <w:p w14:paraId="4AD8959C" w14:textId="77777777">
      <w:pPr>
        <w:spacing w:after="80"/>
        <w:ind w:left="29"/>
      </w:pPr>
      <w:r>
        <w:rPr>
          <w:b/>
          <w:color w:val="2CB5A9"/>
        </w:rPr>
        <w:t>☐</w:t>
      </w:r>
      <w:r>
        <w:rPr>
          <w:b/>
          <w:color w:val="2CB5A9"/>
        </w:rPr>
        <w:t xml:space="preserve">  </w:t>
      </w:r>
      <w:r>
        <w:t>At least two permanent college owners are assigned to both the app registration and its enterprise application.</w:t>
      </w:r>
    </w:p>
    <w:p w14:paraId="71F06865" w14:textId="77777777">
      <w:pPr>
        <w:pStyle w:val="Heading2"/>
      </w:pPr>
      <w:r>
        <w:t>Check the Web SPA registration</w:t>
      </w:r>
    </w:p>
    <w:p w14:paraId="2EE1EC05" w14:textId="77777777">
      <w:pPr>
        <w:spacing w:after="80"/>
        <w:ind w:left="29"/>
      </w:pPr>
      <w:r>
        <w:rPr>
          <w:b/>
          <w:color w:val="2CB5A9"/>
        </w:rPr>
        <w:t>☐</w:t>
      </w:r>
      <w:r>
        <w:rPr>
          <w:b/>
          <w:color w:val="2CB5A9"/>
        </w:rPr>
        <w:t xml:space="preserve">  </w:t>
      </w:r>
      <w:r>
        <w:t>Supported account type is single tenant.</w:t>
      </w:r>
    </w:p>
    <w:p w14:paraId="2C284313" w14:textId="77777777">
      <w:pPr>
        <w:spacing w:after="80"/>
        <w:ind w:left="29"/>
      </w:pPr>
      <w:r>
        <w:rPr>
          <w:b/>
          <w:color w:val="2CB5A9"/>
        </w:rPr>
        <w:t>☐</w:t>
      </w:r>
      <w:r>
        <w:rPr>
          <w:b/>
          <w:color w:val="2CB5A9"/>
        </w:rPr>
        <w:t xml:space="preserve">  </w:t>
      </w:r>
      <w:r>
        <w:t>Authentication contains a Single-page application platform—not Web—with the exact final HTTPS origin, for example https://ielevate.oldham.ac.uk.</w:t>
      </w:r>
    </w:p>
    <w:p w14:paraId="1FA1FFC7" w14:textId="77777777">
      <w:pPr>
        <w:spacing w:after="80"/>
        <w:ind w:left="29"/>
      </w:pPr>
      <w:r>
        <w:rPr>
          <w:b/>
          <w:color w:val="2CB5A9"/>
        </w:rPr>
        <w:t>☐</w:t>
      </w:r>
      <w:r>
        <w:rPr>
          <w:b/>
          <w:color w:val="2CB5A9"/>
        </w:rPr>
        <w:t xml:space="preserve">  </w:t>
      </w:r>
      <w:r>
        <w:t>Do not use a wildcard. Remove obsolete localhost or temporary production redirects after the launch and support model no longer needs them.</w:t>
      </w:r>
    </w:p>
    <w:p w14:paraId="24DE40E6" w14:textId="77777777">
      <w:pPr>
        <w:spacing w:after="80"/>
        <w:ind w:left="29"/>
      </w:pPr>
      <w:r>
        <w:rPr>
          <w:b/>
          <w:color w:val="2CB5A9"/>
        </w:rPr>
        <w:lastRenderedPageBreak/>
        <w:t>☐</w:t>
      </w:r>
      <w:r>
        <w:rPr>
          <w:b/>
          <w:color w:val="2CB5A9"/>
        </w:rPr>
        <w:t xml:space="preserve">  </w:t>
      </w:r>
      <w:r>
        <w:t>API permissions contains the i-Elevate API delegated access_as_user scope. It does not require Microsoft Graph permissions for current application behaviour.</w:t>
      </w:r>
    </w:p>
    <w:p w14:paraId="7D6C7598" w14:textId="77777777">
      <w:pPr>
        <w:spacing w:after="80"/>
        <w:ind w:left="29"/>
      </w:pPr>
      <w:r>
        <w:rPr>
          <w:b/>
          <w:color w:val="2CB5A9"/>
        </w:rPr>
        <w:t>☐</w:t>
      </w:r>
      <w:r>
        <w:rPr>
          <w:b/>
          <w:color w:val="2CB5A9"/>
        </w:rPr>
        <w:t xml:space="preserve">  </w:t>
      </w:r>
      <w:r>
        <w:t>Implicit grant checkboxes remain off; MSAL browser uses the modern SPA flow.</w:t>
      </w:r>
    </w:p>
    <w:p w14:paraId="44E83158" w14:textId="77777777">
      <w:pPr>
        <w:pStyle w:val="Heading2"/>
      </w:pPr>
      <w:r>
        <w:t>Grant administrator consent</w:t>
      </w:r>
    </w:p>
    <w:p w14:paraId="1AB9D0D1" w14:textId="77777777">
      <w:pPr>
        <w:numPr>
          <w:ilvl w:val="0"/>
          <w:numId w:val="6"/>
        </w:numPr>
      </w:pPr>
      <w:r>
        <w:t>An authorised identity administrator opens Microsoft Entra admin centre → App registrations → i-Elevate Web → API permissions.</w:t>
      </w:r>
    </w:p>
    <w:p w14:paraId="658C9F37" w14:textId="77777777">
      <w:pPr>
        <w:numPr>
          <w:ilvl w:val="0"/>
          <w:numId w:val="6"/>
        </w:numPr>
      </w:pPr>
      <w:r>
        <w:t>They review the exact requested permission. It should be the college-owned i-Elevate API access_as_user delegated scope, not broad Microsoft Graph access.</w:t>
      </w:r>
    </w:p>
    <w:p w14:paraId="5EC4F126" w14:textId="77777777">
      <w:pPr>
        <w:numPr>
          <w:ilvl w:val="0"/>
          <w:numId w:val="6"/>
        </w:numPr>
      </w:pPr>
      <w:r>
        <w:t>Select Grant admin consent for the Oldham College tenant and confirm. If the button is disabled, the signed-in account lacks the required Entra directory role; escalate rather than creating another registration.</w:t>
      </w:r>
    </w:p>
    <w:p w14:paraId="4464156C" w14:textId="77777777">
      <w:pPr>
        <w:numPr>
          <w:ilvl w:val="0"/>
          <w:numId w:val="6"/>
        </w:numPr>
      </w:pPr>
      <w:r>
        <w:t>Record who granted consent, when, the tenant, application IDs and the permission in the controlled change record.</w:t>
      </w:r>
    </w:p>
    <w:tbl>
      <w:tblPr>
        <w:tblStyle w:val="TableGrid"/>
        <w:tblW w:w="9360" w:type="dxa"/>
        <w:tblInd w:w="120" w:type="dxa"/>
        <w:tblBorders>
          <w:top w:val="single" w:sz="8" w:space="0" w:color="2CB5A9"/>
          <w:left w:val="single" w:sz="8" w:space="0" w:color="2CB5A9"/>
          <w:bottom w:val="single" w:sz="8" w:space="0" w:color="2CB5A9"/>
          <w:right w:val="single" w:sz="8" w:space="0" w:color="2CB5A9"/>
          <w:insideH w:val="single" w:sz="8" w:space="0" w:color="2CB5A9"/>
          <w:insideV w:val="single" w:sz="8" w:space="0" w:color="2CB5A9"/>
        </w:tblBorders>
        <w:tblLayout w:type="fixed"/>
        <w:tblLook w:val="04A0" w:firstRow="1" w:lastRow="0" w:firstColumn="1" w:lastColumn="0" w:noHBand="0" w:noVBand="1"/>
      </w:tblPr>
      <w:tblGrid>
        <w:gridCol w:w="9360"/>
      </w:tblGrid>
      <w:tr w14:paraId="5D90261A" w14:textId="77777777">
        <w:trPr>
          <w:cantSplit/>
          <w:tblHeader/>
        </w:trPr>
        <w:tc>
          <w:tcPr>
            <w:tcW w:w="9360" w:type="dxa"/>
            <w:shd w:val="clear" w:color="auto" w:fill="E6F5F3"/>
            <w:tcMar>
              <w:top w:w="80" w:type="dxa"/>
              <w:left w:w="120" w:type="dxa"/>
              <w:bottom w:w="80" w:type="dxa"/>
              <w:right w:w="120" w:type="dxa"/>
            </w:tcMar>
            <w:vAlign w:val="center"/>
          </w:tcPr>
          <w:p w14:paraId="4E96A92C" w14:textId="77777777">
            <w:pPr>
              <w:spacing w:after="60"/>
            </w:pPr>
            <w:r>
              <w:rPr>
                <w:b/>
                <w:color w:val="2CB5A9"/>
              </w:rPr>
              <w:t>Who can grant consent</w:t>
            </w:r>
          </w:p>
          <w:p w14:paraId="04E4EE21" w14:textId="77777777">
            <w:pPr>
              <w:spacing w:after="0"/>
            </w:pPr>
            <w:r>
              <w:rPr>
                <w:sz w:val="20"/>
              </w:rPr>
              <w:t>Microsoft documents Cloud Application Administrator or Application Administrator as sufficient for permissions other than Microsoft Graph application roles; Privileged Role Administrator can grant any API permission. Use the college's privileged-access process and least-privilege role activation.</w:t>
            </w:r>
          </w:p>
        </w:tc>
      </w:tr>
    </w:tbl>
    <w:p w14:paraId="7E12A389" w14:textId="77777777">
      <w:pPr>
        <w:spacing w:after="20"/>
      </w:pPr>
    </w:p>
    <w:p w14:paraId="2C18B4C8" w14:textId="77777777">
      <w:pPr>
        <w:pStyle w:val="Heading2"/>
      </w:pPr>
      <w:r>
        <w:t>Decide who can sign in</w:t>
      </w:r>
    </w:p>
    <w:p w14:paraId="4ADC39CB" w14:textId="77777777">
      <w:r>
        <w:t>The application enforces its own roles and scopes, but the Entra enterprise application can add an outer gate. For a staff system, the recommended pattern is Assignment required = Yes and assignment of an approved staff security group plus support/admin break-glass users. This prevents an arbitrary tenant account reaching self-onboarding. Test group licensing and nested-group behaviour before relying on group assignment.</w:t>
      </w:r>
    </w:p>
    <w:p w14:paraId="7DA1F21D" w14:textId="77777777">
      <w:pPr>
        <w:pStyle w:val="Heading2"/>
      </w:pPr>
      <w:r>
        <w:t>Conditional Access</w:t>
      </w:r>
    </w:p>
    <w:p w14:paraId="48D24CC7" w14:textId="77777777">
      <w:pPr>
        <w:numPr>
          <w:ilvl w:val="0"/>
          <w:numId w:val="7"/>
        </w:numPr>
      </w:pPr>
      <w:r>
        <w:t>Apply existing college MFA, device-compliance, sign-in-risk and location policies to the enterprise application through the identity team.</w:t>
      </w:r>
    </w:p>
    <w:p w14:paraId="46D84D14" w14:textId="77777777">
      <w:pPr>
        <w:numPr>
          <w:ilvl w:val="0"/>
          <w:numId w:val="7"/>
        </w:numPr>
      </w:pPr>
      <w:r>
        <w:t>Start new policies in report-only mode, test administrators and ordinary staff, and preserve emergency-access accounts according to college policy.</w:t>
      </w:r>
    </w:p>
    <w:p w14:paraId="7311C97C" w14:textId="77777777">
      <w:pPr>
        <w:numPr>
          <w:ilvl w:val="0"/>
          <w:numId w:val="7"/>
        </w:numPr>
      </w:pPr>
      <w:r>
        <w:t>Do not duplicate authentication inside the application or enable App Service Easy Auth without a reviewed design change; the API already validates Entra JWTs.</w:t>
      </w:r>
    </w:p>
    <w:p w14:paraId="0C6B965B" w14:textId="77777777">
      <w:pPr>
        <w:pStyle w:val="SmallNote"/>
      </w:pPr>
      <w:r>
        <w:rPr>
          <w:b/>
        </w:rPr>
        <w:lastRenderedPageBreak/>
        <w:t xml:space="preserve">Repository reference: </w:t>
      </w:r>
      <w:r>
        <w:rPr>
          <w:rFonts w:ascii="Consolas" w:eastAsia="Consolas" w:hAnsi="Consolas"/>
          <w:color w:val="1F4D78"/>
          <w:sz w:val="17"/>
        </w:rPr>
        <w:t>apps/web/src/services/auth.ts</w:t>
      </w:r>
      <w:r>
        <w:t xml:space="preserve">  •  </w:t>
      </w:r>
      <w:r>
        <w:rPr>
          <w:rFonts w:ascii="Consolas" w:eastAsia="Consolas" w:hAnsi="Consolas"/>
          <w:color w:val="1F4D78"/>
          <w:sz w:val="17"/>
        </w:rPr>
        <w:t>apps/api/src/TLQS.Api/Program.cs</w:t>
      </w:r>
      <w:r>
        <w:t xml:space="preserve">  •  </w:t>
      </w:r>
      <w:r>
        <w:rPr>
          <w:rFonts w:ascii="Consolas" w:eastAsia="Consolas" w:hAnsi="Consolas"/>
          <w:color w:val="1F4D78"/>
          <w:sz w:val="17"/>
        </w:rPr>
        <w:t>apps/api/src/TLQS.Api/appsettings.json</w:t>
      </w:r>
    </w:p>
    <w:p w14:paraId="1673E1B9" w14:textId="487AAEA3">
      <w:pPr>
        <w:pStyle w:val="SmallNote"/>
      </w:pPr>
      <w:r>
        <w:rPr>
          <w:b/>
        </w:rPr>
        <w:t xml:space="preserve">Microsoft/GitHub reference: </w:t>
      </w:r>
      <w:hyperlink r:id="rId15">
        <w:r>
          <w:rPr>
            <w:color w:val="1F4D78"/>
            <w:u w:val="single"/>
          </w:rPr>
          <w:t>SPA redirect URI guidance</w:t>
        </w:r>
      </w:hyperlink>
      <w:r>
        <w:t xml:space="preserve">  •  </w:t>
      </w:r>
      <w:hyperlink r:id="rId16">
        <w:r>
          <w:rPr>
            <w:color w:val="1F4D78"/>
            <w:u w:val="single"/>
          </w:rPr>
          <w:t>Expose API scopes</w:t>
        </w:r>
      </w:hyperlink>
      <w:r>
        <w:t xml:space="preserve">  •  </w:t>
      </w:r>
      <w:hyperlink r:id="rId17">
        <w:r>
          <w:rPr>
            <w:color w:val="1F4D78"/>
            <w:u w:val="single"/>
          </w:rPr>
          <w:t>Grant tenant-wide consent</w:t>
        </w:r>
      </w:hyperlink>
      <w:r>
        <w:t xml:space="preserve">  •  </w:t>
      </w:r>
      <w:hyperlink r:id="rId18">
        <w:r>
          <w:rPr>
            <w:color w:val="1F4D78"/>
            <w:u w:val="single"/>
          </w:rPr>
          <w:t>Restrict an app to assigned users</w:t>
        </w:r>
      </w:hyperlink>
    </w:p>
    <w:p w14:paraId="76A746AD" w14:textId="77777777">
      <w:pPr>
        <w:pStyle w:val="Heading1"/>
      </w:pPr>
      <w:bookmarkStart w:id="8" w:name="azure_design"/>
      <w:r>
        <w:lastRenderedPageBreak/>
        <w:t>7. Review Azure design, cost and security</w:t>
      </w:r>
      <w:bookmarkEnd w:id="8"/>
    </w:p>
    <w:p w14:paraId="0A4F5E33" w14:textId="77777777">
      <w:r>
        <w:t>The supplied infrastructure is a deliberate starter: compact, understandable and suitable for a controlled pilot. It is not a substitute for the college platform team's security architecture. Review every item below before accepting it for a staff-wide service.</w:t>
      </w:r>
    </w:p>
    <w:p w14:paraId="21DD8E0A" w14:textId="77777777">
      <w:pPr>
        <w:pStyle w:val="Heading2"/>
      </w:pPr>
      <w:r>
        <w:t>Resources created by the Bicep template</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050"/>
        <w:gridCol w:w="3020"/>
        <w:gridCol w:w="4290"/>
      </w:tblGrid>
      <w:tr w14:paraId="46EE9D7B" w14:textId="77777777">
        <w:trPr>
          <w:cantSplit/>
          <w:tblHeader/>
        </w:trPr>
        <w:tc>
          <w:tcPr>
            <w:tcW w:w="2050" w:type="dxa"/>
            <w:shd w:val="clear" w:color="auto" w:fill="E8EEF5"/>
            <w:tcMar>
              <w:top w:w="80" w:type="dxa"/>
              <w:left w:w="120" w:type="dxa"/>
              <w:bottom w:w="80" w:type="dxa"/>
              <w:right w:w="120" w:type="dxa"/>
            </w:tcMar>
            <w:vAlign w:val="center"/>
          </w:tcPr>
          <w:p w14:paraId="4B9EE25C" w14:textId="77777777">
            <w:pPr>
              <w:spacing w:after="0"/>
            </w:pPr>
            <w:r>
              <w:rPr>
                <w:b/>
                <w:color w:val="0B2545"/>
                <w:sz w:val="19"/>
              </w:rPr>
              <w:t>Resource</w:t>
            </w:r>
          </w:p>
        </w:tc>
        <w:tc>
          <w:tcPr>
            <w:tcW w:w="3020" w:type="dxa"/>
            <w:shd w:val="clear" w:color="auto" w:fill="E8EEF5"/>
            <w:tcMar>
              <w:top w:w="80" w:type="dxa"/>
              <w:left w:w="120" w:type="dxa"/>
              <w:bottom w:w="80" w:type="dxa"/>
              <w:right w:w="120" w:type="dxa"/>
            </w:tcMar>
            <w:vAlign w:val="center"/>
          </w:tcPr>
          <w:p w14:paraId="295EBD43" w14:textId="77777777">
            <w:pPr>
              <w:spacing w:after="0"/>
            </w:pPr>
            <w:r>
              <w:rPr>
                <w:b/>
                <w:color w:val="0B2545"/>
                <w:sz w:val="19"/>
              </w:rPr>
              <w:t>Starter setting</w:t>
            </w:r>
          </w:p>
        </w:tc>
        <w:tc>
          <w:tcPr>
            <w:tcW w:w="4290" w:type="dxa"/>
            <w:shd w:val="clear" w:color="auto" w:fill="E8EEF5"/>
            <w:tcMar>
              <w:top w:w="80" w:type="dxa"/>
              <w:left w:w="120" w:type="dxa"/>
              <w:bottom w:w="80" w:type="dxa"/>
              <w:right w:w="120" w:type="dxa"/>
            </w:tcMar>
            <w:vAlign w:val="center"/>
          </w:tcPr>
          <w:p w14:paraId="328F8503" w14:textId="77777777">
            <w:pPr>
              <w:spacing w:after="0"/>
            </w:pPr>
            <w:r>
              <w:rPr>
                <w:b/>
                <w:color w:val="0B2545"/>
                <w:sz w:val="19"/>
              </w:rPr>
              <w:t>Operational meaning</w:t>
            </w:r>
          </w:p>
        </w:tc>
      </w:tr>
      <w:tr w14:paraId="67A8F3C9" w14:textId="77777777">
        <w:trPr>
          <w:cantSplit/>
        </w:trPr>
        <w:tc>
          <w:tcPr>
            <w:tcW w:w="2050" w:type="dxa"/>
            <w:tcMar>
              <w:top w:w="80" w:type="dxa"/>
              <w:left w:w="120" w:type="dxa"/>
              <w:bottom w:w="80" w:type="dxa"/>
              <w:right w:w="120" w:type="dxa"/>
            </w:tcMar>
            <w:vAlign w:val="center"/>
          </w:tcPr>
          <w:p w14:paraId="4B1C45E9" w14:textId="77777777">
            <w:pPr>
              <w:spacing w:after="0" w:line="269" w:lineRule="auto"/>
            </w:pPr>
            <w:r>
              <w:rPr>
                <w:sz w:val="18"/>
              </w:rPr>
              <w:t>Resource group</w:t>
            </w:r>
          </w:p>
        </w:tc>
        <w:tc>
          <w:tcPr>
            <w:tcW w:w="3020" w:type="dxa"/>
            <w:tcMar>
              <w:top w:w="80" w:type="dxa"/>
              <w:left w:w="120" w:type="dxa"/>
              <w:bottom w:w="80" w:type="dxa"/>
              <w:right w:w="120" w:type="dxa"/>
            </w:tcMar>
            <w:vAlign w:val="center"/>
          </w:tcPr>
          <w:p w14:paraId="16B2C766" w14:textId="77777777">
            <w:pPr>
              <w:spacing w:after="0" w:line="269" w:lineRule="auto"/>
            </w:pPr>
            <w:r>
              <w:rPr>
                <w:sz w:val="18"/>
              </w:rPr>
              <w:t>rg-ielevate-prod-uks, UK South</w:t>
            </w:r>
          </w:p>
        </w:tc>
        <w:tc>
          <w:tcPr>
            <w:tcW w:w="4290" w:type="dxa"/>
            <w:tcMar>
              <w:top w:w="80" w:type="dxa"/>
              <w:left w:w="120" w:type="dxa"/>
              <w:bottom w:w="80" w:type="dxa"/>
              <w:right w:w="120" w:type="dxa"/>
            </w:tcMar>
            <w:vAlign w:val="center"/>
          </w:tcPr>
          <w:p w14:paraId="63986008" w14:textId="77777777">
            <w:pPr>
              <w:spacing w:after="0" w:line="269" w:lineRule="auto"/>
            </w:pPr>
            <w:r>
              <w:rPr>
                <w:sz w:val="18"/>
              </w:rPr>
              <w:t>Single tagged boundary for the production service.</w:t>
            </w:r>
          </w:p>
        </w:tc>
      </w:tr>
      <w:tr w14:paraId="06ED8452" w14:textId="77777777">
        <w:trPr>
          <w:cantSplit/>
        </w:trPr>
        <w:tc>
          <w:tcPr>
            <w:tcW w:w="2050" w:type="dxa"/>
            <w:tcMar>
              <w:top w:w="80" w:type="dxa"/>
              <w:left w:w="120" w:type="dxa"/>
              <w:bottom w:w="80" w:type="dxa"/>
              <w:right w:w="120" w:type="dxa"/>
            </w:tcMar>
            <w:vAlign w:val="center"/>
          </w:tcPr>
          <w:p w14:paraId="579D60E7" w14:textId="77777777">
            <w:pPr>
              <w:spacing w:after="0" w:line="269" w:lineRule="auto"/>
            </w:pPr>
            <w:r>
              <w:rPr>
                <w:sz w:val="18"/>
              </w:rPr>
              <w:t>App Service plan</w:t>
            </w:r>
          </w:p>
        </w:tc>
        <w:tc>
          <w:tcPr>
            <w:tcW w:w="3020" w:type="dxa"/>
            <w:tcMar>
              <w:top w:w="80" w:type="dxa"/>
              <w:left w:w="120" w:type="dxa"/>
              <w:bottom w:w="80" w:type="dxa"/>
              <w:right w:w="120" w:type="dxa"/>
            </w:tcMar>
            <w:vAlign w:val="center"/>
          </w:tcPr>
          <w:p w14:paraId="4B9B5390" w14:textId="77777777">
            <w:pPr>
              <w:spacing w:after="0" w:line="269" w:lineRule="auto"/>
            </w:pPr>
            <w:r>
              <w:rPr>
                <w:sz w:val="18"/>
              </w:rPr>
              <w:t>Linux Basic B1, 1 instance</w:t>
            </w:r>
          </w:p>
        </w:tc>
        <w:tc>
          <w:tcPr>
            <w:tcW w:w="4290" w:type="dxa"/>
            <w:tcMar>
              <w:top w:w="80" w:type="dxa"/>
              <w:left w:w="120" w:type="dxa"/>
              <w:bottom w:w="80" w:type="dxa"/>
              <w:right w:w="120" w:type="dxa"/>
            </w:tcMar>
            <w:vAlign w:val="center"/>
          </w:tcPr>
          <w:p w14:paraId="20E18665" w14:textId="77777777">
            <w:pPr>
              <w:spacing w:after="0" w:line="269" w:lineRule="auto"/>
            </w:pPr>
            <w:r>
              <w:rPr>
                <w:sz w:val="18"/>
              </w:rPr>
              <w:t>Always On; no staging slot; single worker.</w:t>
            </w:r>
          </w:p>
        </w:tc>
      </w:tr>
      <w:tr w14:paraId="088C31B2" w14:textId="77777777">
        <w:trPr>
          <w:cantSplit/>
        </w:trPr>
        <w:tc>
          <w:tcPr>
            <w:tcW w:w="2050" w:type="dxa"/>
            <w:tcMar>
              <w:top w:w="80" w:type="dxa"/>
              <w:left w:w="120" w:type="dxa"/>
              <w:bottom w:w="80" w:type="dxa"/>
              <w:right w:w="120" w:type="dxa"/>
            </w:tcMar>
            <w:vAlign w:val="center"/>
          </w:tcPr>
          <w:p w14:paraId="60F9F708" w14:textId="77777777">
            <w:pPr>
              <w:spacing w:after="0" w:line="269" w:lineRule="auto"/>
            </w:pPr>
            <w:r>
              <w:rPr>
                <w:sz w:val="18"/>
              </w:rPr>
              <w:t>Web App</w:t>
            </w:r>
          </w:p>
        </w:tc>
        <w:tc>
          <w:tcPr>
            <w:tcW w:w="3020" w:type="dxa"/>
            <w:tcMar>
              <w:top w:w="80" w:type="dxa"/>
              <w:left w:w="120" w:type="dxa"/>
              <w:bottom w:w="80" w:type="dxa"/>
              <w:right w:w="120" w:type="dxa"/>
            </w:tcMar>
            <w:vAlign w:val="center"/>
          </w:tcPr>
          <w:p w14:paraId="7086E56A" w14:textId="77777777">
            <w:pPr>
              <w:spacing w:after="0" w:line="269" w:lineRule="auto"/>
            </w:pPr>
            <w:r>
              <w:rPr>
                <w:sz w:val="18"/>
              </w:rPr>
              <w:t>.NET 10 Linux, HTTPS, TLS 1.2, HTTP/2</w:t>
            </w:r>
          </w:p>
        </w:tc>
        <w:tc>
          <w:tcPr>
            <w:tcW w:w="4290" w:type="dxa"/>
            <w:tcMar>
              <w:top w:w="80" w:type="dxa"/>
              <w:left w:w="120" w:type="dxa"/>
              <w:bottom w:w="80" w:type="dxa"/>
              <w:right w:w="120" w:type="dxa"/>
            </w:tcMar>
            <w:vAlign w:val="center"/>
          </w:tcPr>
          <w:p w14:paraId="021C08DA" w14:textId="77777777">
            <w:pPr>
              <w:spacing w:after="0" w:line="269" w:lineRule="auto"/>
            </w:pPr>
            <w:r>
              <w:rPr>
                <w:sz w:val="18"/>
              </w:rPr>
              <w:t>Serves UI and API; system-assigned managed identity; /health/ready.</w:t>
            </w:r>
          </w:p>
        </w:tc>
      </w:tr>
      <w:tr w14:paraId="4785D502" w14:textId="77777777">
        <w:trPr>
          <w:cantSplit/>
        </w:trPr>
        <w:tc>
          <w:tcPr>
            <w:tcW w:w="2050" w:type="dxa"/>
            <w:tcMar>
              <w:top w:w="80" w:type="dxa"/>
              <w:left w:w="120" w:type="dxa"/>
              <w:bottom w:w="80" w:type="dxa"/>
              <w:right w:w="120" w:type="dxa"/>
            </w:tcMar>
            <w:vAlign w:val="center"/>
          </w:tcPr>
          <w:p w14:paraId="055B2A60" w14:textId="77777777">
            <w:pPr>
              <w:spacing w:after="0" w:line="269" w:lineRule="auto"/>
            </w:pPr>
            <w:r>
              <w:rPr>
                <w:sz w:val="18"/>
              </w:rPr>
              <w:t>Azure SQL</w:t>
            </w:r>
          </w:p>
        </w:tc>
        <w:tc>
          <w:tcPr>
            <w:tcW w:w="3020" w:type="dxa"/>
            <w:tcMar>
              <w:top w:w="80" w:type="dxa"/>
              <w:left w:w="120" w:type="dxa"/>
              <w:bottom w:w="80" w:type="dxa"/>
              <w:right w:w="120" w:type="dxa"/>
            </w:tcMar>
            <w:vAlign w:val="center"/>
          </w:tcPr>
          <w:p w14:paraId="15754B88" w14:textId="77777777">
            <w:pPr>
              <w:spacing w:after="0" w:line="269" w:lineRule="auto"/>
            </w:pPr>
            <w:r>
              <w:rPr>
                <w:sz w:val="18"/>
              </w:rPr>
              <w:t>General Purpose serverless Gen5, 0.5–2 vCores</w:t>
            </w:r>
          </w:p>
        </w:tc>
        <w:tc>
          <w:tcPr>
            <w:tcW w:w="4290" w:type="dxa"/>
            <w:tcMar>
              <w:top w:w="80" w:type="dxa"/>
              <w:left w:w="120" w:type="dxa"/>
              <w:bottom w:w="80" w:type="dxa"/>
              <w:right w:w="120" w:type="dxa"/>
            </w:tcMar>
            <w:vAlign w:val="center"/>
          </w:tcPr>
          <w:p w14:paraId="4FDF607F" w14:textId="77777777">
            <w:pPr>
              <w:spacing w:after="0" w:line="269" w:lineRule="auto"/>
            </w:pPr>
            <w:r>
              <w:rPr>
                <w:sz w:val="18"/>
              </w:rPr>
              <w:t>Database ielevate; 60-minute auto-pause configured.</w:t>
            </w:r>
          </w:p>
        </w:tc>
      </w:tr>
      <w:tr w14:paraId="156BD166" w14:textId="77777777">
        <w:trPr>
          <w:cantSplit/>
        </w:trPr>
        <w:tc>
          <w:tcPr>
            <w:tcW w:w="2050" w:type="dxa"/>
            <w:tcMar>
              <w:top w:w="80" w:type="dxa"/>
              <w:left w:w="120" w:type="dxa"/>
              <w:bottom w:w="80" w:type="dxa"/>
              <w:right w:w="120" w:type="dxa"/>
            </w:tcMar>
            <w:vAlign w:val="center"/>
          </w:tcPr>
          <w:p w14:paraId="744984A4" w14:textId="77777777">
            <w:pPr>
              <w:spacing w:after="0" w:line="269" w:lineRule="auto"/>
            </w:pPr>
            <w:r>
              <w:rPr>
                <w:sz w:val="18"/>
              </w:rPr>
              <w:t>Storage</w:t>
            </w:r>
          </w:p>
        </w:tc>
        <w:tc>
          <w:tcPr>
            <w:tcW w:w="3020" w:type="dxa"/>
            <w:tcMar>
              <w:top w:w="80" w:type="dxa"/>
              <w:left w:w="120" w:type="dxa"/>
              <w:bottom w:w="80" w:type="dxa"/>
              <w:right w:w="120" w:type="dxa"/>
            </w:tcMar>
            <w:vAlign w:val="center"/>
          </w:tcPr>
          <w:p w14:paraId="43727C64" w14:textId="77777777">
            <w:pPr>
              <w:spacing w:after="0" w:line="269" w:lineRule="auto"/>
            </w:pPr>
            <w:r>
              <w:rPr>
                <w:sz w:val="18"/>
              </w:rPr>
              <w:t>Standard LRS StorageV2</w:t>
            </w:r>
          </w:p>
        </w:tc>
        <w:tc>
          <w:tcPr>
            <w:tcW w:w="4290" w:type="dxa"/>
            <w:tcMar>
              <w:top w:w="80" w:type="dxa"/>
              <w:left w:w="120" w:type="dxa"/>
              <w:bottom w:w="80" w:type="dxa"/>
              <w:right w:w="120" w:type="dxa"/>
            </w:tcMar>
            <w:vAlign w:val="center"/>
          </w:tcPr>
          <w:p w14:paraId="1A1AE910" w14:textId="77777777">
            <w:pPr>
              <w:spacing w:after="0" w:line="269" w:lineRule="auto"/>
            </w:pPr>
            <w:r>
              <w:rPr>
                <w:sz w:val="18"/>
              </w:rPr>
              <w:t>Private blob container for data-protection keys; 30-day soft delete.</w:t>
            </w:r>
          </w:p>
        </w:tc>
      </w:tr>
      <w:tr w14:paraId="6F50F647" w14:textId="77777777">
        <w:trPr>
          <w:cantSplit/>
        </w:trPr>
        <w:tc>
          <w:tcPr>
            <w:tcW w:w="2050" w:type="dxa"/>
            <w:tcMar>
              <w:top w:w="80" w:type="dxa"/>
              <w:left w:w="120" w:type="dxa"/>
              <w:bottom w:w="80" w:type="dxa"/>
              <w:right w:w="120" w:type="dxa"/>
            </w:tcMar>
            <w:vAlign w:val="center"/>
          </w:tcPr>
          <w:p w14:paraId="644CED93" w14:textId="77777777">
            <w:pPr>
              <w:spacing w:after="0" w:line="269" w:lineRule="auto"/>
            </w:pPr>
            <w:r>
              <w:rPr>
                <w:sz w:val="18"/>
              </w:rPr>
              <w:t>Key Vault</w:t>
            </w:r>
          </w:p>
        </w:tc>
        <w:tc>
          <w:tcPr>
            <w:tcW w:w="3020" w:type="dxa"/>
            <w:tcMar>
              <w:top w:w="80" w:type="dxa"/>
              <w:left w:w="120" w:type="dxa"/>
              <w:bottom w:w="80" w:type="dxa"/>
              <w:right w:w="120" w:type="dxa"/>
            </w:tcMar>
            <w:vAlign w:val="center"/>
          </w:tcPr>
          <w:p w14:paraId="76431117" w14:textId="77777777">
            <w:pPr>
              <w:spacing w:after="0" w:line="269" w:lineRule="auto"/>
            </w:pPr>
            <w:r>
              <w:rPr>
                <w:sz w:val="18"/>
              </w:rPr>
              <w:t>Standard, RBAC, purge protection</w:t>
            </w:r>
          </w:p>
        </w:tc>
        <w:tc>
          <w:tcPr>
            <w:tcW w:w="4290" w:type="dxa"/>
            <w:tcMar>
              <w:top w:w="80" w:type="dxa"/>
              <w:left w:w="120" w:type="dxa"/>
              <w:bottom w:w="80" w:type="dxa"/>
              <w:right w:w="120" w:type="dxa"/>
            </w:tcMar>
            <w:vAlign w:val="center"/>
          </w:tcPr>
          <w:p w14:paraId="05F3A6C1" w14:textId="77777777">
            <w:pPr>
              <w:spacing w:after="0" w:line="269" w:lineRule="auto"/>
            </w:pPr>
            <w:r>
              <w:rPr>
                <w:sz w:val="18"/>
              </w:rPr>
              <w:t>RSA key wraps data-protection keys; 90-day soft delete.</w:t>
            </w:r>
          </w:p>
        </w:tc>
      </w:tr>
      <w:tr w14:paraId="14CC7290" w14:textId="77777777">
        <w:trPr>
          <w:cantSplit/>
        </w:trPr>
        <w:tc>
          <w:tcPr>
            <w:tcW w:w="2050" w:type="dxa"/>
            <w:tcMar>
              <w:top w:w="80" w:type="dxa"/>
              <w:left w:w="120" w:type="dxa"/>
              <w:bottom w:w="80" w:type="dxa"/>
              <w:right w:w="120" w:type="dxa"/>
            </w:tcMar>
            <w:vAlign w:val="center"/>
          </w:tcPr>
          <w:p w14:paraId="1004FC87" w14:textId="77777777">
            <w:pPr>
              <w:spacing w:after="0" w:line="269" w:lineRule="auto"/>
            </w:pPr>
            <w:r>
              <w:rPr>
                <w:sz w:val="18"/>
              </w:rPr>
              <w:t>Application Insights</w:t>
            </w:r>
          </w:p>
        </w:tc>
        <w:tc>
          <w:tcPr>
            <w:tcW w:w="3020" w:type="dxa"/>
            <w:tcMar>
              <w:top w:w="80" w:type="dxa"/>
              <w:left w:w="120" w:type="dxa"/>
              <w:bottom w:w="80" w:type="dxa"/>
              <w:right w:w="120" w:type="dxa"/>
            </w:tcMar>
            <w:vAlign w:val="center"/>
          </w:tcPr>
          <w:p w14:paraId="2A588EE7" w14:textId="77777777">
            <w:pPr>
              <w:spacing w:after="0" w:line="269" w:lineRule="auto"/>
            </w:pPr>
            <w:r>
              <w:rPr>
                <w:sz w:val="18"/>
              </w:rPr>
              <w:t>Workspace based</w:t>
            </w:r>
          </w:p>
        </w:tc>
        <w:tc>
          <w:tcPr>
            <w:tcW w:w="4290" w:type="dxa"/>
            <w:tcMar>
              <w:top w:w="80" w:type="dxa"/>
              <w:left w:w="120" w:type="dxa"/>
              <w:bottom w:w="80" w:type="dxa"/>
              <w:right w:w="120" w:type="dxa"/>
            </w:tcMar>
            <w:vAlign w:val="center"/>
          </w:tcPr>
          <w:p w14:paraId="226EEED0" w14:textId="77777777">
            <w:pPr>
              <w:spacing w:after="0" w:line="269" w:lineRule="auto"/>
            </w:pPr>
            <w:r>
              <w:rPr>
                <w:sz w:val="18"/>
              </w:rPr>
              <w:t>Application telemetry.</w:t>
            </w:r>
          </w:p>
        </w:tc>
      </w:tr>
      <w:tr w14:paraId="1B285040" w14:textId="77777777">
        <w:trPr>
          <w:cantSplit/>
        </w:trPr>
        <w:tc>
          <w:tcPr>
            <w:tcW w:w="2050" w:type="dxa"/>
            <w:tcMar>
              <w:top w:w="80" w:type="dxa"/>
              <w:left w:w="120" w:type="dxa"/>
              <w:bottom w:w="80" w:type="dxa"/>
              <w:right w:w="120" w:type="dxa"/>
            </w:tcMar>
            <w:vAlign w:val="center"/>
          </w:tcPr>
          <w:p w14:paraId="0253BF5B" w14:textId="77777777">
            <w:pPr>
              <w:spacing w:after="0" w:line="269" w:lineRule="auto"/>
            </w:pPr>
            <w:r>
              <w:rPr>
                <w:sz w:val="18"/>
              </w:rPr>
              <w:t>Log Analytics</w:t>
            </w:r>
          </w:p>
        </w:tc>
        <w:tc>
          <w:tcPr>
            <w:tcW w:w="3020" w:type="dxa"/>
            <w:tcMar>
              <w:top w:w="80" w:type="dxa"/>
              <w:left w:w="120" w:type="dxa"/>
              <w:bottom w:w="80" w:type="dxa"/>
              <w:right w:w="120" w:type="dxa"/>
            </w:tcMar>
            <w:vAlign w:val="center"/>
          </w:tcPr>
          <w:p w14:paraId="61E0ACA5" w14:textId="77777777">
            <w:pPr>
              <w:spacing w:after="0" w:line="269" w:lineRule="auto"/>
            </w:pPr>
            <w:r>
              <w:rPr>
                <w:sz w:val="18"/>
              </w:rPr>
              <w:t>PerGB2018, 30 days</w:t>
            </w:r>
          </w:p>
        </w:tc>
        <w:tc>
          <w:tcPr>
            <w:tcW w:w="4290" w:type="dxa"/>
            <w:tcMar>
              <w:top w:w="80" w:type="dxa"/>
              <w:left w:w="120" w:type="dxa"/>
              <w:bottom w:w="80" w:type="dxa"/>
              <w:right w:w="120" w:type="dxa"/>
            </w:tcMar>
            <w:vAlign w:val="center"/>
          </w:tcPr>
          <w:p w14:paraId="034C24B1" w14:textId="77777777">
            <w:pPr>
              <w:spacing w:after="0" w:line="269" w:lineRule="auto"/>
            </w:pPr>
            <w:r>
              <w:rPr>
                <w:sz w:val="18"/>
              </w:rPr>
              <w:t>Operational log retention.</w:t>
            </w:r>
          </w:p>
        </w:tc>
      </w:tr>
    </w:tbl>
    <w:p w14:paraId="749B78B2" w14:textId="77777777">
      <w:pPr>
        <w:spacing w:after="20"/>
      </w:pPr>
    </w:p>
    <w:p w14:paraId="0B724685" w14:textId="77777777">
      <w:pPr>
        <w:pStyle w:val="Heading2"/>
      </w:pPr>
      <w:r>
        <w:t>What the starter secures</w:t>
      </w:r>
    </w:p>
    <w:p w14:paraId="3A08078D" w14:textId="77777777">
      <w:pPr>
        <w:numPr>
          <w:ilvl w:val="0"/>
          <w:numId w:val="8"/>
        </w:numPr>
      </w:pPr>
      <w:r>
        <w:t>HTTPS only, TLS 1.2 minimum, FTPS disabled and remote debugging disabled.</w:t>
      </w:r>
    </w:p>
    <w:p w14:paraId="61167EA4" w14:textId="77777777">
      <w:pPr>
        <w:numPr>
          <w:ilvl w:val="0"/>
          <w:numId w:val="8"/>
        </w:numPr>
      </w:pPr>
      <w:r>
        <w:t>No database credential in the application connection string; Azure SQL uses Active Directory Default and the App Service managed identity.</w:t>
      </w:r>
    </w:p>
    <w:p w14:paraId="3705524A" w14:textId="77777777">
      <w:pPr>
        <w:numPr>
          <w:ilvl w:val="0"/>
          <w:numId w:val="8"/>
        </w:numPr>
      </w:pPr>
      <w:r>
        <w:t>Blob public access and Storage shared-key access disabled; OAuth/RBAC used instead.</w:t>
      </w:r>
    </w:p>
    <w:p w14:paraId="6232AC42" w14:textId="77777777">
      <w:pPr>
        <w:numPr>
          <w:ilvl w:val="0"/>
          <w:numId w:val="8"/>
        </w:numPr>
      </w:pPr>
      <w:r>
        <w:t>Key Vault RBAC, soft delete and purge protection enabled.</w:t>
      </w:r>
    </w:p>
    <w:p w14:paraId="4D0755D7" w14:textId="77777777">
      <w:pPr>
        <w:numPr>
          <w:ilvl w:val="0"/>
          <w:numId w:val="8"/>
        </w:numPr>
      </w:pPr>
      <w:r>
        <w:t>The app receives Storage Blob Data Contributor and Key Vault Crypto User—no broad Owner role.</w:t>
      </w:r>
    </w:p>
    <w:p w14:paraId="2D74E83B" w14:textId="77777777">
      <w:pPr>
        <w:numPr>
          <w:ilvl w:val="0"/>
          <w:numId w:val="8"/>
        </w:numPr>
      </w:pPr>
      <w:r>
        <w:t>Development user authentication disabled in Production; messaging disabled and test mode enabled.</w:t>
      </w:r>
    </w:p>
    <w:p w14:paraId="78FDF214" w14:textId="77777777">
      <w:pPr>
        <w:pStyle w:val="Heading2"/>
      </w:pPr>
      <w:r>
        <w:lastRenderedPageBreak/>
        <w:t>Security decisions still required</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380"/>
        <w:gridCol w:w="3170"/>
        <w:gridCol w:w="3810"/>
      </w:tblGrid>
      <w:tr w14:paraId="52F40B34" w14:textId="77777777">
        <w:trPr>
          <w:cantSplit/>
          <w:tblHeader/>
        </w:trPr>
        <w:tc>
          <w:tcPr>
            <w:tcW w:w="2380" w:type="dxa"/>
            <w:shd w:val="clear" w:color="auto" w:fill="E8EEF5"/>
            <w:tcMar>
              <w:top w:w="80" w:type="dxa"/>
              <w:left w:w="120" w:type="dxa"/>
              <w:bottom w:w="80" w:type="dxa"/>
              <w:right w:w="120" w:type="dxa"/>
            </w:tcMar>
            <w:vAlign w:val="center"/>
          </w:tcPr>
          <w:p w14:paraId="413CD084" w14:textId="77777777">
            <w:pPr>
              <w:spacing w:after="0"/>
            </w:pPr>
            <w:r>
              <w:rPr>
                <w:b/>
                <w:color w:val="0B2545"/>
                <w:sz w:val="19"/>
              </w:rPr>
              <w:t>Current starter</w:t>
            </w:r>
          </w:p>
        </w:tc>
        <w:tc>
          <w:tcPr>
            <w:tcW w:w="3170" w:type="dxa"/>
            <w:shd w:val="clear" w:color="auto" w:fill="E8EEF5"/>
            <w:tcMar>
              <w:top w:w="80" w:type="dxa"/>
              <w:left w:w="120" w:type="dxa"/>
              <w:bottom w:w="80" w:type="dxa"/>
              <w:right w:w="120" w:type="dxa"/>
            </w:tcMar>
            <w:vAlign w:val="center"/>
          </w:tcPr>
          <w:p w14:paraId="55183D7B" w14:textId="77777777">
            <w:pPr>
              <w:spacing w:after="0"/>
            </w:pPr>
            <w:r>
              <w:rPr>
                <w:b/>
                <w:color w:val="0B2545"/>
                <w:sz w:val="19"/>
              </w:rPr>
              <w:t>Risk / limitation</w:t>
            </w:r>
          </w:p>
        </w:tc>
        <w:tc>
          <w:tcPr>
            <w:tcW w:w="3810" w:type="dxa"/>
            <w:shd w:val="clear" w:color="auto" w:fill="E8EEF5"/>
            <w:tcMar>
              <w:top w:w="80" w:type="dxa"/>
              <w:left w:w="120" w:type="dxa"/>
              <w:bottom w:w="80" w:type="dxa"/>
              <w:right w:w="120" w:type="dxa"/>
            </w:tcMar>
            <w:vAlign w:val="center"/>
          </w:tcPr>
          <w:p w14:paraId="1DFB763F" w14:textId="77777777">
            <w:pPr>
              <w:spacing w:after="0"/>
            </w:pPr>
            <w:r>
              <w:rPr>
                <w:b/>
                <w:color w:val="0B2545"/>
                <w:sz w:val="19"/>
              </w:rPr>
              <w:t>Recommended production decision</w:t>
            </w:r>
          </w:p>
        </w:tc>
      </w:tr>
      <w:tr w14:paraId="46C3CD09" w14:textId="77777777">
        <w:trPr>
          <w:cantSplit/>
        </w:trPr>
        <w:tc>
          <w:tcPr>
            <w:tcW w:w="2380" w:type="dxa"/>
            <w:tcMar>
              <w:top w:w="80" w:type="dxa"/>
              <w:left w:w="120" w:type="dxa"/>
              <w:bottom w:w="80" w:type="dxa"/>
              <w:right w:w="120" w:type="dxa"/>
            </w:tcMar>
            <w:vAlign w:val="center"/>
          </w:tcPr>
          <w:p w14:paraId="775EAC32" w14:textId="77777777">
            <w:pPr>
              <w:spacing w:after="0" w:line="269" w:lineRule="auto"/>
            </w:pPr>
            <w:r>
              <w:rPr>
                <w:sz w:val="18"/>
              </w:rPr>
              <w:t>Public App Service endpoint</w:t>
            </w:r>
          </w:p>
        </w:tc>
        <w:tc>
          <w:tcPr>
            <w:tcW w:w="3170" w:type="dxa"/>
            <w:tcMar>
              <w:top w:w="80" w:type="dxa"/>
              <w:left w:w="120" w:type="dxa"/>
              <w:bottom w:w="80" w:type="dxa"/>
              <w:right w:w="120" w:type="dxa"/>
            </w:tcMar>
            <w:vAlign w:val="center"/>
          </w:tcPr>
          <w:p w14:paraId="0600DFFF" w14:textId="77777777">
            <w:pPr>
              <w:spacing w:after="0" w:line="269" w:lineRule="auto"/>
            </w:pPr>
            <w:r>
              <w:rPr>
                <w:sz w:val="18"/>
              </w:rPr>
              <w:t>UI shell and health endpoints are internet reachable; application data still requires Entra.</w:t>
            </w:r>
          </w:p>
        </w:tc>
        <w:tc>
          <w:tcPr>
            <w:tcW w:w="3810" w:type="dxa"/>
            <w:tcMar>
              <w:top w:w="80" w:type="dxa"/>
              <w:left w:w="120" w:type="dxa"/>
              <w:bottom w:w="80" w:type="dxa"/>
              <w:right w:w="120" w:type="dxa"/>
            </w:tcMar>
            <w:vAlign w:val="center"/>
          </w:tcPr>
          <w:p w14:paraId="6A9DE76A" w14:textId="77777777">
            <w:pPr>
              <w:spacing w:after="0" w:line="269" w:lineRule="auto"/>
            </w:pPr>
            <w:r>
              <w:rPr>
                <w:sz w:val="18"/>
              </w:rPr>
              <w:t>Choose public-with-Entra/CA and access restrictions, or App Service private endpoint with college VPN/ExpressRoute and private DNS.</w:t>
            </w:r>
          </w:p>
        </w:tc>
      </w:tr>
      <w:tr w14:paraId="140BE7F7" w14:textId="77777777">
        <w:trPr>
          <w:cantSplit/>
        </w:trPr>
        <w:tc>
          <w:tcPr>
            <w:tcW w:w="2380" w:type="dxa"/>
            <w:tcMar>
              <w:top w:w="80" w:type="dxa"/>
              <w:left w:w="120" w:type="dxa"/>
              <w:bottom w:w="80" w:type="dxa"/>
              <w:right w:w="120" w:type="dxa"/>
            </w:tcMar>
            <w:vAlign w:val="center"/>
          </w:tcPr>
          <w:p w14:paraId="609DB1F4" w14:textId="77777777">
            <w:pPr>
              <w:spacing w:after="0" w:line="269" w:lineRule="auto"/>
            </w:pPr>
            <w:r>
              <w:rPr>
                <w:sz w:val="18"/>
              </w:rPr>
              <w:t>SQL AllowAzureServices 0.0.0.0</w:t>
            </w:r>
          </w:p>
        </w:tc>
        <w:tc>
          <w:tcPr>
            <w:tcW w:w="3170" w:type="dxa"/>
            <w:tcMar>
              <w:top w:w="80" w:type="dxa"/>
              <w:left w:w="120" w:type="dxa"/>
              <w:bottom w:w="80" w:type="dxa"/>
              <w:right w:w="120" w:type="dxa"/>
            </w:tcMar>
            <w:vAlign w:val="center"/>
          </w:tcPr>
          <w:p w14:paraId="1CC0B5C2" w14:textId="77777777">
            <w:pPr>
              <w:spacing w:after="0" w:line="269" w:lineRule="auto"/>
            </w:pPr>
            <w:r>
              <w:rPr>
                <w:sz w:val="18"/>
              </w:rPr>
              <w:t>Allows connection attempts from Azure resources in other tenants; SQL authentication/authorisation still applies.</w:t>
            </w:r>
          </w:p>
        </w:tc>
        <w:tc>
          <w:tcPr>
            <w:tcW w:w="3810" w:type="dxa"/>
            <w:tcMar>
              <w:top w:w="80" w:type="dxa"/>
              <w:left w:w="120" w:type="dxa"/>
              <w:bottom w:w="80" w:type="dxa"/>
              <w:right w:w="120" w:type="dxa"/>
            </w:tcMar>
            <w:vAlign w:val="center"/>
          </w:tcPr>
          <w:p w14:paraId="28099E55" w14:textId="77777777">
            <w:pPr>
              <w:spacing w:after="0" w:line="269" w:lineRule="auto"/>
            </w:pPr>
            <w:r>
              <w:rPr>
                <w:sz w:val="18"/>
              </w:rPr>
              <w:t>Prefer App Service VNet integration plus SQL private endpoint, then disable public access. At minimum document and review the exception.</w:t>
            </w:r>
          </w:p>
        </w:tc>
      </w:tr>
      <w:tr w14:paraId="57C29FB4" w14:textId="77777777">
        <w:trPr>
          <w:cantSplit/>
        </w:trPr>
        <w:tc>
          <w:tcPr>
            <w:tcW w:w="2380" w:type="dxa"/>
            <w:tcMar>
              <w:top w:w="80" w:type="dxa"/>
              <w:left w:w="120" w:type="dxa"/>
              <w:bottom w:w="80" w:type="dxa"/>
              <w:right w:w="120" w:type="dxa"/>
            </w:tcMar>
            <w:vAlign w:val="center"/>
          </w:tcPr>
          <w:p w14:paraId="27CEB457" w14:textId="77777777">
            <w:pPr>
              <w:spacing w:after="0" w:line="269" w:lineRule="auto"/>
            </w:pPr>
            <w:r>
              <w:rPr>
                <w:sz w:val="18"/>
              </w:rPr>
              <w:t>Storage and Key Vault default network allow</w:t>
            </w:r>
          </w:p>
        </w:tc>
        <w:tc>
          <w:tcPr>
            <w:tcW w:w="3170" w:type="dxa"/>
            <w:tcMar>
              <w:top w:w="80" w:type="dxa"/>
              <w:left w:w="120" w:type="dxa"/>
              <w:bottom w:w="80" w:type="dxa"/>
              <w:right w:w="120" w:type="dxa"/>
            </w:tcMar>
            <w:vAlign w:val="center"/>
          </w:tcPr>
          <w:p w14:paraId="3FE93DA1" w14:textId="77777777">
            <w:pPr>
              <w:spacing w:after="0" w:line="269" w:lineRule="auto"/>
            </w:pPr>
            <w:r>
              <w:rPr>
                <w:sz w:val="18"/>
              </w:rPr>
              <w:t>RBAC protects data but the public endpoints are reachable.</w:t>
            </w:r>
          </w:p>
        </w:tc>
        <w:tc>
          <w:tcPr>
            <w:tcW w:w="3810" w:type="dxa"/>
            <w:tcMar>
              <w:top w:w="80" w:type="dxa"/>
              <w:left w:w="120" w:type="dxa"/>
              <w:bottom w:w="80" w:type="dxa"/>
              <w:right w:w="120" w:type="dxa"/>
            </w:tcMar>
            <w:vAlign w:val="center"/>
          </w:tcPr>
          <w:p w14:paraId="71EE2306" w14:textId="77777777">
            <w:pPr>
              <w:spacing w:after="0" w:line="269" w:lineRule="auto"/>
            </w:pPr>
            <w:r>
              <w:rPr>
                <w:sz w:val="18"/>
              </w:rPr>
              <w:t>Use private endpoints/firewalls if required by college policy; test App Service DNS and outbound routing before disabling public access.</w:t>
            </w:r>
          </w:p>
        </w:tc>
      </w:tr>
      <w:tr w14:paraId="74DBEE8C" w14:textId="77777777">
        <w:trPr>
          <w:cantSplit/>
        </w:trPr>
        <w:tc>
          <w:tcPr>
            <w:tcW w:w="2380" w:type="dxa"/>
            <w:tcMar>
              <w:top w:w="80" w:type="dxa"/>
              <w:left w:w="120" w:type="dxa"/>
              <w:bottom w:w="80" w:type="dxa"/>
              <w:right w:w="120" w:type="dxa"/>
            </w:tcMar>
            <w:vAlign w:val="center"/>
          </w:tcPr>
          <w:p w14:paraId="6075A66A" w14:textId="77777777">
            <w:pPr>
              <w:spacing w:after="0" w:line="269" w:lineRule="auto"/>
            </w:pPr>
            <w:r>
              <w:rPr>
                <w:sz w:val="18"/>
              </w:rPr>
              <w:t>One B1 instance</w:t>
            </w:r>
          </w:p>
        </w:tc>
        <w:tc>
          <w:tcPr>
            <w:tcW w:w="3170" w:type="dxa"/>
            <w:tcMar>
              <w:top w:w="80" w:type="dxa"/>
              <w:left w:w="120" w:type="dxa"/>
              <w:bottom w:w="80" w:type="dxa"/>
              <w:right w:w="120" w:type="dxa"/>
            </w:tcMar>
            <w:vAlign w:val="center"/>
          </w:tcPr>
          <w:p w14:paraId="1C7E0B2C" w14:textId="77777777">
            <w:pPr>
              <w:spacing w:after="0" w:line="269" w:lineRule="auto"/>
            </w:pPr>
            <w:r>
              <w:rPr>
                <w:sz w:val="18"/>
              </w:rPr>
              <w:t>No worker redundancy and direct deployment restart/brief interruption.</w:t>
            </w:r>
          </w:p>
        </w:tc>
        <w:tc>
          <w:tcPr>
            <w:tcW w:w="3810" w:type="dxa"/>
            <w:tcMar>
              <w:top w:w="80" w:type="dxa"/>
              <w:left w:w="120" w:type="dxa"/>
              <w:bottom w:w="80" w:type="dxa"/>
              <w:right w:w="120" w:type="dxa"/>
            </w:tcMar>
            <w:vAlign w:val="center"/>
          </w:tcPr>
          <w:p w14:paraId="2A7F6895" w14:textId="77777777">
            <w:pPr>
              <w:spacing w:after="0" w:line="269" w:lineRule="auto"/>
            </w:pPr>
            <w:r>
              <w:rPr>
                <w:sz w:val="18"/>
              </w:rPr>
              <w:t>For broad use, consider Standard or higher, two instances and a staging slot after measuring costs.</w:t>
            </w:r>
          </w:p>
        </w:tc>
      </w:tr>
      <w:tr w14:paraId="60F20686" w14:textId="77777777">
        <w:trPr>
          <w:cantSplit/>
        </w:trPr>
        <w:tc>
          <w:tcPr>
            <w:tcW w:w="2380" w:type="dxa"/>
            <w:tcMar>
              <w:top w:w="80" w:type="dxa"/>
              <w:left w:w="120" w:type="dxa"/>
              <w:bottom w:w="80" w:type="dxa"/>
              <w:right w:w="120" w:type="dxa"/>
            </w:tcMar>
            <w:vAlign w:val="center"/>
          </w:tcPr>
          <w:p w14:paraId="345B6992" w14:textId="77777777">
            <w:pPr>
              <w:spacing w:after="0" w:line="269" w:lineRule="auto"/>
            </w:pPr>
            <w:r>
              <w:rPr>
                <w:sz w:val="18"/>
              </w:rPr>
              <w:t>SQL local backup redundancy</w:t>
            </w:r>
          </w:p>
        </w:tc>
        <w:tc>
          <w:tcPr>
            <w:tcW w:w="3170" w:type="dxa"/>
            <w:tcMar>
              <w:top w:w="80" w:type="dxa"/>
              <w:left w:w="120" w:type="dxa"/>
              <w:bottom w:w="80" w:type="dxa"/>
              <w:right w:w="120" w:type="dxa"/>
            </w:tcMar>
            <w:vAlign w:val="center"/>
          </w:tcPr>
          <w:p w14:paraId="31EDD17E" w14:textId="77777777">
            <w:pPr>
              <w:spacing w:after="0" w:line="269" w:lineRule="auto"/>
            </w:pPr>
            <w:r>
              <w:rPr>
                <w:sz w:val="18"/>
              </w:rPr>
              <w:t>A local regional storage failure has less protection than zone/geo options.</w:t>
            </w:r>
          </w:p>
        </w:tc>
        <w:tc>
          <w:tcPr>
            <w:tcW w:w="3810" w:type="dxa"/>
            <w:tcMar>
              <w:top w:w="80" w:type="dxa"/>
              <w:left w:w="120" w:type="dxa"/>
              <w:bottom w:w="80" w:type="dxa"/>
              <w:right w:w="120" w:type="dxa"/>
            </w:tcMar>
            <w:vAlign w:val="center"/>
          </w:tcPr>
          <w:p w14:paraId="0B8AA53F" w14:textId="77777777">
            <w:pPr>
              <w:spacing w:after="0" w:line="269" w:lineRule="auto"/>
            </w:pPr>
            <w:r>
              <w:rPr>
                <w:sz w:val="18"/>
              </w:rPr>
              <w:t>Set redundancy and long-term retention to the agreed recovery and data-residency policy.</w:t>
            </w:r>
          </w:p>
        </w:tc>
      </w:tr>
      <w:tr w14:paraId="1E499791" w14:textId="77777777">
        <w:trPr>
          <w:cantSplit/>
        </w:trPr>
        <w:tc>
          <w:tcPr>
            <w:tcW w:w="2380" w:type="dxa"/>
            <w:tcMar>
              <w:top w:w="80" w:type="dxa"/>
              <w:left w:w="120" w:type="dxa"/>
              <w:bottom w:w="80" w:type="dxa"/>
              <w:right w:w="120" w:type="dxa"/>
            </w:tcMar>
            <w:vAlign w:val="center"/>
          </w:tcPr>
          <w:p w14:paraId="3FF13C10" w14:textId="77777777">
            <w:pPr>
              <w:spacing w:after="0" w:line="269" w:lineRule="auto"/>
            </w:pPr>
            <w:r>
              <w:rPr>
                <w:sz w:val="18"/>
              </w:rPr>
              <w:t>30-day telemetry</w:t>
            </w:r>
          </w:p>
        </w:tc>
        <w:tc>
          <w:tcPr>
            <w:tcW w:w="3170" w:type="dxa"/>
            <w:tcMar>
              <w:top w:w="80" w:type="dxa"/>
              <w:left w:w="120" w:type="dxa"/>
              <w:bottom w:w="80" w:type="dxa"/>
              <w:right w:w="120" w:type="dxa"/>
            </w:tcMar>
            <w:vAlign w:val="center"/>
          </w:tcPr>
          <w:p w14:paraId="249A158B" w14:textId="77777777">
            <w:pPr>
              <w:spacing w:after="0" w:line="269" w:lineRule="auto"/>
            </w:pPr>
            <w:r>
              <w:rPr>
                <w:sz w:val="18"/>
              </w:rPr>
              <w:t>May be too short or too long for support/privacy policy.</w:t>
            </w:r>
          </w:p>
        </w:tc>
        <w:tc>
          <w:tcPr>
            <w:tcW w:w="3810" w:type="dxa"/>
            <w:tcMar>
              <w:top w:w="80" w:type="dxa"/>
              <w:left w:w="120" w:type="dxa"/>
              <w:bottom w:w="80" w:type="dxa"/>
              <w:right w:w="120" w:type="dxa"/>
            </w:tcMar>
            <w:vAlign w:val="center"/>
          </w:tcPr>
          <w:p w14:paraId="46394645" w14:textId="77777777">
            <w:pPr>
              <w:spacing w:after="0" w:line="269" w:lineRule="auto"/>
            </w:pPr>
            <w:r>
              <w:rPr>
                <w:sz w:val="18"/>
              </w:rPr>
              <w:t>Agree retention, sampling and redaction; never log tokens, request bodies or staff narrative.</w:t>
            </w:r>
          </w:p>
        </w:tc>
      </w:tr>
    </w:tbl>
    <w:p w14:paraId="084848A1" w14:textId="77777777">
      <w:pPr>
        <w:spacing w:after="20"/>
      </w:pPr>
    </w:p>
    <w:tbl>
      <w:tblPr>
        <w:tblStyle w:val="TableGrid"/>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14:paraId="00CBEFF2" w14:textId="77777777">
        <w:trPr>
          <w:cantSplit/>
          <w:tblHeader/>
        </w:trPr>
        <w:tc>
          <w:tcPr>
            <w:tcW w:w="9360" w:type="dxa"/>
            <w:shd w:val="clear" w:color="auto" w:fill="FFF4CC"/>
            <w:tcMar>
              <w:top w:w="80" w:type="dxa"/>
              <w:left w:w="120" w:type="dxa"/>
              <w:bottom w:w="80" w:type="dxa"/>
              <w:right w:w="120" w:type="dxa"/>
            </w:tcMar>
            <w:vAlign w:val="center"/>
          </w:tcPr>
          <w:p w14:paraId="58170FBE" w14:textId="77777777">
            <w:pPr>
              <w:spacing w:after="60"/>
            </w:pPr>
            <w:r>
              <w:rPr>
                <w:b/>
                <w:color w:val="7A5A00"/>
              </w:rPr>
              <w:t>Serverless cost caveat</w:t>
            </w:r>
          </w:p>
          <w:p w14:paraId="07C3E244" w14:textId="77777777">
            <w:pPr>
              <w:spacing w:after="0"/>
            </w:pPr>
            <w:r>
              <w:rPr>
                <w:sz w:val="20"/>
              </w:rPr>
              <w:t>The App Service health check calls /health/ready every minute and that endpoint opens a database connection. This traffic can prevent Azure SQL from becoming idle enough to auto-pause. Treat auto-pause savings as unproven and verify actual behaviour and cost after deployment.</w:t>
            </w:r>
          </w:p>
        </w:tc>
      </w:tr>
    </w:tbl>
    <w:p w14:paraId="2AC0D4F5" w14:textId="77777777">
      <w:pPr>
        <w:spacing w:after="20"/>
      </w:pPr>
    </w:p>
    <w:p w14:paraId="42B67DC4" w14:textId="77777777">
      <w:pPr>
        <w:pStyle w:val="Heading2"/>
      </w:pPr>
      <w:r>
        <w:t>Cost control before creation</w:t>
      </w:r>
    </w:p>
    <w:p w14:paraId="6E03A779" w14:textId="77777777">
      <w:pPr>
        <w:numPr>
          <w:ilvl w:val="0"/>
          <w:numId w:val="9"/>
        </w:numPr>
      </w:pPr>
      <w:r>
        <w:t>Open Azure Pricing Calculator and model the exact UK South App Service, Azure SQL compute/storage/backups, Log Analytics ingestion, Application Insights, Storage, Key Vault and any private endpoints/VNet services.</w:t>
      </w:r>
    </w:p>
    <w:p w14:paraId="1D3CB842" w14:textId="77777777">
      <w:pPr>
        <w:numPr>
          <w:ilvl w:val="0"/>
          <w:numId w:val="9"/>
        </w:numPr>
      </w:pPr>
      <w:r>
        <w:t>Assign the approved cost centre and owners using tags or college policy. The Bicep template already tags application, environment, managedBy and dataClassification.</w:t>
      </w:r>
    </w:p>
    <w:p w14:paraId="3D7573A6" w14:textId="77777777">
      <w:pPr>
        <w:numPr>
          <w:ilvl w:val="0"/>
          <w:numId w:val="9"/>
        </w:numPr>
      </w:pPr>
      <w:r>
        <w:t>Create a monthly budget at resource-group or subscription scope with actual and forecast thresholds routed to at least the service owner and finance/platform owner.</w:t>
      </w:r>
    </w:p>
    <w:p w14:paraId="5DE27F92" w14:textId="77777777">
      <w:pPr>
        <w:numPr>
          <w:ilvl w:val="0"/>
          <w:numId w:val="9"/>
        </w:numPr>
      </w:pPr>
      <w:r>
        <w:t>Understand that a budget sends alerts; it does not automatically stop the service or stop charges.</w:t>
      </w:r>
    </w:p>
    <w:p w14:paraId="5544DCD4" w14:textId="77777777">
      <w:pPr>
        <w:numPr>
          <w:ilvl w:val="0"/>
          <w:numId w:val="9"/>
        </w:numPr>
      </w:pPr>
      <w:r>
        <w:t>After acceptance, consider a CanNotDelete lock on critical production resources or the resource group. Test deployment procedures because locks can block legitimate changes.</w:t>
      </w:r>
    </w:p>
    <w:p w14:paraId="4DD89438" w14:textId="77777777">
      <w:pPr>
        <w:pStyle w:val="SmallNote"/>
      </w:pPr>
      <w:r>
        <w:rPr>
          <w:b/>
        </w:rPr>
        <w:lastRenderedPageBreak/>
        <w:t xml:space="preserve">Repository reference: </w:t>
      </w:r>
      <w:r>
        <w:rPr>
          <w:rFonts w:ascii="Consolas" w:eastAsia="Consolas" w:hAnsi="Consolas"/>
          <w:color w:val="1F4D78"/>
          <w:sz w:val="17"/>
        </w:rPr>
        <w:t>infrastructure/azure/main.bicep</w:t>
      </w:r>
      <w:r>
        <w:t xml:space="preserve">  •  </w:t>
      </w:r>
      <w:r>
        <w:rPr>
          <w:rFonts w:ascii="Consolas" w:eastAsia="Consolas" w:hAnsi="Consolas"/>
          <w:color w:val="1F4D78"/>
          <w:sz w:val="17"/>
        </w:rPr>
        <w:t>infrastructure/azure/subscription.bicep</w:t>
      </w:r>
    </w:p>
    <w:p w14:paraId="08BB1512" w14:textId="11E7DE2E">
      <w:pPr>
        <w:pStyle w:val="SmallNote"/>
      </w:pPr>
      <w:r>
        <w:rPr>
          <w:b/>
        </w:rPr>
        <w:t xml:space="preserve">Microsoft/GitHub reference: </w:t>
      </w:r>
      <w:hyperlink r:id="rId19">
        <w:r>
          <w:rPr>
            <w:color w:val="1F4D78"/>
            <w:u w:val="single"/>
          </w:rPr>
          <w:t>SQL firewall warning</w:t>
        </w:r>
      </w:hyperlink>
      <w:r>
        <w:t xml:space="preserve">  •  </w:t>
      </w:r>
      <w:hyperlink r:id="rId20">
        <w:r>
          <w:rPr>
            <w:color w:val="1F4D78"/>
            <w:u w:val="single"/>
          </w:rPr>
          <w:t>App Service private endpoints</w:t>
        </w:r>
      </w:hyperlink>
      <w:r>
        <w:t xml:space="preserve">  •  </w:t>
      </w:r>
      <w:hyperlink r:id="rId21">
        <w:r>
          <w:rPr>
            <w:color w:val="1F4D78"/>
            <w:u w:val="single"/>
          </w:rPr>
          <w:t>Storage network security</w:t>
        </w:r>
      </w:hyperlink>
      <w:r>
        <w:t xml:space="preserve">  •  </w:t>
      </w:r>
      <w:hyperlink r:id="rId22">
        <w:r>
          <w:rPr>
            <w:color w:val="1F4D78"/>
            <w:u w:val="single"/>
          </w:rPr>
          <w:t>Secure Key Vault</w:t>
        </w:r>
      </w:hyperlink>
      <w:r>
        <w:t xml:space="preserve">  •  </w:t>
      </w:r>
      <w:hyperlink r:id="rId23">
        <w:r>
          <w:rPr>
            <w:color w:val="1F4D78"/>
            <w:u w:val="single"/>
          </w:rPr>
          <w:t>Azure budgets</w:t>
        </w:r>
      </w:hyperlink>
    </w:p>
    <w:p w14:paraId="0C23F629" w14:textId="77777777">
      <w:pPr>
        <w:pStyle w:val="Heading1"/>
      </w:pPr>
      <w:bookmarkStart w:id="9" w:name="parameters"/>
      <w:r>
        <w:lastRenderedPageBreak/>
        <w:t>8. Prepare deployment parameters</w:t>
      </w:r>
      <w:bookmarkEnd w:id="9"/>
    </w:p>
    <w:p w14:paraId="5AA73339" w14:textId="77777777">
      <w:r>
        <w:t>The repository contains an example parameter file. Copy it to an approved restricted location outside the repository. The completed file contains a SQL break-glass password and must not be placed in Git, OneDrive sharing links, email, Teams chat, tickets or release notes.</w:t>
      </w:r>
    </w:p>
    <w:p w14:paraId="5B64F19D" w14:textId="77777777">
      <w:pPr>
        <w:pStyle w:val="Heading2"/>
      </w:pPr>
      <w:r>
        <w:t>Parameter-by-parameter</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800"/>
        <w:gridCol w:w="3850"/>
        <w:gridCol w:w="2710"/>
      </w:tblGrid>
      <w:tr w14:paraId="48E214F5" w14:textId="77777777">
        <w:trPr>
          <w:cantSplit/>
          <w:tblHeader/>
        </w:trPr>
        <w:tc>
          <w:tcPr>
            <w:tcW w:w="2800" w:type="dxa"/>
            <w:shd w:val="clear" w:color="auto" w:fill="E8EEF5"/>
            <w:tcMar>
              <w:top w:w="80" w:type="dxa"/>
              <w:left w:w="120" w:type="dxa"/>
              <w:bottom w:w="80" w:type="dxa"/>
              <w:right w:w="120" w:type="dxa"/>
            </w:tcMar>
            <w:vAlign w:val="center"/>
          </w:tcPr>
          <w:p w14:paraId="4A96010E" w14:textId="77777777">
            <w:pPr>
              <w:spacing w:after="0"/>
            </w:pPr>
            <w:r>
              <w:rPr>
                <w:b/>
                <w:color w:val="0B2545"/>
                <w:sz w:val="19"/>
              </w:rPr>
              <w:t>Parameter</w:t>
            </w:r>
          </w:p>
        </w:tc>
        <w:tc>
          <w:tcPr>
            <w:tcW w:w="3850" w:type="dxa"/>
            <w:shd w:val="clear" w:color="auto" w:fill="E8EEF5"/>
            <w:tcMar>
              <w:top w:w="80" w:type="dxa"/>
              <w:left w:w="120" w:type="dxa"/>
              <w:bottom w:w="80" w:type="dxa"/>
              <w:right w:w="120" w:type="dxa"/>
            </w:tcMar>
            <w:vAlign w:val="center"/>
          </w:tcPr>
          <w:p w14:paraId="77B35AF0" w14:textId="77777777">
            <w:pPr>
              <w:spacing w:after="0"/>
            </w:pPr>
            <w:r>
              <w:rPr>
                <w:b/>
                <w:color w:val="0B2545"/>
                <w:sz w:val="19"/>
              </w:rPr>
              <w:t>Recommended / known value</w:t>
            </w:r>
          </w:p>
        </w:tc>
        <w:tc>
          <w:tcPr>
            <w:tcW w:w="2710" w:type="dxa"/>
            <w:shd w:val="clear" w:color="auto" w:fill="E8EEF5"/>
            <w:tcMar>
              <w:top w:w="80" w:type="dxa"/>
              <w:left w:w="120" w:type="dxa"/>
              <w:bottom w:w="80" w:type="dxa"/>
              <w:right w:w="120" w:type="dxa"/>
            </w:tcMar>
            <w:vAlign w:val="center"/>
          </w:tcPr>
          <w:p w14:paraId="36B495C2" w14:textId="77777777">
            <w:pPr>
              <w:spacing w:after="0"/>
            </w:pPr>
            <w:r>
              <w:rPr>
                <w:b/>
                <w:color w:val="0B2545"/>
                <w:sz w:val="19"/>
              </w:rPr>
              <w:t>Owner or note</w:t>
            </w:r>
          </w:p>
        </w:tc>
      </w:tr>
      <w:tr w14:paraId="22F29477" w14:textId="77777777">
        <w:trPr>
          <w:cantSplit/>
        </w:trPr>
        <w:tc>
          <w:tcPr>
            <w:tcW w:w="2800" w:type="dxa"/>
            <w:tcMar>
              <w:top w:w="80" w:type="dxa"/>
              <w:left w:w="120" w:type="dxa"/>
              <w:bottom w:w="80" w:type="dxa"/>
              <w:right w:w="120" w:type="dxa"/>
            </w:tcMar>
            <w:vAlign w:val="center"/>
          </w:tcPr>
          <w:p w14:paraId="244AE0E9" w14:textId="77777777">
            <w:pPr>
              <w:spacing w:after="0" w:line="269" w:lineRule="auto"/>
            </w:pPr>
            <w:r>
              <w:rPr>
                <w:sz w:val="18"/>
              </w:rPr>
              <w:t>resourceGroupName</w:t>
            </w:r>
          </w:p>
        </w:tc>
        <w:tc>
          <w:tcPr>
            <w:tcW w:w="3850" w:type="dxa"/>
            <w:tcMar>
              <w:top w:w="80" w:type="dxa"/>
              <w:left w:w="120" w:type="dxa"/>
              <w:bottom w:w="80" w:type="dxa"/>
              <w:right w:w="120" w:type="dxa"/>
            </w:tcMar>
            <w:vAlign w:val="center"/>
          </w:tcPr>
          <w:p w14:paraId="67A2FF51" w14:textId="77777777">
            <w:pPr>
              <w:spacing w:after="0" w:line="269" w:lineRule="auto"/>
            </w:pPr>
            <w:r>
              <w:rPr>
                <w:sz w:val="18"/>
              </w:rPr>
              <w:t>rg-ielevate-prod-uks</w:t>
            </w:r>
          </w:p>
        </w:tc>
        <w:tc>
          <w:tcPr>
            <w:tcW w:w="2710" w:type="dxa"/>
            <w:tcMar>
              <w:top w:w="80" w:type="dxa"/>
              <w:left w:w="120" w:type="dxa"/>
              <w:bottom w:w="80" w:type="dxa"/>
              <w:right w:w="120" w:type="dxa"/>
            </w:tcMar>
            <w:vAlign w:val="center"/>
          </w:tcPr>
          <w:p w14:paraId="7329BADD" w14:textId="77777777">
            <w:pPr>
              <w:spacing w:after="0" w:line="269" w:lineRule="auto"/>
            </w:pPr>
            <w:r>
              <w:rPr>
                <w:sz w:val="18"/>
              </w:rPr>
              <w:t>Already exists empty; Bicep can target it.</w:t>
            </w:r>
          </w:p>
        </w:tc>
      </w:tr>
      <w:tr w14:paraId="27EA5C06" w14:textId="77777777">
        <w:trPr>
          <w:cantSplit/>
        </w:trPr>
        <w:tc>
          <w:tcPr>
            <w:tcW w:w="2800" w:type="dxa"/>
            <w:tcMar>
              <w:top w:w="80" w:type="dxa"/>
              <w:left w:w="120" w:type="dxa"/>
              <w:bottom w:w="80" w:type="dxa"/>
              <w:right w:w="120" w:type="dxa"/>
            </w:tcMar>
            <w:vAlign w:val="center"/>
          </w:tcPr>
          <w:p w14:paraId="4F366D86" w14:textId="77777777">
            <w:pPr>
              <w:spacing w:after="0" w:line="269" w:lineRule="auto"/>
            </w:pPr>
            <w:r>
              <w:rPr>
                <w:sz w:val="18"/>
              </w:rPr>
              <w:t>location</w:t>
            </w:r>
          </w:p>
        </w:tc>
        <w:tc>
          <w:tcPr>
            <w:tcW w:w="3850" w:type="dxa"/>
            <w:tcMar>
              <w:top w:w="80" w:type="dxa"/>
              <w:left w:w="120" w:type="dxa"/>
              <w:bottom w:w="80" w:type="dxa"/>
              <w:right w:w="120" w:type="dxa"/>
            </w:tcMar>
            <w:vAlign w:val="center"/>
          </w:tcPr>
          <w:p w14:paraId="761494C7" w14:textId="77777777">
            <w:pPr>
              <w:spacing w:after="0" w:line="269" w:lineRule="auto"/>
            </w:pPr>
            <w:r>
              <w:rPr>
                <w:sz w:val="18"/>
              </w:rPr>
              <w:t>uksouth</w:t>
            </w:r>
          </w:p>
        </w:tc>
        <w:tc>
          <w:tcPr>
            <w:tcW w:w="2710" w:type="dxa"/>
            <w:tcMar>
              <w:top w:w="80" w:type="dxa"/>
              <w:left w:w="120" w:type="dxa"/>
              <w:bottom w:w="80" w:type="dxa"/>
              <w:right w:w="120" w:type="dxa"/>
            </w:tcMar>
            <w:vAlign w:val="center"/>
          </w:tcPr>
          <w:p w14:paraId="0E9C941A" w14:textId="77777777">
            <w:pPr>
              <w:spacing w:after="0" w:line="269" w:lineRule="auto"/>
            </w:pPr>
            <w:r>
              <w:rPr>
                <w:sz w:val="18"/>
              </w:rPr>
              <w:t>Confirm region and data policy.</w:t>
            </w:r>
          </w:p>
        </w:tc>
      </w:tr>
      <w:tr w14:paraId="660306F1" w14:textId="77777777">
        <w:trPr>
          <w:cantSplit/>
        </w:trPr>
        <w:tc>
          <w:tcPr>
            <w:tcW w:w="2800" w:type="dxa"/>
            <w:tcMar>
              <w:top w:w="80" w:type="dxa"/>
              <w:left w:w="120" w:type="dxa"/>
              <w:bottom w:w="80" w:type="dxa"/>
              <w:right w:w="120" w:type="dxa"/>
            </w:tcMar>
            <w:vAlign w:val="center"/>
          </w:tcPr>
          <w:p w14:paraId="64D91CF5" w14:textId="77777777">
            <w:pPr>
              <w:spacing w:after="0" w:line="269" w:lineRule="auto"/>
            </w:pPr>
            <w:r>
              <w:rPr>
                <w:sz w:val="18"/>
              </w:rPr>
              <w:t>namePrefix</w:t>
            </w:r>
          </w:p>
        </w:tc>
        <w:tc>
          <w:tcPr>
            <w:tcW w:w="3850" w:type="dxa"/>
            <w:tcMar>
              <w:top w:w="80" w:type="dxa"/>
              <w:left w:w="120" w:type="dxa"/>
              <w:bottom w:w="80" w:type="dxa"/>
              <w:right w:w="120" w:type="dxa"/>
            </w:tcMar>
            <w:vAlign w:val="center"/>
          </w:tcPr>
          <w:p w14:paraId="7838C77B" w14:textId="77777777">
            <w:pPr>
              <w:spacing w:after="0" w:line="269" w:lineRule="auto"/>
            </w:pPr>
            <w:r>
              <w:rPr>
                <w:sz w:val="18"/>
              </w:rPr>
              <w:t>ielevate-oldham</w:t>
            </w:r>
          </w:p>
        </w:tc>
        <w:tc>
          <w:tcPr>
            <w:tcW w:w="2710" w:type="dxa"/>
            <w:tcMar>
              <w:top w:w="80" w:type="dxa"/>
              <w:left w:w="120" w:type="dxa"/>
              <w:bottom w:w="80" w:type="dxa"/>
              <w:right w:w="120" w:type="dxa"/>
            </w:tcMar>
            <w:vAlign w:val="center"/>
          </w:tcPr>
          <w:p w14:paraId="3549A9C7" w14:textId="77777777">
            <w:pPr>
              <w:spacing w:after="0" w:line="269" w:lineRule="auto"/>
            </w:pPr>
            <w:r>
              <w:rPr>
                <w:sz w:val="18"/>
              </w:rPr>
              <w:t>Lowercase, 3–18 characters; Azure adds unique suffixes.</w:t>
            </w:r>
          </w:p>
        </w:tc>
      </w:tr>
      <w:tr w14:paraId="04878F47" w14:textId="77777777">
        <w:trPr>
          <w:cantSplit/>
        </w:trPr>
        <w:tc>
          <w:tcPr>
            <w:tcW w:w="2800" w:type="dxa"/>
            <w:tcMar>
              <w:top w:w="80" w:type="dxa"/>
              <w:left w:w="120" w:type="dxa"/>
              <w:bottom w:w="80" w:type="dxa"/>
              <w:right w:w="120" w:type="dxa"/>
            </w:tcMar>
            <w:vAlign w:val="center"/>
          </w:tcPr>
          <w:p w14:paraId="1D2E289D" w14:textId="77777777">
            <w:pPr>
              <w:spacing w:after="0" w:line="269" w:lineRule="auto"/>
            </w:pPr>
            <w:r>
              <w:rPr>
                <w:sz w:val="18"/>
              </w:rPr>
              <w:t>environmentName</w:t>
            </w:r>
          </w:p>
        </w:tc>
        <w:tc>
          <w:tcPr>
            <w:tcW w:w="3850" w:type="dxa"/>
            <w:tcMar>
              <w:top w:w="80" w:type="dxa"/>
              <w:left w:w="120" w:type="dxa"/>
              <w:bottom w:w="80" w:type="dxa"/>
              <w:right w:w="120" w:type="dxa"/>
            </w:tcMar>
            <w:vAlign w:val="center"/>
          </w:tcPr>
          <w:p w14:paraId="0ED8D971" w14:textId="77777777">
            <w:pPr>
              <w:spacing w:after="0" w:line="269" w:lineRule="auto"/>
            </w:pPr>
            <w:r>
              <w:rPr>
                <w:sz w:val="18"/>
              </w:rPr>
              <w:t>prod</w:t>
            </w:r>
          </w:p>
        </w:tc>
        <w:tc>
          <w:tcPr>
            <w:tcW w:w="2710" w:type="dxa"/>
            <w:tcMar>
              <w:top w:w="80" w:type="dxa"/>
              <w:left w:w="120" w:type="dxa"/>
              <w:bottom w:w="80" w:type="dxa"/>
              <w:right w:w="120" w:type="dxa"/>
            </w:tcMar>
            <w:vAlign w:val="center"/>
          </w:tcPr>
          <w:p w14:paraId="301A85B0" w14:textId="77777777">
            <w:pPr>
              <w:spacing w:after="0" w:line="269" w:lineRule="auto"/>
            </w:pPr>
            <w:r>
              <w:rPr>
                <w:sz w:val="18"/>
              </w:rPr>
              <w:t>Allowed: dev, test, prod.</w:t>
            </w:r>
          </w:p>
        </w:tc>
      </w:tr>
      <w:tr w14:paraId="4DE5264D" w14:textId="77777777">
        <w:trPr>
          <w:cantSplit/>
        </w:trPr>
        <w:tc>
          <w:tcPr>
            <w:tcW w:w="2800" w:type="dxa"/>
            <w:tcMar>
              <w:top w:w="80" w:type="dxa"/>
              <w:left w:w="120" w:type="dxa"/>
              <w:bottom w:w="80" w:type="dxa"/>
              <w:right w:w="120" w:type="dxa"/>
            </w:tcMar>
            <w:vAlign w:val="center"/>
          </w:tcPr>
          <w:p w14:paraId="5F903E34" w14:textId="77777777">
            <w:pPr>
              <w:spacing w:after="0" w:line="269" w:lineRule="auto"/>
            </w:pPr>
            <w:r>
              <w:rPr>
                <w:sz w:val="18"/>
              </w:rPr>
              <w:t>entraTenantId</w:t>
            </w:r>
          </w:p>
        </w:tc>
        <w:tc>
          <w:tcPr>
            <w:tcW w:w="3850" w:type="dxa"/>
            <w:tcMar>
              <w:top w:w="80" w:type="dxa"/>
              <w:left w:w="120" w:type="dxa"/>
              <w:bottom w:w="80" w:type="dxa"/>
              <w:right w:w="120" w:type="dxa"/>
            </w:tcMar>
            <w:vAlign w:val="center"/>
          </w:tcPr>
          <w:p w14:paraId="3BAF3F8F" w14:textId="77777777">
            <w:pPr>
              <w:spacing w:after="0" w:line="269" w:lineRule="auto"/>
            </w:pPr>
            <w:r>
              <w:rPr>
                <w:sz w:val="18"/>
              </w:rPr>
              <w:t>2ff33ca4-e942-419c-b5ca-e224a5167498</w:t>
            </w:r>
          </w:p>
        </w:tc>
        <w:tc>
          <w:tcPr>
            <w:tcW w:w="2710" w:type="dxa"/>
            <w:tcMar>
              <w:top w:w="80" w:type="dxa"/>
              <w:left w:w="120" w:type="dxa"/>
              <w:bottom w:w="80" w:type="dxa"/>
              <w:right w:w="120" w:type="dxa"/>
            </w:tcMar>
            <w:vAlign w:val="center"/>
          </w:tcPr>
          <w:p w14:paraId="4D2635A7" w14:textId="77777777">
            <w:pPr>
              <w:spacing w:after="0" w:line="269" w:lineRule="auto"/>
            </w:pPr>
            <w:r>
              <w:rPr>
                <w:sz w:val="18"/>
              </w:rPr>
              <w:t>Oldham College tenant; verify in portal.</w:t>
            </w:r>
          </w:p>
        </w:tc>
      </w:tr>
      <w:tr w14:paraId="3258AF51" w14:textId="77777777">
        <w:trPr>
          <w:cantSplit/>
        </w:trPr>
        <w:tc>
          <w:tcPr>
            <w:tcW w:w="2800" w:type="dxa"/>
            <w:tcMar>
              <w:top w:w="80" w:type="dxa"/>
              <w:left w:w="120" w:type="dxa"/>
              <w:bottom w:w="80" w:type="dxa"/>
              <w:right w:w="120" w:type="dxa"/>
            </w:tcMar>
            <w:vAlign w:val="center"/>
          </w:tcPr>
          <w:p w14:paraId="6AFB419F" w14:textId="77777777">
            <w:pPr>
              <w:spacing w:after="0" w:line="269" w:lineRule="auto"/>
            </w:pPr>
            <w:r>
              <w:rPr>
                <w:sz w:val="18"/>
              </w:rPr>
              <w:t>entraApiAudience</w:t>
            </w:r>
          </w:p>
        </w:tc>
        <w:tc>
          <w:tcPr>
            <w:tcW w:w="3850" w:type="dxa"/>
            <w:tcMar>
              <w:top w:w="80" w:type="dxa"/>
              <w:left w:w="120" w:type="dxa"/>
              <w:bottom w:w="80" w:type="dxa"/>
              <w:right w:w="120" w:type="dxa"/>
            </w:tcMar>
            <w:vAlign w:val="center"/>
          </w:tcPr>
          <w:p w14:paraId="44114EF2" w14:textId="77777777">
            <w:pPr>
              <w:spacing w:after="0" w:line="269" w:lineRule="auto"/>
            </w:pPr>
            <w:r>
              <w:rPr>
                <w:sz w:val="18"/>
              </w:rPr>
              <w:t>f6d35a24-dc89-40b0-819a-69400ed2491d</w:t>
            </w:r>
          </w:p>
        </w:tc>
        <w:tc>
          <w:tcPr>
            <w:tcW w:w="2710" w:type="dxa"/>
            <w:tcMar>
              <w:top w:w="80" w:type="dxa"/>
              <w:left w:w="120" w:type="dxa"/>
              <w:bottom w:w="80" w:type="dxa"/>
              <w:right w:w="120" w:type="dxa"/>
            </w:tcMar>
            <w:vAlign w:val="center"/>
          </w:tcPr>
          <w:p w14:paraId="670E8030" w14:textId="77777777">
            <w:pPr>
              <w:spacing w:after="0" w:line="269" w:lineRule="auto"/>
            </w:pPr>
            <w:r>
              <w:rPr>
                <w:sz w:val="18"/>
              </w:rPr>
              <w:t>API app client ID.</w:t>
            </w:r>
          </w:p>
        </w:tc>
      </w:tr>
      <w:tr w14:paraId="033C3D27" w14:textId="77777777">
        <w:trPr>
          <w:cantSplit/>
        </w:trPr>
        <w:tc>
          <w:tcPr>
            <w:tcW w:w="2800" w:type="dxa"/>
            <w:tcMar>
              <w:top w:w="80" w:type="dxa"/>
              <w:left w:w="120" w:type="dxa"/>
              <w:bottom w:w="80" w:type="dxa"/>
              <w:right w:w="120" w:type="dxa"/>
            </w:tcMar>
            <w:vAlign w:val="center"/>
          </w:tcPr>
          <w:p w14:paraId="0F4A9643" w14:textId="77777777">
            <w:pPr>
              <w:spacing w:after="0" w:line="269" w:lineRule="auto"/>
            </w:pPr>
            <w:r>
              <w:rPr>
                <w:sz w:val="18"/>
              </w:rPr>
              <w:t>sqlEntraAdministratorLogin</w:t>
            </w:r>
          </w:p>
        </w:tc>
        <w:tc>
          <w:tcPr>
            <w:tcW w:w="3850" w:type="dxa"/>
            <w:tcMar>
              <w:top w:w="80" w:type="dxa"/>
              <w:left w:w="120" w:type="dxa"/>
              <w:bottom w:w="80" w:type="dxa"/>
              <w:right w:w="120" w:type="dxa"/>
            </w:tcMar>
            <w:vAlign w:val="center"/>
          </w:tcPr>
          <w:p w14:paraId="3B734808" w14:textId="77777777">
            <w:pPr>
              <w:spacing w:after="0" w:line="269" w:lineRule="auto"/>
            </w:pPr>
            <w:r>
              <w:rPr>
                <w:sz w:val="18"/>
              </w:rPr>
              <w:t>Named DBA user or, after template enhancement, approved group</w:t>
            </w:r>
          </w:p>
        </w:tc>
        <w:tc>
          <w:tcPr>
            <w:tcW w:w="2710" w:type="dxa"/>
            <w:tcMar>
              <w:top w:w="80" w:type="dxa"/>
              <w:left w:w="120" w:type="dxa"/>
              <w:bottom w:w="80" w:type="dxa"/>
              <w:right w:w="120" w:type="dxa"/>
            </w:tcMar>
            <w:vAlign w:val="center"/>
          </w:tcPr>
          <w:p w14:paraId="509F1D84" w14:textId="77777777">
            <w:pPr>
              <w:spacing w:after="0" w:line="269" w:lineRule="auto"/>
            </w:pPr>
            <w:r>
              <w:rPr>
                <w:sz w:val="18"/>
              </w:rPr>
              <w:t>Must be able to connect and create external users.</w:t>
            </w:r>
          </w:p>
        </w:tc>
      </w:tr>
      <w:tr w14:paraId="1BEB8122" w14:textId="77777777">
        <w:trPr>
          <w:cantSplit/>
        </w:trPr>
        <w:tc>
          <w:tcPr>
            <w:tcW w:w="2800" w:type="dxa"/>
            <w:tcMar>
              <w:top w:w="80" w:type="dxa"/>
              <w:left w:w="120" w:type="dxa"/>
              <w:bottom w:w="80" w:type="dxa"/>
              <w:right w:w="120" w:type="dxa"/>
            </w:tcMar>
            <w:vAlign w:val="center"/>
          </w:tcPr>
          <w:p w14:paraId="3902BFBC" w14:textId="77777777">
            <w:pPr>
              <w:spacing w:after="0" w:line="269" w:lineRule="auto"/>
            </w:pPr>
            <w:r>
              <w:rPr>
                <w:sz w:val="18"/>
              </w:rPr>
              <w:t>sqlEntraAdministratorObjectId</w:t>
            </w:r>
          </w:p>
        </w:tc>
        <w:tc>
          <w:tcPr>
            <w:tcW w:w="3850" w:type="dxa"/>
            <w:tcMar>
              <w:top w:w="80" w:type="dxa"/>
              <w:left w:w="120" w:type="dxa"/>
              <w:bottom w:w="80" w:type="dxa"/>
              <w:right w:w="120" w:type="dxa"/>
            </w:tcMar>
            <w:vAlign w:val="center"/>
          </w:tcPr>
          <w:p w14:paraId="39825C7A" w14:textId="77777777">
            <w:pPr>
              <w:spacing w:after="0" w:line="269" w:lineRule="auto"/>
            </w:pPr>
            <w:r>
              <w:rPr>
                <w:sz w:val="18"/>
              </w:rPr>
              <w:t>That Entra principal's object ID</w:t>
            </w:r>
          </w:p>
        </w:tc>
        <w:tc>
          <w:tcPr>
            <w:tcW w:w="2710" w:type="dxa"/>
            <w:tcMar>
              <w:top w:w="80" w:type="dxa"/>
              <w:left w:w="120" w:type="dxa"/>
              <w:bottom w:w="80" w:type="dxa"/>
              <w:right w:w="120" w:type="dxa"/>
            </w:tcMar>
            <w:vAlign w:val="center"/>
          </w:tcPr>
          <w:p w14:paraId="5922823F" w14:textId="77777777">
            <w:pPr>
              <w:spacing w:after="0" w:line="269" w:lineRule="auto"/>
            </w:pPr>
            <w:r>
              <w:rPr>
                <w:sz w:val="18"/>
              </w:rPr>
              <w:t>Object ID—not application/client ID.</w:t>
            </w:r>
          </w:p>
        </w:tc>
      </w:tr>
      <w:tr w14:paraId="541A1ED6" w14:textId="77777777">
        <w:trPr>
          <w:cantSplit/>
        </w:trPr>
        <w:tc>
          <w:tcPr>
            <w:tcW w:w="2800" w:type="dxa"/>
            <w:tcMar>
              <w:top w:w="80" w:type="dxa"/>
              <w:left w:w="120" w:type="dxa"/>
              <w:bottom w:w="80" w:type="dxa"/>
              <w:right w:w="120" w:type="dxa"/>
            </w:tcMar>
            <w:vAlign w:val="center"/>
          </w:tcPr>
          <w:p w14:paraId="34C5AB73" w14:textId="77777777">
            <w:pPr>
              <w:spacing w:after="0" w:line="269" w:lineRule="auto"/>
            </w:pPr>
            <w:r>
              <w:rPr>
                <w:sz w:val="18"/>
              </w:rPr>
              <w:t>sqlAdministratorLogin</w:t>
            </w:r>
          </w:p>
        </w:tc>
        <w:tc>
          <w:tcPr>
            <w:tcW w:w="3850" w:type="dxa"/>
            <w:tcMar>
              <w:top w:w="80" w:type="dxa"/>
              <w:left w:w="120" w:type="dxa"/>
              <w:bottom w:w="80" w:type="dxa"/>
              <w:right w:w="120" w:type="dxa"/>
            </w:tcMar>
            <w:vAlign w:val="center"/>
          </w:tcPr>
          <w:p w14:paraId="1E4F3A2A" w14:textId="77777777">
            <w:pPr>
              <w:spacing w:after="0" w:line="269" w:lineRule="auto"/>
            </w:pPr>
            <w:r>
              <w:rPr>
                <w:sz w:val="18"/>
              </w:rPr>
              <w:t>ielevatesqladmin</w:t>
            </w:r>
          </w:p>
        </w:tc>
        <w:tc>
          <w:tcPr>
            <w:tcW w:w="2710" w:type="dxa"/>
            <w:tcMar>
              <w:top w:w="80" w:type="dxa"/>
              <w:left w:w="120" w:type="dxa"/>
              <w:bottom w:w="80" w:type="dxa"/>
              <w:right w:w="120" w:type="dxa"/>
            </w:tcMar>
            <w:vAlign w:val="center"/>
          </w:tcPr>
          <w:p w14:paraId="60771980" w14:textId="77777777">
            <w:pPr>
              <w:spacing w:after="0" w:line="269" w:lineRule="auto"/>
            </w:pPr>
            <w:r>
              <w:rPr>
                <w:sz w:val="18"/>
              </w:rPr>
              <w:t>Break-glass SQL login; application does not use it.</w:t>
            </w:r>
          </w:p>
        </w:tc>
      </w:tr>
      <w:tr w14:paraId="4E65171B" w14:textId="77777777">
        <w:trPr>
          <w:cantSplit/>
        </w:trPr>
        <w:tc>
          <w:tcPr>
            <w:tcW w:w="2800" w:type="dxa"/>
            <w:tcMar>
              <w:top w:w="80" w:type="dxa"/>
              <w:left w:w="120" w:type="dxa"/>
              <w:bottom w:w="80" w:type="dxa"/>
              <w:right w:w="120" w:type="dxa"/>
            </w:tcMar>
            <w:vAlign w:val="center"/>
          </w:tcPr>
          <w:p w14:paraId="091DE1B2" w14:textId="77777777">
            <w:pPr>
              <w:spacing w:after="0" w:line="269" w:lineRule="auto"/>
            </w:pPr>
            <w:r>
              <w:rPr>
                <w:sz w:val="18"/>
              </w:rPr>
              <w:t>sqlAdministratorPassword</w:t>
            </w:r>
          </w:p>
        </w:tc>
        <w:tc>
          <w:tcPr>
            <w:tcW w:w="3850" w:type="dxa"/>
            <w:tcMar>
              <w:top w:w="80" w:type="dxa"/>
              <w:left w:w="120" w:type="dxa"/>
              <w:bottom w:w="80" w:type="dxa"/>
              <w:right w:w="120" w:type="dxa"/>
            </w:tcMar>
            <w:vAlign w:val="center"/>
          </w:tcPr>
          <w:p w14:paraId="5A6816FF" w14:textId="77777777">
            <w:pPr>
              <w:spacing w:after="0" w:line="269" w:lineRule="auto"/>
            </w:pPr>
            <w:r>
              <w:rPr>
                <w:sz w:val="18"/>
              </w:rPr>
              <w:t>Strong unique value from approved password process</w:t>
            </w:r>
          </w:p>
        </w:tc>
        <w:tc>
          <w:tcPr>
            <w:tcW w:w="2710" w:type="dxa"/>
            <w:tcMar>
              <w:top w:w="80" w:type="dxa"/>
              <w:left w:w="120" w:type="dxa"/>
              <w:bottom w:w="80" w:type="dxa"/>
              <w:right w:w="120" w:type="dxa"/>
            </w:tcMar>
            <w:vAlign w:val="center"/>
          </w:tcPr>
          <w:p w14:paraId="66470A5A" w14:textId="77777777">
            <w:pPr>
              <w:spacing w:after="0" w:line="269" w:lineRule="auto"/>
            </w:pPr>
            <w:r>
              <w:rPr>
                <w:sz w:val="18"/>
              </w:rPr>
              <w:t>Secure parameter; retain in approved vault and rotate.</w:t>
            </w:r>
          </w:p>
        </w:tc>
      </w:tr>
      <w:tr w14:paraId="7EB99418" w14:textId="77777777">
        <w:trPr>
          <w:cantSplit/>
        </w:trPr>
        <w:tc>
          <w:tcPr>
            <w:tcW w:w="2800" w:type="dxa"/>
            <w:tcMar>
              <w:top w:w="80" w:type="dxa"/>
              <w:left w:w="120" w:type="dxa"/>
              <w:bottom w:w="80" w:type="dxa"/>
              <w:right w:w="120" w:type="dxa"/>
            </w:tcMar>
            <w:vAlign w:val="center"/>
          </w:tcPr>
          <w:p w14:paraId="17343CAE" w14:textId="77777777">
            <w:pPr>
              <w:spacing w:after="0" w:line="269" w:lineRule="auto"/>
            </w:pPr>
            <w:r>
              <w:rPr>
                <w:sz w:val="18"/>
              </w:rPr>
              <w:t>deploymentIpAddress</w:t>
            </w:r>
          </w:p>
        </w:tc>
        <w:tc>
          <w:tcPr>
            <w:tcW w:w="3850" w:type="dxa"/>
            <w:tcMar>
              <w:top w:w="80" w:type="dxa"/>
              <w:left w:w="120" w:type="dxa"/>
              <w:bottom w:w="80" w:type="dxa"/>
              <w:right w:w="120" w:type="dxa"/>
            </w:tcMar>
            <w:vAlign w:val="center"/>
          </w:tcPr>
          <w:p w14:paraId="4A0898D5" w14:textId="77777777">
            <w:pPr>
              <w:spacing w:after="0" w:line="269" w:lineRule="auto"/>
            </w:pPr>
            <w:r>
              <w:rPr>
                <w:sz w:val="18"/>
              </w:rPr>
              <w:t>Operator workstation's current public IPv4</w:t>
            </w:r>
          </w:p>
        </w:tc>
        <w:tc>
          <w:tcPr>
            <w:tcW w:w="2710" w:type="dxa"/>
            <w:tcMar>
              <w:top w:w="80" w:type="dxa"/>
              <w:left w:w="120" w:type="dxa"/>
              <w:bottom w:w="80" w:type="dxa"/>
              <w:right w:w="120" w:type="dxa"/>
            </w:tcMar>
            <w:vAlign w:val="center"/>
          </w:tcPr>
          <w:p w14:paraId="46DBF101" w14:textId="77777777">
            <w:pPr>
              <w:spacing w:after="0" w:line="269" w:lineRule="auto"/>
            </w:pPr>
            <w:r>
              <w:rPr>
                <w:sz w:val="18"/>
              </w:rPr>
              <w:t>Temporary SQL migration rule; remove after setup.</w:t>
            </w:r>
          </w:p>
        </w:tc>
      </w:tr>
      <w:tr w14:paraId="1C7ABBE2" w14:textId="77777777">
        <w:trPr>
          <w:cantSplit/>
        </w:trPr>
        <w:tc>
          <w:tcPr>
            <w:tcW w:w="2800" w:type="dxa"/>
            <w:tcMar>
              <w:top w:w="80" w:type="dxa"/>
              <w:left w:w="120" w:type="dxa"/>
              <w:bottom w:w="80" w:type="dxa"/>
              <w:right w:w="120" w:type="dxa"/>
            </w:tcMar>
            <w:vAlign w:val="center"/>
          </w:tcPr>
          <w:p w14:paraId="307349AA" w14:textId="77777777">
            <w:pPr>
              <w:spacing w:after="0" w:line="269" w:lineRule="auto"/>
            </w:pPr>
            <w:r>
              <w:rPr>
                <w:sz w:val="18"/>
              </w:rPr>
              <w:t>appServiceSkuName / Tier</w:t>
            </w:r>
          </w:p>
        </w:tc>
        <w:tc>
          <w:tcPr>
            <w:tcW w:w="3850" w:type="dxa"/>
            <w:tcMar>
              <w:top w:w="80" w:type="dxa"/>
              <w:left w:w="120" w:type="dxa"/>
              <w:bottom w:w="80" w:type="dxa"/>
              <w:right w:w="120" w:type="dxa"/>
            </w:tcMar>
            <w:vAlign w:val="center"/>
          </w:tcPr>
          <w:p w14:paraId="51DDDCCB" w14:textId="77777777">
            <w:pPr>
              <w:spacing w:after="0" w:line="269" w:lineRule="auto"/>
            </w:pPr>
            <w:r>
              <w:rPr>
                <w:sz w:val="18"/>
              </w:rPr>
              <w:t>B1 / Basic initially</w:t>
            </w:r>
          </w:p>
        </w:tc>
        <w:tc>
          <w:tcPr>
            <w:tcW w:w="2710" w:type="dxa"/>
            <w:tcMar>
              <w:top w:w="80" w:type="dxa"/>
              <w:left w:w="120" w:type="dxa"/>
              <w:bottom w:w="80" w:type="dxa"/>
              <w:right w:w="120" w:type="dxa"/>
            </w:tcMar>
            <w:vAlign w:val="center"/>
          </w:tcPr>
          <w:p w14:paraId="476C3003" w14:textId="77777777">
            <w:pPr>
              <w:spacing w:after="0" w:line="269" w:lineRule="auto"/>
            </w:pPr>
            <w:r>
              <w:rPr>
                <w:sz w:val="18"/>
              </w:rPr>
              <w:t>Revisit if slots/redundancy required.</w:t>
            </w:r>
          </w:p>
        </w:tc>
      </w:tr>
      <w:tr w14:paraId="4A8087D6" w14:textId="77777777">
        <w:trPr>
          <w:cantSplit/>
        </w:trPr>
        <w:tc>
          <w:tcPr>
            <w:tcW w:w="2800" w:type="dxa"/>
            <w:tcMar>
              <w:top w:w="80" w:type="dxa"/>
              <w:left w:w="120" w:type="dxa"/>
              <w:bottom w:w="80" w:type="dxa"/>
              <w:right w:w="120" w:type="dxa"/>
            </w:tcMar>
            <w:vAlign w:val="center"/>
          </w:tcPr>
          <w:p w14:paraId="2B8689F2" w14:textId="77777777">
            <w:pPr>
              <w:spacing w:after="0" w:line="269" w:lineRule="auto"/>
            </w:pPr>
            <w:r>
              <w:rPr>
                <w:sz w:val="18"/>
              </w:rPr>
              <w:t>sqlMaximumVcores</w:t>
            </w:r>
          </w:p>
        </w:tc>
        <w:tc>
          <w:tcPr>
            <w:tcW w:w="3850" w:type="dxa"/>
            <w:tcMar>
              <w:top w:w="80" w:type="dxa"/>
              <w:left w:w="120" w:type="dxa"/>
              <w:bottom w:w="80" w:type="dxa"/>
              <w:right w:w="120" w:type="dxa"/>
            </w:tcMar>
            <w:vAlign w:val="center"/>
          </w:tcPr>
          <w:p w14:paraId="6366CF45" w14:textId="77777777">
            <w:pPr>
              <w:spacing w:after="0" w:line="269" w:lineRule="auto"/>
            </w:pPr>
            <w:r>
              <w:rPr>
                <w:sz w:val="18"/>
              </w:rPr>
              <w:t>2</w:t>
            </w:r>
          </w:p>
        </w:tc>
        <w:tc>
          <w:tcPr>
            <w:tcW w:w="2710" w:type="dxa"/>
            <w:tcMar>
              <w:top w:w="80" w:type="dxa"/>
              <w:left w:w="120" w:type="dxa"/>
              <w:bottom w:w="80" w:type="dxa"/>
              <w:right w:w="120" w:type="dxa"/>
            </w:tcMar>
            <w:vAlign w:val="center"/>
          </w:tcPr>
          <w:p w14:paraId="7A2A7968" w14:textId="77777777">
            <w:pPr>
              <w:spacing w:after="0" w:line="269" w:lineRule="auto"/>
            </w:pPr>
            <w:r>
              <w:rPr>
                <w:sz w:val="18"/>
              </w:rPr>
              <w:t>Measure after pilot.</w:t>
            </w:r>
          </w:p>
        </w:tc>
      </w:tr>
      <w:tr w14:paraId="159A2524" w14:textId="77777777">
        <w:trPr>
          <w:cantSplit/>
        </w:trPr>
        <w:tc>
          <w:tcPr>
            <w:tcW w:w="2800" w:type="dxa"/>
            <w:tcMar>
              <w:top w:w="80" w:type="dxa"/>
              <w:left w:w="120" w:type="dxa"/>
              <w:bottom w:w="80" w:type="dxa"/>
              <w:right w:w="120" w:type="dxa"/>
            </w:tcMar>
            <w:vAlign w:val="center"/>
          </w:tcPr>
          <w:p w14:paraId="3FE7FCBA" w14:textId="77777777">
            <w:pPr>
              <w:spacing w:after="0" w:line="269" w:lineRule="auto"/>
            </w:pPr>
            <w:r>
              <w:rPr>
                <w:sz w:val="18"/>
              </w:rPr>
              <w:t>sqlAutoPauseDelayMinutes</w:t>
            </w:r>
          </w:p>
        </w:tc>
        <w:tc>
          <w:tcPr>
            <w:tcW w:w="3850" w:type="dxa"/>
            <w:tcMar>
              <w:top w:w="80" w:type="dxa"/>
              <w:left w:w="120" w:type="dxa"/>
              <w:bottom w:w="80" w:type="dxa"/>
              <w:right w:w="120" w:type="dxa"/>
            </w:tcMar>
            <w:vAlign w:val="center"/>
          </w:tcPr>
          <w:p w14:paraId="41D73932" w14:textId="77777777">
            <w:pPr>
              <w:spacing w:after="0" w:line="269" w:lineRule="auto"/>
            </w:pPr>
            <w:r>
              <w:rPr>
                <w:sz w:val="18"/>
              </w:rPr>
              <w:t>60</w:t>
            </w:r>
          </w:p>
        </w:tc>
        <w:tc>
          <w:tcPr>
            <w:tcW w:w="2710" w:type="dxa"/>
            <w:tcMar>
              <w:top w:w="80" w:type="dxa"/>
              <w:left w:w="120" w:type="dxa"/>
              <w:bottom w:w="80" w:type="dxa"/>
              <w:right w:w="120" w:type="dxa"/>
            </w:tcMar>
            <w:vAlign w:val="center"/>
          </w:tcPr>
          <w:p w14:paraId="78BA13E5" w14:textId="77777777">
            <w:pPr>
              <w:spacing w:after="0" w:line="269" w:lineRule="auto"/>
            </w:pPr>
            <w:r>
              <w:rPr>
                <w:sz w:val="18"/>
              </w:rPr>
              <w:t>May not pause because readiness health checks query SQL.</w:t>
            </w:r>
          </w:p>
        </w:tc>
      </w:tr>
    </w:tbl>
    <w:p w14:paraId="558F8DC0" w14:textId="77777777">
      <w:pPr>
        <w:spacing w:after="20"/>
      </w:pPr>
    </w:p>
    <w:p w14:paraId="7F3DD703" w14:textId="77777777">
      <w:pPr>
        <w:pStyle w:val="Heading2"/>
      </w:pPr>
      <w:r>
        <w:lastRenderedPageBreak/>
        <w:t>Create the controlled copy</w:t>
      </w:r>
    </w:p>
    <w:p w14:paraId="026E8D3F" w14:textId="77777777">
      <w:pPr>
        <w:pStyle w:val="CodeBlock"/>
        <w:shd w:val="clear" w:color="auto" w:fill="F2F4F7"/>
      </w:pPr>
      <w:r>
        <w:t>Copy-Item .\infrastructure\azure\subscription.parameters.example.json `</w:t>
      </w:r>
      <w:r>
        <w:br/>
        <w:t xml:space="preserve">  C:\Secure\i-elevate\subscription.parameters.prod.json</w:t>
      </w:r>
    </w:p>
    <w:p w14:paraId="662D66CD" w14:textId="77777777">
      <w:r>
        <w:t>Restrict the folder to the authorised deployment operator and platform administrators. Replace angle-bracket placeholders. Have a second person review tenant, subscription, Entra IDs, SQL administrator object ID, region and temporary IP.</w:t>
      </w:r>
    </w:p>
    <w:tbl>
      <w:tblPr>
        <w:tblStyle w:val="TableGrid"/>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14:paraId="38A9A86A" w14:textId="77777777">
        <w:trPr>
          <w:cantSplit/>
          <w:tblHeader/>
        </w:trPr>
        <w:tc>
          <w:tcPr>
            <w:tcW w:w="9360" w:type="dxa"/>
            <w:shd w:val="clear" w:color="auto" w:fill="FFF4CC"/>
            <w:tcMar>
              <w:top w:w="80" w:type="dxa"/>
              <w:left w:w="120" w:type="dxa"/>
              <w:bottom w:w="80" w:type="dxa"/>
              <w:right w:w="120" w:type="dxa"/>
            </w:tcMar>
            <w:vAlign w:val="center"/>
          </w:tcPr>
          <w:p w14:paraId="76CDBA29" w14:textId="77777777">
            <w:pPr>
              <w:spacing w:after="60"/>
            </w:pPr>
            <w:r>
              <w:rPr>
                <w:b/>
                <w:color w:val="7A5A00"/>
              </w:rPr>
              <w:t>Safer secret entry</w:t>
            </w:r>
          </w:p>
          <w:p w14:paraId="4D6BB91F" w14:textId="77777777">
            <w:pPr>
              <w:spacing w:after="0"/>
            </w:pPr>
            <w:r>
              <w:rPr>
                <w:sz w:val="20"/>
              </w:rPr>
              <w:t>Where the college's tooling allows it, inject the secure SQL parameter from the approved secret vault or a protected deployment pipeline. If a temporary JSON parameter file must contain it, restrict the file, use it only for the deployment, then remove it according to the college's secure-media procedure. The example in the repository must remain placeholder-only.</w:t>
            </w:r>
          </w:p>
        </w:tc>
      </w:tr>
    </w:tbl>
    <w:p w14:paraId="5FAEAF4A" w14:textId="77777777">
      <w:pPr>
        <w:spacing w:after="20"/>
      </w:pPr>
    </w:p>
    <w:p w14:paraId="4B87A058" w14:textId="77777777">
      <w:pPr>
        <w:pStyle w:val="SmallNote"/>
      </w:pPr>
      <w:r>
        <w:rPr>
          <w:b/>
        </w:rPr>
        <w:t xml:space="preserve">Repository reference: </w:t>
      </w:r>
      <w:r>
        <w:rPr>
          <w:rFonts w:ascii="Consolas" w:eastAsia="Consolas" w:hAnsi="Consolas"/>
          <w:color w:val="1F4D78"/>
          <w:sz w:val="17"/>
        </w:rPr>
        <w:t>infrastructure/azure/subscription.parameters.example.json</w:t>
      </w:r>
    </w:p>
    <w:p w14:paraId="2D1F307A" w14:textId="77777777">
      <w:pPr>
        <w:pStyle w:val="Heading1"/>
      </w:pPr>
      <w:bookmarkStart w:id="10" w:name="provision"/>
      <w:r>
        <w:lastRenderedPageBreak/>
        <w:t>9. Validate and provision Azure</w:t>
      </w:r>
      <w:bookmarkEnd w:id="10"/>
    </w:p>
    <w:p w14:paraId="2093905D" w14:textId="77777777">
      <w:r>
        <w:t>This phase creates the billable platform. Use a named subscription-level deployment so its inputs, outputs and activity log can be audited.</w:t>
      </w:r>
    </w:p>
    <w:p w14:paraId="581603AB" w14:textId="77777777">
      <w:pPr>
        <w:pStyle w:val="Heading2"/>
      </w:pPr>
      <w:r>
        <w:t>Compile and validate before creation</w:t>
      </w:r>
    </w:p>
    <w:p w14:paraId="5F97A6B0" w14:textId="77777777">
      <w:pPr>
        <w:pStyle w:val="CodeBlock"/>
        <w:shd w:val="clear" w:color="auto" w:fill="F2F4F7"/>
      </w:pPr>
      <w:r>
        <w:t>az bicep build --file .\infrastructure\azure\subscription.bicep `</w:t>
      </w:r>
      <w:r>
        <w:br/>
        <w:t xml:space="preserve">  --outfile "$env:TEMP\ielevate-subscription.json"</w:t>
      </w:r>
      <w:r>
        <w:br/>
      </w:r>
      <w:r>
        <w:br/>
        <w:t>az deployment sub validate `</w:t>
      </w:r>
      <w:r>
        <w:br/>
        <w:t xml:space="preserve">  --name ielevate-prod-validate-20260825 `</w:t>
      </w:r>
      <w:r>
        <w:br/>
        <w:t xml:space="preserve">  --location uksouth `</w:t>
      </w:r>
      <w:r>
        <w:br/>
        <w:t xml:space="preserve">  --template-file .\infrastructure\azure\subscription.bicep `</w:t>
      </w:r>
      <w:r>
        <w:br/>
      </w:r>
      <w:r>
        <w:t xml:space="preserve">  --parameters "@C:\Secure\i-elevate\subscription.parameters.prod.json"</w:t>
      </w:r>
    </w:p>
    <w:p w14:paraId="57E29989" w14:textId="77777777">
      <w:pPr>
        <w:pStyle w:val="Heading2"/>
      </w:pPr>
      <w:r>
        <w:t>Preview the change</w:t>
      </w:r>
    </w:p>
    <w:p w14:paraId="2B28F051" w14:textId="77777777">
      <w:pPr>
        <w:pStyle w:val="CodeBlock"/>
        <w:shd w:val="clear" w:color="auto" w:fill="F2F4F7"/>
      </w:pPr>
      <w:r>
        <w:t>az deployment sub what-if `</w:t>
      </w:r>
      <w:r>
        <w:br/>
        <w:t xml:space="preserve">  --name ielevate-prod-whatif-20260825 `</w:t>
      </w:r>
      <w:r>
        <w:br/>
        <w:t xml:space="preserve">  --location uksouth `</w:t>
      </w:r>
      <w:r>
        <w:br/>
        <w:t xml:space="preserve">  --template-file .\infrastructure\azure\subscription.bicep `</w:t>
      </w:r>
      <w:r>
        <w:br/>
        <w:t xml:space="preserve">  --parameters "@C:\Secure\i-elevate\subscription.parameters.prod.json"</w:t>
      </w:r>
    </w:p>
    <w:p w14:paraId="5C981B35" w14:textId="77777777">
      <w:r>
        <w:t>Save the what-if output in the change record. A reviewer should expect the App Service plan/app, Azure SQL server/database/firewall rules, Storage/container, Key Vault/key, managed-identity RBAC, Application Insights and Log Analytics resources. Stop on unexplained deletes, region changes, tier changes or broad roles.</w:t>
      </w:r>
    </w:p>
    <w:p w14:paraId="52589A8B" w14:textId="77777777">
      <w:pPr>
        <w:pStyle w:val="Heading2"/>
      </w:pPr>
      <w:r>
        <w:t>Create the platform</w:t>
      </w:r>
    </w:p>
    <w:p w14:paraId="2C2D9B9E" w14:textId="77777777">
      <w:pPr>
        <w:pStyle w:val="CodeBlock"/>
        <w:shd w:val="clear" w:color="auto" w:fill="F2F4F7"/>
      </w:pPr>
      <w:r>
        <w:t>$DeploymentName = "ielevate-prod-20260825"</w:t>
      </w:r>
      <w:r>
        <w:br/>
        <w:t>az deployment sub create `</w:t>
      </w:r>
      <w:r>
        <w:br/>
        <w:t xml:space="preserve">  --name $DeploymentName `</w:t>
      </w:r>
      <w:r>
        <w:br/>
        <w:t xml:space="preserve">  --location uksouth `</w:t>
      </w:r>
      <w:r>
        <w:br/>
      </w:r>
      <w:r>
        <w:t xml:space="preserve">  --template-file .\infrastructure\azure\subscription.bicep `</w:t>
      </w:r>
      <w:r>
        <w:br/>
        <w:t xml:space="preserve">  --parameters "@C:\Secure\i-elevate\subscription.parameters.prod.json"</w:t>
      </w:r>
    </w:p>
    <w:p w14:paraId="6CB7BD0F" w14:textId="77777777">
      <w:pPr>
        <w:pStyle w:val="Heading2"/>
      </w:pPr>
      <w:r>
        <w:t>Capture the outputs</w:t>
      </w:r>
    </w:p>
    <w:p w14:paraId="5FDCDF49" w14:textId="77777777">
      <w:pPr>
        <w:pStyle w:val="CodeBlock"/>
        <w:shd w:val="clear" w:color="auto" w:fill="F2F4F7"/>
      </w:pPr>
      <w:r>
        <w:t>az deployment sub show `</w:t>
      </w:r>
      <w:r>
        <w:br/>
        <w:t xml:space="preserve">  --name $DeploymentName `</w:t>
      </w:r>
      <w:r>
        <w:br/>
        <w:t xml:space="preserve">  --query properties.outputs `</w:t>
      </w:r>
      <w:r>
        <w:br/>
        <w:t xml:space="preserve">  --output json</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3400"/>
        <w:gridCol w:w="5960"/>
      </w:tblGrid>
      <w:tr w14:paraId="212EE94D" w14:textId="77777777">
        <w:trPr>
          <w:cantSplit/>
          <w:tblHeader/>
        </w:trPr>
        <w:tc>
          <w:tcPr>
            <w:tcW w:w="3400" w:type="dxa"/>
            <w:shd w:val="clear" w:color="auto" w:fill="E8EEF5"/>
            <w:tcMar>
              <w:top w:w="80" w:type="dxa"/>
              <w:left w:w="120" w:type="dxa"/>
              <w:bottom w:w="80" w:type="dxa"/>
              <w:right w:w="120" w:type="dxa"/>
            </w:tcMar>
            <w:vAlign w:val="center"/>
          </w:tcPr>
          <w:p w14:paraId="376ED0A8" w14:textId="77777777">
            <w:pPr>
              <w:spacing w:after="0"/>
            </w:pPr>
            <w:r>
              <w:rPr>
                <w:b/>
                <w:color w:val="0B2545"/>
                <w:sz w:val="19"/>
              </w:rPr>
              <w:t>Output</w:t>
            </w:r>
          </w:p>
        </w:tc>
        <w:tc>
          <w:tcPr>
            <w:tcW w:w="5960" w:type="dxa"/>
            <w:shd w:val="clear" w:color="auto" w:fill="E8EEF5"/>
            <w:tcMar>
              <w:top w:w="80" w:type="dxa"/>
              <w:left w:w="120" w:type="dxa"/>
              <w:bottom w:w="80" w:type="dxa"/>
              <w:right w:w="120" w:type="dxa"/>
            </w:tcMar>
            <w:vAlign w:val="center"/>
          </w:tcPr>
          <w:p w14:paraId="31478E68" w14:textId="77777777">
            <w:pPr>
              <w:spacing w:after="0"/>
            </w:pPr>
            <w:r>
              <w:rPr>
                <w:b/>
                <w:color w:val="0B2545"/>
                <w:sz w:val="19"/>
              </w:rPr>
              <w:t>Use it for</w:t>
            </w:r>
          </w:p>
        </w:tc>
      </w:tr>
      <w:tr w14:paraId="6FDB230F" w14:textId="77777777">
        <w:trPr>
          <w:cantSplit/>
        </w:trPr>
        <w:tc>
          <w:tcPr>
            <w:tcW w:w="3400" w:type="dxa"/>
            <w:tcMar>
              <w:top w:w="80" w:type="dxa"/>
              <w:left w:w="120" w:type="dxa"/>
              <w:bottom w:w="80" w:type="dxa"/>
              <w:right w:w="120" w:type="dxa"/>
            </w:tcMar>
            <w:vAlign w:val="center"/>
          </w:tcPr>
          <w:p w14:paraId="1FB8E752" w14:textId="77777777">
            <w:pPr>
              <w:spacing w:after="0" w:line="269" w:lineRule="auto"/>
            </w:pPr>
            <w:r>
              <w:rPr>
                <w:b/>
                <w:sz w:val="18"/>
              </w:rPr>
              <w:t>applicationUrl</w:t>
            </w:r>
          </w:p>
        </w:tc>
        <w:tc>
          <w:tcPr>
            <w:tcW w:w="5960" w:type="dxa"/>
            <w:tcMar>
              <w:top w:w="80" w:type="dxa"/>
              <w:left w:w="120" w:type="dxa"/>
              <w:bottom w:w="80" w:type="dxa"/>
              <w:right w:w="120" w:type="dxa"/>
            </w:tcMar>
            <w:vAlign w:val="center"/>
          </w:tcPr>
          <w:p w14:paraId="138EFF0C" w14:textId="77777777">
            <w:pPr>
              <w:spacing w:after="0" w:line="269" w:lineRule="auto"/>
            </w:pPr>
            <w:r>
              <w:rPr>
                <w:sz w:val="18"/>
              </w:rPr>
              <w:t>Initial Azure HTTPS address and temporary SPA redirect.</w:t>
            </w:r>
          </w:p>
        </w:tc>
      </w:tr>
      <w:tr w14:paraId="00F5EA43" w14:textId="77777777">
        <w:trPr>
          <w:cantSplit/>
        </w:trPr>
        <w:tc>
          <w:tcPr>
            <w:tcW w:w="3400" w:type="dxa"/>
            <w:tcMar>
              <w:top w:w="80" w:type="dxa"/>
              <w:left w:w="120" w:type="dxa"/>
              <w:bottom w:w="80" w:type="dxa"/>
              <w:right w:w="120" w:type="dxa"/>
            </w:tcMar>
            <w:vAlign w:val="center"/>
          </w:tcPr>
          <w:p w14:paraId="44DCDD07" w14:textId="77777777">
            <w:pPr>
              <w:spacing w:after="0" w:line="269" w:lineRule="auto"/>
            </w:pPr>
            <w:r>
              <w:rPr>
                <w:b/>
                <w:sz w:val="18"/>
              </w:rPr>
              <w:t>resourceGroupName</w:t>
            </w:r>
          </w:p>
        </w:tc>
        <w:tc>
          <w:tcPr>
            <w:tcW w:w="5960" w:type="dxa"/>
            <w:tcMar>
              <w:top w:w="80" w:type="dxa"/>
              <w:left w:w="120" w:type="dxa"/>
              <w:bottom w:w="80" w:type="dxa"/>
              <w:right w:w="120" w:type="dxa"/>
            </w:tcMar>
            <w:vAlign w:val="center"/>
          </w:tcPr>
          <w:p w14:paraId="681822A4" w14:textId="77777777">
            <w:pPr>
              <w:spacing w:after="0" w:line="269" w:lineRule="auto"/>
            </w:pPr>
            <w:r>
              <w:rPr>
                <w:sz w:val="18"/>
              </w:rPr>
              <w:t>All later Azure CLI commands.</w:t>
            </w:r>
          </w:p>
        </w:tc>
      </w:tr>
      <w:tr w14:paraId="3D947284" w14:textId="77777777">
        <w:trPr>
          <w:cantSplit/>
        </w:trPr>
        <w:tc>
          <w:tcPr>
            <w:tcW w:w="3400" w:type="dxa"/>
            <w:tcMar>
              <w:top w:w="80" w:type="dxa"/>
              <w:left w:w="120" w:type="dxa"/>
              <w:bottom w:w="80" w:type="dxa"/>
              <w:right w:w="120" w:type="dxa"/>
            </w:tcMar>
            <w:vAlign w:val="center"/>
          </w:tcPr>
          <w:p w14:paraId="7528C967" w14:textId="77777777">
            <w:pPr>
              <w:spacing w:after="0" w:line="269" w:lineRule="auto"/>
            </w:pPr>
            <w:r>
              <w:rPr>
                <w:b/>
                <w:sz w:val="18"/>
              </w:rPr>
              <w:lastRenderedPageBreak/>
              <w:t>webAppName</w:t>
            </w:r>
          </w:p>
        </w:tc>
        <w:tc>
          <w:tcPr>
            <w:tcW w:w="5960" w:type="dxa"/>
            <w:tcMar>
              <w:top w:w="80" w:type="dxa"/>
              <w:left w:w="120" w:type="dxa"/>
              <w:bottom w:w="80" w:type="dxa"/>
              <w:right w:w="120" w:type="dxa"/>
            </w:tcMar>
            <w:vAlign w:val="center"/>
          </w:tcPr>
          <w:p w14:paraId="38C3760C" w14:textId="77777777">
            <w:pPr>
              <w:spacing w:after="0" w:line="269" w:lineRule="auto"/>
            </w:pPr>
            <w:r>
              <w:rPr>
                <w:sz w:val="18"/>
              </w:rPr>
              <w:t>ZIP deployment, settings, logs and managed-identity display name.</w:t>
            </w:r>
          </w:p>
        </w:tc>
      </w:tr>
      <w:tr w14:paraId="610AB8BE" w14:textId="77777777">
        <w:trPr>
          <w:cantSplit/>
        </w:trPr>
        <w:tc>
          <w:tcPr>
            <w:tcW w:w="3400" w:type="dxa"/>
            <w:tcMar>
              <w:top w:w="80" w:type="dxa"/>
              <w:left w:w="120" w:type="dxa"/>
              <w:bottom w:w="80" w:type="dxa"/>
              <w:right w:w="120" w:type="dxa"/>
            </w:tcMar>
            <w:vAlign w:val="center"/>
          </w:tcPr>
          <w:p w14:paraId="02FA08B9" w14:textId="77777777">
            <w:pPr>
              <w:spacing w:after="0" w:line="269" w:lineRule="auto"/>
            </w:pPr>
            <w:r>
              <w:rPr>
                <w:b/>
                <w:sz w:val="18"/>
              </w:rPr>
              <w:t>webAppManagedIdentityObjectId</w:t>
            </w:r>
          </w:p>
        </w:tc>
        <w:tc>
          <w:tcPr>
            <w:tcW w:w="5960" w:type="dxa"/>
            <w:tcMar>
              <w:top w:w="80" w:type="dxa"/>
              <w:left w:w="120" w:type="dxa"/>
              <w:bottom w:w="80" w:type="dxa"/>
              <w:right w:w="120" w:type="dxa"/>
            </w:tcMar>
            <w:vAlign w:val="center"/>
          </w:tcPr>
          <w:p w14:paraId="4D2D61B8" w14:textId="77777777">
            <w:pPr>
              <w:spacing w:after="0" w:line="269" w:lineRule="auto"/>
            </w:pPr>
            <w:r>
              <w:rPr>
                <w:sz w:val="18"/>
              </w:rPr>
              <w:t>Audit/RBAC confirmation; keep in the environment record.</w:t>
            </w:r>
          </w:p>
        </w:tc>
      </w:tr>
      <w:tr w14:paraId="748C3948" w14:textId="77777777">
        <w:trPr>
          <w:cantSplit/>
        </w:trPr>
        <w:tc>
          <w:tcPr>
            <w:tcW w:w="3400" w:type="dxa"/>
            <w:tcMar>
              <w:top w:w="80" w:type="dxa"/>
              <w:left w:w="120" w:type="dxa"/>
              <w:bottom w:w="80" w:type="dxa"/>
              <w:right w:w="120" w:type="dxa"/>
            </w:tcMar>
            <w:vAlign w:val="center"/>
          </w:tcPr>
          <w:p w14:paraId="735E4D40" w14:textId="77777777">
            <w:pPr>
              <w:spacing w:after="0" w:line="269" w:lineRule="auto"/>
            </w:pPr>
            <w:r>
              <w:rPr>
                <w:b/>
                <w:sz w:val="18"/>
              </w:rPr>
              <w:t>sqlServerFullyQualifiedDomainName</w:t>
            </w:r>
          </w:p>
        </w:tc>
        <w:tc>
          <w:tcPr>
            <w:tcW w:w="5960" w:type="dxa"/>
            <w:tcMar>
              <w:top w:w="80" w:type="dxa"/>
              <w:left w:w="120" w:type="dxa"/>
              <w:bottom w:w="80" w:type="dxa"/>
              <w:right w:w="120" w:type="dxa"/>
            </w:tcMar>
            <w:vAlign w:val="center"/>
          </w:tcPr>
          <w:p w14:paraId="03C6969A" w14:textId="77777777">
            <w:pPr>
              <w:spacing w:after="0" w:line="269" w:lineRule="auto"/>
            </w:pPr>
            <w:r>
              <w:rPr>
                <w:sz w:val="18"/>
              </w:rPr>
              <w:t>Migration and runtime verification.</w:t>
            </w:r>
          </w:p>
        </w:tc>
      </w:tr>
      <w:tr w14:paraId="64E035DC" w14:textId="77777777">
        <w:trPr>
          <w:cantSplit/>
        </w:trPr>
        <w:tc>
          <w:tcPr>
            <w:tcW w:w="3400" w:type="dxa"/>
            <w:tcMar>
              <w:top w:w="80" w:type="dxa"/>
              <w:left w:w="120" w:type="dxa"/>
              <w:bottom w:w="80" w:type="dxa"/>
              <w:right w:w="120" w:type="dxa"/>
            </w:tcMar>
            <w:vAlign w:val="center"/>
          </w:tcPr>
          <w:p w14:paraId="427E66DB" w14:textId="77777777">
            <w:pPr>
              <w:spacing w:after="0" w:line="269" w:lineRule="auto"/>
            </w:pPr>
            <w:r>
              <w:rPr>
                <w:b/>
                <w:sz w:val="18"/>
              </w:rPr>
              <w:t>sqlDatabaseName</w:t>
            </w:r>
          </w:p>
        </w:tc>
        <w:tc>
          <w:tcPr>
            <w:tcW w:w="5960" w:type="dxa"/>
            <w:tcMar>
              <w:top w:w="80" w:type="dxa"/>
              <w:left w:w="120" w:type="dxa"/>
              <w:bottom w:w="80" w:type="dxa"/>
              <w:right w:w="120" w:type="dxa"/>
            </w:tcMar>
            <w:vAlign w:val="center"/>
          </w:tcPr>
          <w:p w14:paraId="063CC863" w14:textId="77777777">
            <w:pPr>
              <w:spacing w:after="0" w:line="269" w:lineRule="auto"/>
            </w:pPr>
            <w:r>
              <w:rPr>
                <w:sz w:val="18"/>
              </w:rPr>
              <w:t>Expected value ielevate.</w:t>
            </w:r>
          </w:p>
        </w:tc>
      </w:tr>
    </w:tbl>
    <w:p w14:paraId="087F2619" w14:textId="77777777">
      <w:pPr>
        <w:spacing w:after="20"/>
      </w:pPr>
    </w:p>
    <w:p w14:paraId="10E53326" w14:textId="77777777">
      <w:pPr>
        <w:pStyle w:val="Heading2"/>
      </w:pPr>
      <w:r>
        <w:t>Post-provision platform checks</w:t>
      </w:r>
    </w:p>
    <w:p w14:paraId="43E7F6C5" w14:textId="77777777">
      <w:pPr>
        <w:spacing w:after="80"/>
        <w:ind w:left="29"/>
      </w:pPr>
      <w:r>
        <w:rPr>
          <w:b/>
          <w:color w:val="2CB5A9"/>
        </w:rPr>
        <w:t>☐</w:t>
      </w:r>
      <w:r>
        <w:rPr>
          <w:b/>
          <w:color w:val="2CB5A9"/>
        </w:rPr>
        <w:t xml:space="preserve">  </w:t>
      </w:r>
      <w:r>
        <w:t>Every resource is in rg-ielevate-prod-uks and UK South unless an approved exception exists.</w:t>
      </w:r>
    </w:p>
    <w:p w14:paraId="34F2C5B9" w14:textId="77777777">
      <w:pPr>
        <w:spacing w:after="80"/>
        <w:ind w:left="29"/>
      </w:pPr>
      <w:r>
        <w:rPr>
          <w:b/>
          <w:color w:val="2CB5A9"/>
        </w:rPr>
        <w:t>☐</w:t>
      </w:r>
      <w:r>
        <w:rPr>
          <w:b/>
          <w:color w:val="2CB5A9"/>
        </w:rPr>
        <w:t xml:space="preserve">  </w:t>
      </w:r>
      <w:r>
        <w:t>Web App Identity shows System assigned = On.</w:t>
      </w:r>
    </w:p>
    <w:p w14:paraId="60982219" w14:textId="77777777">
      <w:pPr>
        <w:spacing w:after="80"/>
        <w:ind w:left="29"/>
      </w:pPr>
      <w:r>
        <w:rPr>
          <w:b/>
          <w:color w:val="2CB5A9"/>
        </w:rPr>
        <w:t>☐</w:t>
      </w:r>
      <w:r>
        <w:rPr>
          <w:b/>
          <w:color w:val="2CB5A9"/>
        </w:rPr>
        <w:t xml:space="preserve">  </w:t>
      </w:r>
      <w:r>
        <w:t>Storage role assignment is Storage Blob Data Contributor for the web app identity only.</w:t>
      </w:r>
    </w:p>
    <w:p w14:paraId="4760F565" w14:textId="77777777">
      <w:pPr>
        <w:spacing w:after="80"/>
        <w:ind w:left="29"/>
      </w:pPr>
      <w:r>
        <w:rPr>
          <w:b/>
          <w:color w:val="2CB5A9"/>
        </w:rPr>
        <w:t>☐</w:t>
      </w:r>
      <w:r>
        <w:rPr>
          <w:b/>
          <w:color w:val="2CB5A9"/>
        </w:rPr>
        <w:t xml:space="preserve">  </w:t>
      </w:r>
      <w:r>
        <w:t>Key Vault role assignment is Key Vault Crypto User for the web app identity only.</w:t>
      </w:r>
    </w:p>
    <w:p w14:paraId="6DB2F523" w14:textId="77777777">
      <w:pPr>
        <w:spacing w:after="80"/>
        <w:ind w:left="29"/>
      </w:pPr>
      <w:r>
        <w:rPr>
          <w:b/>
          <w:color w:val="2CB5A9"/>
        </w:rPr>
        <w:t>☐</w:t>
      </w:r>
      <w:r>
        <w:rPr>
          <w:b/>
          <w:color w:val="2CB5A9"/>
        </w:rPr>
        <w:t xml:space="preserve">  </w:t>
      </w:r>
      <w:r>
        <w:t>Web App configuration contains Production environment, expected Entra IDs, managed-identity SQL string and both data-protection URIs; values are not shown in tickets/screenshots unnecessarily.</w:t>
      </w:r>
    </w:p>
    <w:p w14:paraId="05732A91" w14:textId="77777777">
      <w:pPr>
        <w:spacing w:after="80"/>
        <w:ind w:left="29"/>
      </w:pPr>
      <w:r>
        <w:rPr>
          <w:b/>
          <w:color w:val="2CB5A9"/>
        </w:rPr>
        <w:t>☐</w:t>
      </w:r>
      <w:r>
        <w:rPr>
          <w:b/>
          <w:color w:val="2CB5A9"/>
        </w:rPr>
        <w:t xml:space="preserve">  </w:t>
      </w:r>
      <w:r>
        <w:t>HTTPS Only, TLS minimum 1.2, FTPS disabled, remote debugging off, Always On and /health/ready are configured.</w:t>
      </w:r>
    </w:p>
    <w:p w14:paraId="2E34B10D" w14:textId="77777777">
      <w:pPr>
        <w:spacing w:after="80"/>
        <w:ind w:left="29"/>
      </w:pPr>
      <w:r>
        <w:rPr>
          <w:b/>
          <w:color w:val="2CB5A9"/>
        </w:rPr>
        <w:t>☐</w:t>
      </w:r>
      <w:r>
        <w:rPr>
          <w:b/>
          <w:color w:val="2CB5A9"/>
        </w:rPr>
        <w:t xml:space="preserve">  </w:t>
      </w:r>
      <w:r>
        <w:t>Budget and alert recipients are configured immediately; do not wait for the first invoice.</w:t>
      </w:r>
    </w:p>
    <w:p w14:paraId="3679184A" w14:textId="77777777">
      <w:pPr>
        <w:pStyle w:val="SmallNote"/>
      </w:pPr>
      <w:r>
        <w:rPr>
          <w:b/>
        </w:rPr>
        <w:t xml:space="preserve">Repository reference: </w:t>
      </w:r>
      <w:r>
        <w:rPr>
          <w:rFonts w:ascii="Consolas" w:eastAsia="Consolas" w:hAnsi="Consolas"/>
          <w:color w:val="1F4D78"/>
          <w:sz w:val="17"/>
        </w:rPr>
        <w:t>infrastructure/azure/subscription.bicep</w:t>
      </w:r>
      <w:r>
        <w:t xml:space="preserve">  •  </w:t>
      </w:r>
      <w:r>
        <w:rPr>
          <w:rFonts w:ascii="Consolas" w:eastAsia="Consolas" w:hAnsi="Consolas"/>
          <w:color w:val="1F4D78"/>
          <w:sz w:val="17"/>
        </w:rPr>
        <w:t>infrastructure/azure/main.bicep</w:t>
      </w:r>
    </w:p>
    <w:p w14:paraId="5EA59D2E" w14:textId="1FD0E4BC">
      <w:pPr>
        <w:pStyle w:val="SmallNote"/>
      </w:pPr>
      <w:r>
        <w:rPr>
          <w:b/>
        </w:rPr>
        <w:t xml:space="preserve">Microsoft/GitHub reference: </w:t>
      </w:r>
      <w:hyperlink r:id="rId24">
        <w:r>
          <w:rPr>
            <w:color w:val="1F4D78"/>
            <w:u w:val="single"/>
          </w:rPr>
          <w:t>Subscription-scope Bicep deployment</w:t>
        </w:r>
      </w:hyperlink>
      <w:r>
        <w:t xml:space="preserve">  •  </w:t>
      </w:r>
      <w:hyperlink r:id="rId25">
        <w:r>
          <w:rPr>
            <w:color w:val="1F4D78"/>
            <w:u w:val="single"/>
          </w:rPr>
          <w:t>Azure resource locks</w:t>
        </w:r>
      </w:hyperlink>
    </w:p>
    <w:p w14:paraId="128BE6CC" w14:textId="77777777">
      <w:pPr>
        <w:pStyle w:val="Heading1"/>
      </w:pPr>
      <w:bookmarkStart w:id="11" w:name="database"/>
      <w:r>
        <w:lastRenderedPageBreak/>
        <w:t>10. Prepare Azure SQL and the first administrator</w:t>
      </w:r>
      <w:bookmarkEnd w:id="11"/>
    </w:p>
    <w:p w14:paraId="1C21E7F8" w14:textId="77777777">
      <w:r>
        <w:t>Provisioning creates an empty Azure SQL database. The application will not become ready until the ordered schema, foundation reference data, runtime identity and bootstrap administrator are prepared.</w:t>
      </w:r>
    </w:p>
    <w:p w14:paraId="5BCCCFFC" w14:textId="77777777">
      <w:pPr>
        <w:pStyle w:val="Heading2"/>
      </w:pPr>
      <w:r>
        <w:t>Choose the starting staff-data path</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600"/>
        <w:gridCol w:w="2200"/>
        <w:gridCol w:w="4560"/>
      </w:tblGrid>
      <w:tr w14:paraId="12AA156D" w14:textId="77777777">
        <w:trPr>
          <w:cantSplit/>
          <w:tblHeader/>
        </w:trPr>
        <w:tc>
          <w:tcPr>
            <w:tcW w:w="2600" w:type="dxa"/>
            <w:shd w:val="clear" w:color="auto" w:fill="E8EEF5"/>
            <w:tcMar>
              <w:top w:w="80" w:type="dxa"/>
              <w:left w:w="120" w:type="dxa"/>
              <w:bottom w:w="80" w:type="dxa"/>
              <w:right w:w="120" w:type="dxa"/>
            </w:tcMar>
            <w:vAlign w:val="center"/>
          </w:tcPr>
          <w:p w14:paraId="5B53EDE8" w14:textId="77777777">
            <w:pPr>
              <w:spacing w:after="0"/>
            </w:pPr>
            <w:r>
              <w:rPr>
                <w:b/>
                <w:color w:val="0B2545"/>
                <w:sz w:val="19"/>
              </w:rPr>
              <w:t>Choice</w:t>
            </w:r>
          </w:p>
        </w:tc>
        <w:tc>
          <w:tcPr>
            <w:tcW w:w="2200" w:type="dxa"/>
            <w:shd w:val="clear" w:color="auto" w:fill="E8EEF5"/>
            <w:tcMar>
              <w:top w:w="80" w:type="dxa"/>
              <w:left w:w="120" w:type="dxa"/>
              <w:bottom w:w="80" w:type="dxa"/>
              <w:right w:w="120" w:type="dxa"/>
            </w:tcMar>
            <w:vAlign w:val="center"/>
          </w:tcPr>
          <w:p w14:paraId="3DDAC4AF" w14:textId="77777777">
            <w:pPr>
              <w:spacing w:after="0"/>
            </w:pPr>
            <w:r>
              <w:rPr>
                <w:b/>
                <w:color w:val="0B2545"/>
                <w:sz w:val="19"/>
              </w:rPr>
              <w:t>Command switch</w:t>
            </w:r>
          </w:p>
        </w:tc>
        <w:tc>
          <w:tcPr>
            <w:tcW w:w="4560" w:type="dxa"/>
            <w:shd w:val="clear" w:color="auto" w:fill="E8EEF5"/>
            <w:tcMar>
              <w:top w:w="80" w:type="dxa"/>
              <w:left w:w="120" w:type="dxa"/>
              <w:bottom w:w="80" w:type="dxa"/>
              <w:right w:w="120" w:type="dxa"/>
            </w:tcMar>
            <w:vAlign w:val="center"/>
          </w:tcPr>
          <w:p w14:paraId="0CB83A87" w14:textId="77777777">
            <w:pPr>
              <w:spacing w:after="0"/>
            </w:pPr>
            <w:r>
              <w:rPr>
                <w:b/>
                <w:color w:val="0B2545"/>
                <w:sz w:val="19"/>
              </w:rPr>
              <w:t>When to use</w:t>
            </w:r>
          </w:p>
        </w:tc>
      </w:tr>
      <w:tr w14:paraId="47BEF63B" w14:textId="77777777">
        <w:trPr>
          <w:cantSplit/>
        </w:trPr>
        <w:tc>
          <w:tcPr>
            <w:tcW w:w="2600" w:type="dxa"/>
            <w:tcMar>
              <w:top w:w="80" w:type="dxa"/>
              <w:left w:w="120" w:type="dxa"/>
              <w:bottom w:w="80" w:type="dxa"/>
              <w:right w:w="120" w:type="dxa"/>
            </w:tcMar>
            <w:vAlign w:val="center"/>
          </w:tcPr>
          <w:p w14:paraId="2204BBE9" w14:textId="77777777">
            <w:pPr>
              <w:spacing w:after="0" w:line="269" w:lineRule="auto"/>
            </w:pPr>
            <w:r>
              <w:rPr>
                <w:sz w:val="18"/>
              </w:rPr>
              <w:t>Include supplied official curriculum staff seed</w:t>
            </w:r>
          </w:p>
        </w:tc>
        <w:tc>
          <w:tcPr>
            <w:tcW w:w="2200" w:type="dxa"/>
            <w:tcMar>
              <w:top w:w="80" w:type="dxa"/>
              <w:left w:w="120" w:type="dxa"/>
              <w:bottom w:w="80" w:type="dxa"/>
              <w:right w:w="120" w:type="dxa"/>
            </w:tcMar>
            <w:vAlign w:val="center"/>
          </w:tcPr>
          <w:p w14:paraId="2AA98DCC" w14:textId="77777777">
            <w:pPr>
              <w:spacing w:after="0" w:line="269" w:lineRule="auto"/>
            </w:pPr>
            <w:r>
              <w:rPr>
                <w:sz w:val="18"/>
              </w:rPr>
              <w:t>No exclusion switch</w:t>
            </w:r>
          </w:p>
        </w:tc>
        <w:tc>
          <w:tcPr>
            <w:tcW w:w="4560" w:type="dxa"/>
            <w:tcMar>
              <w:top w:w="80" w:type="dxa"/>
              <w:left w:w="120" w:type="dxa"/>
              <w:bottom w:w="80" w:type="dxa"/>
              <w:right w:w="120" w:type="dxa"/>
            </w:tcMar>
            <w:vAlign w:val="center"/>
          </w:tcPr>
          <w:p w14:paraId="45B18EC5" w14:textId="77777777">
            <w:pPr>
              <w:spacing w:after="0" w:line="269" w:lineRule="auto"/>
            </w:pPr>
            <w:r>
              <w:rPr>
                <w:sz w:val="18"/>
              </w:rPr>
              <w:t>Only if database/HR owners confirm database/seed/005_seed_official_curriculum_staff.sql is approved, current and appropriate for production.</w:t>
            </w:r>
          </w:p>
        </w:tc>
      </w:tr>
      <w:tr w14:paraId="71E0C1A9" w14:textId="77777777">
        <w:trPr>
          <w:cantSplit/>
        </w:trPr>
        <w:tc>
          <w:tcPr>
            <w:tcW w:w="2600" w:type="dxa"/>
            <w:tcMar>
              <w:top w:w="80" w:type="dxa"/>
              <w:left w:w="120" w:type="dxa"/>
              <w:bottom w:w="80" w:type="dxa"/>
              <w:right w:w="120" w:type="dxa"/>
            </w:tcMar>
            <w:vAlign w:val="center"/>
          </w:tcPr>
          <w:p w14:paraId="03F90709" w14:textId="77777777">
            <w:pPr>
              <w:spacing w:after="0" w:line="269" w:lineRule="auto"/>
            </w:pPr>
            <w:r>
              <w:rPr>
                <w:sz w:val="18"/>
              </w:rPr>
              <w:t>Do not include supplied staff seed</w:t>
            </w:r>
          </w:p>
        </w:tc>
        <w:tc>
          <w:tcPr>
            <w:tcW w:w="2200" w:type="dxa"/>
            <w:tcMar>
              <w:top w:w="80" w:type="dxa"/>
              <w:left w:w="120" w:type="dxa"/>
              <w:bottom w:w="80" w:type="dxa"/>
              <w:right w:w="120" w:type="dxa"/>
            </w:tcMar>
            <w:vAlign w:val="center"/>
          </w:tcPr>
          <w:p w14:paraId="038F9055" w14:textId="77777777">
            <w:pPr>
              <w:spacing w:after="0" w:line="269" w:lineRule="auto"/>
            </w:pPr>
            <w:r>
              <w:rPr>
                <w:sz w:val="18"/>
              </w:rPr>
              <w:t>-ExcludeOfficialStaffData</w:t>
            </w:r>
          </w:p>
        </w:tc>
        <w:tc>
          <w:tcPr>
            <w:tcW w:w="4560" w:type="dxa"/>
            <w:tcMar>
              <w:top w:w="80" w:type="dxa"/>
              <w:left w:w="120" w:type="dxa"/>
              <w:bottom w:w="80" w:type="dxa"/>
              <w:right w:w="120" w:type="dxa"/>
            </w:tcMar>
            <w:vAlign w:val="center"/>
          </w:tcPr>
          <w:p w14:paraId="35A0B8DD" w14:textId="77777777">
            <w:pPr>
              <w:spacing w:after="0" w:line="269" w:lineRule="auto"/>
            </w:pPr>
            <w:r>
              <w:rPr>
                <w:sz w:val="18"/>
              </w:rPr>
              <w:t>Recommended if staff/organisation data will be imported from an approved current source or created through controlled onboarding.</w:t>
            </w:r>
          </w:p>
        </w:tc>
      </w:tr>
    </w:tbl>
    <w:p w14:paraId="56726641" w14:textId="77777777">
      <w:pPr>
        <w:spacing w:after="20"/>
      </w:pPr>
    </w:p>
    <w:tbl>
      <w:tblPr>
        <w:tblStyle w:val="TableGrid"/>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14:paraId="0F9F2480" w14:textId="77777777">
        <w:trPr>
          <w:cantSplit/>
          <w:tblHeader/>
        </w:trPr>
        <w:tc>
          <w:tcPr>
            <w:tcW w:w="9360" w:type="dxa"/>
            <w:shd w:val="clear" w:color="auto" w:fill="FDECEC"/>
            <w:tcMar>
              <w:top w:w="80" w:type="dxa"/>
              <w:left w:w="120" w:type="dxa"/>
              <w:bottom w:w="80" w:type="dxa"/>
              <w:right w:w="120" w:type="dxa"/>
            </w:tcMar>
            <w:vAlign w:val="center"/>
          </w:tcPr>
          <w:p w14:paraId="7DC9C12C" w14:textId="77777777">
            <w:pPr>
              <w:spacing w:after="60"/>
            </w:pPr>
            <w:r>
              <w:rPr>
                <w:b/>
                <w:color w:val="9B1C1C"/>
              </w:rPr>
              <w:t>Do not confuse seeds</w:t>
            </w:r>
          </w:p>
          <w:p w14:paraId="4004B4F6" w14:textId="77777777">
            <w:pPr>
              <w:spacing w:after="0"/>
            </w:pPr>
            <w:r>
              <w:rPr>
                <w:sz w:val="20"/>
              </w:rPr>
              <w:t>The deployment list includes foundation configuration and may include the named official staff seed. It does not include the demo seed. Never run database/seed/002_seed_demo.sql, reset-localdb.ps1, fix-localdb.ps1 or test-data cleanup scripts against production.</w:t>
            </w:r>
          </w:p>
        </w:tc>
      </w:tr>
    </w:tbl>
    <w:p w14:paraId="674801E3" w14:textId="77777777">
      <w:pPr>
        <w:spacing w:after="20"/>
      </w:pPr>
    </w:p>
    <w:p w14:paraId="507D54EE" w14:textId="77777777">
      <w:pPr>
        <w:pStyle w:val="Heading2"/>
      </w:pPr>
      <w:r>
        <w:t>Apply every forward-only migration</w:t>
      </w:r>
    </w:p>
    <w:p w14:paraId="733004C7" w14:textId="77777777">
      <w:pPr>
        <w:pStyle w:val="CodeBlock"/>
        <w:shd w:val="clear" w:color="auto" w:fill="F2F4F7"/>
      </w:pPr>
      <w:r>
        <w:t>.\scripts\apply-database.ps1 `</w:t>
      </w:r>
      <w:r>
        <w:br/>
        <w:t xml:space="preserve">  -Server '&lt;sql-server&gt;.database.windows.net' `</w:t>
      </w:r>
      <w:r>
        <w:br/>
        <w:t xml:space="preserve">  -Database 'ielevate' `</w:t>
      </w:r>
      <w:r>
        <w:br/>
        <w:t xml:space="preserve">  -Authentication Entra `</w:t>
      </w:r>
      <w:r>
        <w:br/>
        <w:t xml:space="preserve">  -ExcludeOfficialStaffData</w:t>
      </w:r>
    </w:p>
    <w:p w14:paraId="143429BA" w14:textId="77777777">
      <w:r>
        <w:t>Remove -ExcludeOfficialStaffData only after explicit approval. The script verifies SQL/Azure SQL compatibility, creates dbo.schema_migrations, applies its explicit list through 070_qa_action_workflow_and_inclusion_walks.sql, records SHA-256 checksums and skips already-applied entries. BaselineExistingDatabase is only for the documented legacy V1 case and must not be used on a fresh production database.</w:t>
      </w:r>
    </w:p>
    <w:p w14:paraId="3031798C" w14:textId="77777777">
      <w:pPr>
        <w:pStyle w:val="Heading2"/>
      </w:pPr>
      <w:r>
        <w:t>Give the App Service managed identity runtime access</w:t>
      </w:r>
    </w:p>
    <w:p w14:paraId="7510B371" w14:textId="77777777">
      <w:r>
        <w:t>Connect to the ielevate database as the configured Entra SQL administrator. Use the exact web app name from the deployment output. The application calls a stored procedure as well as reading and writing tables, so include EXECUTE.</w:t>
      </w:r>
    </w:p>
    <w:p w14:paraId="1CC0F01D" w14:textId="77777777">
      <w:pPr>
        <w:pStyle w:val="CodeBlock"/>
        <w:shd w:val="clear" w:color="auto" w:fill="F2F4F7"/>
      </w:pPr>
      <w:r>
        <w:lastRenderedPageBreak/>
        <w:t>CREATE USER [&lt;exact-web-app-name&gt;] FROM EXTERNAL PROVIDER;</w:t>
      </w:r>
      <w:r>
        <w:br/>
        <w:t>ALTER ROLE db_datareader ADD MEMBER [&lt;exact-web-app-name&gt;];</w:t>
      </w:r>
      <w:r>
        <w:br/>
        <w:t>ALTER ROLE db_datawriter ADD MEMBER [&lt;exact-web-app-name&gt;];</w:t>
      </w:r>
      <w:r>
        <w:br/>
        <w:t>GRANT EXECUTE TO [&lt;exact-web-app-name&gt;];</w:t>
      </w:r>
    </w:p>
    <w:p w14:paraId="30C837F7" w14:textId="77777777">
      <w:r>
        <w:t>Do not grant db_owner, db_ddladmin or a server administrator role to the runtime identity. If CREATE USER reports a duplicate display name, stop and resolve it with the Entra/DBA team using an object-ID-safe method rather than granting another principal by mistake.</w:t>
      </w:r>
    </w:p>
    <w:p w14:paraId="0C17D7C0" w14:textId="77777777">
      <w:pPr>
        <w:pStyle w:val="Heading2"/>
      </w:pPr>
      <w:r>
        <w:t>Confirm the migration ledger</w:t>
      </w:r>
    </w:p>
    <w:p w14:paraId="09BC8C23" w14:textId="77777777">
      <w:pPr>
        <w:pStyle w:val="CodeBlock"/>
        <w:shd w:val="clear" w:color="auto" w:fill="F2F4F7"/>
      </w:pPr>
      <w:r>
        <w:t>SELECT migration_key, checksum_sha256, applied_at</w:t>
      </w:r>
      <w:r>
        <w:br/>
        <w:t>FROM dbo.schema_migrations</w:t>
      </w:r>
      <w:r>
        <w:br/>
        <w:t>ORDER BY applied_at, migration_key;</w:t>
      </w:r>
    </w:p>
    <w:p w14:paraId="2158D4B6" w14:textId="77777777">
      <w:r>
        <w:t>Retain the result with the change record. An already-applied migration whose checksum later changes causes deployment to stop; the correct fix is a new migration, not editing history.</w:t>
      </w:r>
    </w:p>
    <w:p w14:paraId="67E51438" w14:textId="77777777">
      <w:pPr>
        <w:pStyle w:val="Heading2"/>
      </w:pPr>
      <w:r>
        <w:t>Link the bootstrap administrator</w:t>
      </w:r>
    </w:p>
    <w:p w14:paraId="5A459AD5" w14:textId="77777777">
      <w:r>
        <w:t>The email must already match an active staff record. Obtain the person's Entra Object ID from the tenant; it is not either app client ID. The candidate known from development is harrybentley@oldham.ac.uk, but the product owner and identity team must confirm the intended production administrator and provide the correct object ID.</w:t>
      </w:r>
    </w:p>
    <w:p w14:paraId="3B51CC33" w14:textId="77777777">
      <w:pPr>
        <w:pStyle w:val="CodeBlock"/>
        <w:shd w:val="clear" w:color="auto" w:fill="F2F4F7"/>
      </w:pPr>
      <w:r>
        <w:t>.\scripts\set-bootstrap-admin.ps1 `</w:t>
      </w:r>
      <w:r>
        <w:br/>
        <w:t xml:space="preserve">  -Server '&lt;sql-server&gt;.database.windows.net' `</w:t>
      </w:r>
      <w:r>
        <w:br/>
        <w:t xml:space="preserve">  -Database 'ielevate' `</w:t>
      </w:r>
      <w:r>
        <w:br/>
        <w:t xml:space="preserve">  -Email 'harrybentley@oldham.ac.uk' `</w:t>
      </w:r>
      <w:r>
        <w:br/>
      </w:r>
      <w:r>
        <w:t xml:space="preserve">  -TenantId '2ff33ca4-e942-419c-b5ca-e224a5167498' `</w:t>
      </w:r>
      <w:r>
        <w:br/>
        <w:t xml:space="preserve">  -ObjectId '&lt;person-entra-object-id&gt;' `</w:t>
      </w:r>
      <w:r>
        <w:br/>
        <w:t xml:space="preserve">  -Authentication Entra</w:t>
      </w:r>
    </w:p>
    <w:p w14:paraId="4C138CCE" w14:textId="77777777">
      <w:r>
        <w:t>The script links the Entra identity, assigns super_admin and global scope, and writes an audit entry in one transaction. After sign-in works, add a second permanent college administrator through the application and verify both accounts before removing any temporary elevation.</w:t>
      </w:r>
    </w:p>
    <w:p w14:paraId="250D913B" w14:textId="77777777">
      <w:pPr>
        <w:pStyle w:val="Heading2"/>
      </w:pPr>
      <w:r>
        <w:t>Remove the temporary migration firewall rule</w:t>
      </w:r>
    </w:p>
    <w:p w14:paraId="14894879" w14:textId="77777777">
      <w:pPr>
        <w:pStyle w:val="CodeBlock"/>
        <w:shd w:val="clear" w:color="auto" w:fill="F2F4F7"/>
      </w:pPr>
      <w:r>
        <w:t>az sql server firewall-rule delete `</w:t>
      </w:r>
      <w:r>
        <w:br/>
      </w:r>
      <w:r>
        <w:t xml:space="preserve">  --resource-group rg-ielevate-prod-uks `</w:t>
      </w:r>
      <w:r>
        <w:br/>
        <w:t xml:space="preserve">  --server '&lt;sql-server-name&gt;' `</w:t>
      </w:r>
      <w:r>
        <w:br/>
        <w:t xml:space="preserve">  --name TemporaryDeploymentAddress</w:t>
      </w:r>
    </w:p>
    <w:p w14:paraId="71ADFABC" w14:textId="77777777">
      <w:pPr>
        <w:pStyle w:val="SmallNote"/>
      </w:pPr>
      <w:r>
        <w:rPr>
          <w:b/>
        </w:rPr>
        <w:t xml:space="preserve">Repository reference: </w:t>
      </w:r>
      <w:r>
        <w:rPr>
          <w:rFonts w:ascii="Consolas" w:eastAsia="Consolas" w:hAnsi="Consolas"/>
          <w:color w:val="1F4D78"/>
          <w:sz w:val="17"/>
        </w:rPr>
        <w:t>scripts/apply-database.ps1</w:t>
      </w:r>
      <w:r>
        <w:t xml:space="preserve">  •  </w:t>
      </w:r>
      <w:r>
        <w:rPr>
          <w:rFonts w:ascii="Consolas" w:eastAsia="Consolas" w:hAnsi="Consolas"/>
          <w:color w:val="1F4D78"/>
          <w:sz w:val="17"/>
        </w:rPr>
        <w:t>scripts/set-bootstrap-admin.ps1</w:t>
      </w:r>
      <w:r>
        <w:t xml:space="preserve">  •  </w:t>
      </w:r>
      <w:r>
        <w:rPr>
          <w:rFonts w:ascii="Consolas" w:eastAsia="Consolas" w:hAnsi="Consolas"/>
          <w:color w:val="1F4D78"/>
          <w:sz w:val="17"/>
        </w:rPr>
        <w:t>database/migrations</w:t>
      </w:r>
      <w:r>
        <w:t xml:space="preserve">  •  </w:t>
      </w:r>
      <w:r>
        <w:rPr>
          <w:rFonts w:ascii="Consolas" w:eastAsia="Consolas" w:hAnsi="Consolas"/>
          <w:color w:val="1F4D78"/>
          <w:sz w:val="17"/>
        </w:rPr>
        <w:t>database/seed/005_seed_official_curriculum_staff.sql</w:t>
      </w:r>
    </w:p>
    <w:p w14:paraId="3A78E1A7" w14:textId="60A4CBA5">
      <w:pPr>
        <w:pStyle w:val="SmallNote"/>
      </w:pPr>
      <w:r>
        <w:rPr>
          <w:b/>
        </w:rPr>
        <w:t xml:space="preserve">Microsoft/GitHub reference: </w:t>
      </w:r>
      <w:hyperlink r:id="rId26">
        <w:r>
          <w:rPr>
            <w:color w:val="1F4D78"/>
            <w:u w:val="single"/>
          </w:rPr>
          <w:t>Configure Entra authentication for Azure SQL</w:t>
        </w:r>
      </w:hyperlink>
      <w:r>
        <w:t xml:space="preserve">  •  </w:t>
      </w:r>
      <w:hyperlink r:id="rId27">
        <w:r>
          <w:rPr>
            <w:color w:val="1F4D78"/>
            <w:u w:val="single"/>
          </w:rPr>
          <w:t>Managed identity database connection</w:t>
        </w:r>
      </w:hyperlink>
    </w:p>
    <w:p w14:paraId="4A75981D" w14:textId="77777777">
      <w:pPr>
        <w:pStyle w:val="Heading1"/>
      </w:pPr>
      <w:bookmarkStart w:id="12" w:name="deploy_app"/>
      <w:r>
        <w:lastRenderedPageBreak/>
        <w:t>11. Build and deploy the application</w:t>
      </w:r>
      <w:bookmarkEnd w:id="12"/>
    </w:p>
    <w:p w14:paraId="1C595F36" w14:textId="77777777">
      <w:pPr>
        <w:pStyle w:val="Heading2"/>
      </w:pPr>
      <w:r>
        <w:t>Preferred release path: GitHub produces the package</w:t>
      </w:r>
    </w:p>
    <w:p w14:paraId="2BA669D1" w14:textId="77777777">
      <w:pPr>
        <w:numPr>
          <w:ilvl w:val="0"/>
          <w:numId w:val="10"/>
        </w:numPr>
      </w:pPr>
      <w:r>
        <w:t>Configure the four non-secret repository variables listed in Section 4.</w:t>
      </w:r>
    </w:p>
    <w:p w14:paraId="2A36508B" w14:textId="77777777">
      <w:pPr>
        <w:numPr>
          <w:ilvl w:val="0"/>
          <w:numId w:val="10"/>
        </w:numPr>
      </w:pPr>
      <w:r>
        <w:t>Open GitHub Actions → Build Azure release → Run workflow on the approved tag/commit according to college policy.</w:t>
      </w:r>
    </w:p>
    <w:p w14:paraId="00BCA144" w14:textId="77777777">
      <w:pPr>
        <w:numPr>
          <w:ilvl w:val="0"/>
          <w:numId w:val="10"/>
        </w:numPr>
      </w:pPr>
      <w:r>
        <w:t>The workflow installs .NET 10 and Node 24, verifies the Entra scope relationship, runs the repository release gate and creates i-elevate-linux-x64.zip plus release.json and manifest.json.</w:t>
      </w:r>
    </w:p>
    <w:p w14:paraId="5F836D17" w14:textId="77777777">
      <w:pPr>
        <w:numPr>
          <w:ilvl w:val="0"/>
          <w:numId w:val="10"/>
        </w:numPr>
      </w:pPr>
      <w:r>
        <w:t>Download the workflow artifact within its 30-day retention period. Calculate and record its SHA-256. Attach the accepted files to the GitHub Release or the college's approved immutable release store.</w:t>
      </w:r>
    </w:p>
    <w:p w14:paraId="4FFCFED2" w14:textId="77777777">
      <w:pPr>
        <w:numPr>
          <w:ilvl w:val="0"/>
          <w:numId w:val="10"/>
        </w:numPr>
      </w:pPr>
      <w:r>
        <w:t>Have the deployment operator compare the downloaded checksum with the approved change record before deployment.</w:t>
      </w:r>
    </w:p>
    <w:p w14:paraId="37C8A012" w14:textId="77777777">
      <w:pPr>
        <w:pStyle w:val="Heading2"/>
      </w:pPr>
      <w:r>
        <w:t>Equivalent controlled local build</w:t>
      </w:r>
    </w:p>
    <w:p w14:paraId="26B1ADF4" w14:textId="77777777">
      <w:pPr>
        <w:pStyle w:val="CodeBlock"/>
        <w:shd w:val="clear" w:color="auto" w:fill="F2F4F7"/>
      </w:pPr>
      <w:r>
        <w:t>.\scripts\new-azure-release.ps1 `</w:t>
      </w:r>
      <w:r>
        <w:br/>
        <w:t xml:space="preserve">  -EntraTenantId '2ff33ca4-e942-419c-b5ca-e224a5167498' `</w:t>
      </w:r>
      <w:r>
        <w:br/>
        <w:t xml:space="preserve">  -EntraApiAudience 'f6d35a24-dc89-40b0-819a-69400ed2491d' `</w:t>
      </w:r>
      <w:r>
        <w:br/>
        <w:t xml:space="preserve">  -EntraSpaClientId '40b00b7a-32b3-4a89-bac0-f016fd431d95' `</w:t>
      </w:r>
      <w:r>
        <w:br/>
        <w:t xml:space="preserve">  -EntraApiScope 'api://f6d35a24-dc89-40b0-819a-69400ed2491d/access_as_user'</w:t>
      </w:r>
    </w:p>
    <w:p w14:paraId="096B3433" w14:textId="77777777">
      <w:r>
        <w:t>Do not pass -AllowDirty. Do not normally skip install or security audits. The script builds the production SPA for same-origin API access, runs tests and dependency audits, publishes linux-x64 and writes .artifacts/azure/i-elevate-linux-x64.zip.</w:t>
      </w:r>
    </w:p>
    <w:p w14:paraId="70BE31BC" w14:textId="77777777">
      <w:pPr>
        <w:pStyle w:val="Heading2"/>
      </w:pPr>
      <w:r>
        <w:t>Deploy the verified ZIP</w:t>
      </w:r>
    </w:p>
    <w:p w14:paraId="4B86F5C1" w14:textId="77777777">
      <w:pPr>
        <w:pStyle w:val="CodeBlock"/>
        <w:shd w:val="clear" w:color="auto" w:fill="F2F4F7"/>
      </w:pPr>
      <w:r>
        <w:t>.\scripts\deploy-azure.ps1 `</w:t>
      </w:r>
      <w:r>
        <w:br/>
        <w:t xml:space="preserve">  -ResourceGroupName 'rg-ielevate-prod-uks' `</w:t>
      </w:r>
      <w:r>
        <w:br/>
        <w:t xml:space="preserve">  -WebAppName '&lt;web-app-name-from-output&gt;' `</w:t>
      </w:r>
      <w:r>
        <w:br/>
        <w:t xml:space="preserve">  -PackagePath 'C:\ApprovedReleases\i-elevate-linux-x64.zip' `</w:t>
      </w:r>
      <w:r>
        <w:br/>
      </w:r>
      <w:r>
        <w:t xml:space="preserve">  -ExpectedSubscriptionId 'acd523b9-54eb-4bbe-8776-fb761860c362'</w:t>
      </w:r>
    </w:p>
    <w:p w14:paraId="138EBBB7" w14:textId="77777777">
      <w:r>
        <w:t>The script checks the Azure CLI subscription, performs a clean ZIP deployment, restarts the app and polls /health/ready for up to five minutes. ZIP deployment does not rebuild the application in Azure; the uploaded package must already be complete.</w:t>
      </w:r>
    </w:p>
    <w:p w14:paraId="65C423B6" w14:textId="77777777">
      <w:pPr>
        <w:pStyle w:val="Heading2"/>
      </w:pPr>
      <w:r>
        <w:t>If readiness does not become healthy</w:t>
      </w:r>
    </w:p>
    <w:p w14:paraId="309ADADB" w14:textId="77777777">
      <w:pPr>
        <w:numPr>
          <w:ilvl w:val="0"/>
          <w:numId w:val="11"/>
        </w:numPr>
      </w:pPr>
      <w:r>
        <w:t>Do not keep redeploying. Open App Service → Log stream and Application Insights Failures; note the trace/time and protect any staff data shown.</w:t>
      </w:r>
    </w:p>
    <w:p w14:paraId="3FCABFF3" w14:textId="77777777">
      <w:pPr>
        <w:numPr>
          <w:ilvl w:val="0"/>
          <w:numId w:val="11"/>
        </w:numPr>
      </w:pPr>
      <w:r>
        <w:lastRenderedPageBreak/>
        <w:t>Check App Service Configuration for the connection string, tenant/audience and both data-protection URIs. Confirm Production and AllowDevelopmentUser=false.</w:t>
      </w:r>
    </w:p>
    <w:p w14:paraId="6032B68D" w14:textId="77777777">
      <w:pPr>
        <w:numPr>
          <w:ilvl w:val="0"/>
          <w:numId w:val="11"/>
        </w:numPr>
      </w:pPr>
      <w:r>
        <w:t>Check the managed identity exists in the ielevate database with reader, writer and EXECUTE permission.</w:t>
      </w:r>
    </w:p>
    <w:p w14:paraId="149220EF" w14:textId="77777777">
      <w:pPr>
        <w:numPr>
          <w:ilvl w:val="0"/>
          <w:numId w:val="11"/>
        </w:numPr>
      </w:pPr>
      <w:r>
        <w:t>Check SQL networking and DNS. If using private endpoints, test VNet integration and private DNS from App Service diagnostics.</w:t>
      </w:r>
    </w:p>
    <w:p w14:paraId="45061EE8" w14:textId="77777777">
      <w:pPr>
        <w:numPr>
          <w:ilvl w:val="0"/>
          <w:numId w:val="11"/>
        </w:numPr>
      </w:pPr>
      <w:r>
        <w:t>Call /health/live. If live is 200 but ready is 503, focus on the database. If live fails, focus on startup/runtime/package/configuration.</w:t>
      </w:r>
    </w:p>
    <w:tbl>
      <w:tblPr>
        <w:tblStyle w:val="TableGrid"/>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14:paraId="15A88A82" w14:textId="77777777">
        <w:trPr>
          <w:cantSplit/>
          <w:tblHeader/>
        </w:trPr>
        <w:tc>
          <w:tcPr>
            <w:tcW w:w="9360" w:type="dxa"/>
            <w:shd w:val="clear" w:color="auto" w:fill="FDECEC"/>
            <w:tcMar>
              <w:top w:w="80" w:type="dxa"/>
              <w:left w:w="120" w:type="dxa"/>
              <w:bottom w:w="80" w:type="dxa"/>
              <w:right w:w="120" w:type="dxa"/>
            </w:tcMar>
            <w:vAlign w:val="center"/>
          </w:tcPr>
          <w:p w14:paraId="16DC78F5" w14:textId="77777777">
            <w:pPr>
              <w:spacing w:after="60"/>
            </w:pPr>
            <w:r>
              <w:rPr>
                <w:b/>
                <w:color w:val="9B1C1C"/>
              </w:rPr>
              <w:t>Reject the old local ZIP</w:t>
            </w:r>
          </w:p>
          <w:p w14:paraId="23191E35" w14:textId="77777777">
            <w:pPr>
              <w:spacing w:after="0"/>
            </w:pPr>
            <w:r>
              <w:rPr>
                <w:sz w:val="20"/>
              </w:rPr>
              <w:t>The pre-existing .artifacts/azure package inspected on 25 August 2026 was generated from commit 993a4dde with workingTreeDirty=true. Its SHA-256 begins 3062E069… and it is not an approved production release. Rebuild from the clean accepted tag.</w:t>
            </w:r>
          </w:p>
        </w:tc>
      </w:tr>
    </w:tbl>
    <w:p w14:paraId="7DD659FD" w14:textId="77777777">
      <w:pPr>
        <w:spacing w:after="20"/>
      </w:pPr>
    </w:p>
    <w:p w14:paraId="23474B07" w14:textId="77777777">
      <w:pPr>
        <w:pStyle w:val="SmallNote"/>
      </w:pPr>
      <w:r>
        <w:rPr>
          <w:b/>
        </w:rPr>
        <w:t xml:space="preserve">Repository reference: </w:t>
      </w:r>
      <w:r>
        <w:rPr>
          <w:rFonts w:ascii="Consolas" w:eastAsia="Consolas" w:hAnsi="Consolas"/>
          <w:color w:val="1F4D78"/>
          <w:sz w:val="17"/>
        </w:rPr>
        <w:t>scripts/new-azure-release.ps1</w:t>
      </w:r>
      <w:r>
        <w:t xml:space="preserve">  •  </w:t>
      </w:r>
      <w:r>
        <w:rPr>
          <w:rFonts w:ascii="Consolas" w:eastAsia="Consolas" w:hAnsi="Consolas"/>
          <w:color w:val="1F4D78"/>
          <w:sz w:val="17"/>
        </w:rPr>
        <w:t>scripts/deploy-azure.ps1</w:t>
      </w:r>
      <w:r>
        <w:t xml:space="preserve">  •  </w:t>
      </w:r>
      <w:r>
        <w:rPr>
          <w:rFonts w:ascii="Consolas" w:eastAsia="Consolas" w:hAnsi="Consolas"/>
          <w:color w:val="1F4D78"/>
          <w:sz w:val="17"/>
        </w:rPr>
        <w:t>scripts/verify-v1.ps1</w:t>
      </w:r>
      <w:r>
        <w:t xml:space="preserve">  •  </w:t>
      </w:r>
      <w:r>
        <w:rPr>
          <w:rFonts w:ascii="Consolas" w:eastAsia="Consolas" w:hAnsi="Consolas"/>
          <w:color w:val="1F4D78"/>
          <w:sz w:val="17"/>
        </w:rPr>
        <w:t>.github/workflows/release-azure.yml</w:t>
      </w:r>
    </w:p>
    <w:p w14:paraId="011618CC" w14:textId="6012EEA6">
      <w:pPr>
        <w:pStyle w:val="SmallNote"/>
      </w:pPr>
      <w:r>
        <w:rPr>
          <w:b/>
        </w:rPr>
        <w:t xml:space="preserve">Microsoft/GitHub reference: </w:t>
      </w:r>
      <w:hyperlink r:id="rId28" w:anchor="az-webapp-deploy">
        <w:r>
          <w:rPr>
            <w:color w:val="1F4D78"/>
            <w:u w:val="single"/>
          </w:rPr>
          <w:t>Azure Web App ZIP deploy</w:t>
        </w:r>
      </w:hyperlink>
      <w:r>
        <w:t xml:space="preserve">  •  </w:t>
      </w:r>
      <w:hyperlink r:id="rId29">
        <w:r>
          <w:rPr>
            <w:color w:val="1F4D78"/>
            <w:u w:val="single"/>
          </w:rPr>
          <w:t>Deploy files to App Service</w:t>
        </w:r>
      </w:hyperlink>
    </w:p>
    <w:p w14:paraId="47C20800" w14:textId="77777777">
      <w:pPr>
        <w:pStyle w:val="Heading1"/>
      </w:pPr>
      <w:bookmarkStart w:id="13" w:name="dns_identity"/>
      <w:r>
        <w:lastRenderedPageBreak/>
        <w:t>12. Complete DNS, HTTPS and sign-in</w:t>
      </w:r>
      <w:bookmarkEnd w:id="13"/>
    </w:p>
    <w:p w14:paraId="79B9C330" w14:textId="77777777">
      <w:pPr>
        <w:pStyle w:val="Heading2"/>
      </w:pPr>
      <w:r>
        <w:t>Use the Azure address first</w:t>
      </w:r>
    </w:p>
    <w:p w14:paraId="6681EFE9" w14:textId="77777777">
      <w:r>
        <w:t>The Bicep output returns https://&lt;web-app&gt;.azurewebsites.net. Azure secures that hostname automatically. Add it temporarily to the Web SPA registration, test sign-in and complete the technical pilot before changing public DNS.</w:t>
      </w:r>
    </w:p>
    <w:p w14:paraId="21DDB801" w14:textId="77777777">
      <w:pPr>
        <w:pStyle w:val="Heading2"/>
      </w:pPr>
      <w:r>
        <w:t>Map the college hostname</w:t>
      </w:r>
    </w:p>
    <w:p w14:paraId="51E8C997" w14:textId="77777777">
      <w:pPr>
        <w:numPr>
          <w:ilvl w:val="0"/>
          <w:numId w:val="12"/>
        </w:numPr>
      </w:pPr>
      <w:r>
        <w:t>The application owner requests the final hostname from the DNS team, for example ielevate.oldham.ac.uk. Confirm it is the permanent staff address and record an owner for renewal and DNS changes.</w:t>
      </w:r>
    </w:p>
    <w:p w14:paraId="6A8A8DC7" w14:textId="77777777">
      <w:pPr>
        <w:numPr>
          <w:ilvl w:val="0"/>
          <w:numId w:val="12"/>
        </w:numPr>
      </w:pPr>
      <w:r>
        <w:t>In App Service → Custom domains, add the hostname. Follow Azure's displayed verification record and create the required DNS CNAME/TXT records through the college DNS process.</w:t>
      </w:r>
    </w:p>
    <w:p w14:paraId="606E0905" w14:textId="77777777">
      <w:pPr>
        <w:numPr>
          <w:ilvl w:val="0"/>
          <w:numId w:val="12"/>
        </w:numPr>
      </w:pPr>
      <w:r>
        <w:t>On Basic tier or higher, select an App Service Managed Certificate if it meets policy, or bind the college's approved certificate. Wait until the custom domain shows Secured.</w:t>
      </w:r>
    </w:p>
    <w:p w14:paraId="785CFD13" w14:textId="77777777">
      <w:pPr>
        <w:numPr>
          <w:ilvl w:val="0"/>
          <w:numId w:val="12"/>
        </w:numPr>
      </w:pPr>
      <w:r>
        <w:t>Test HTTPS, certificate chain, renewal ownership and HTTP-to-HTTPS redirection from a staff network and an approved external network if public access is intended.</w:t>
      </w:r>
    </w:p>
    <w:p w14:paraId="2265B033" w14:textId="77777777">
      <w:pPr>
        <w:pStyle w:val="Heading2"/>
      </w:pPr>
      <w:r>
        <w:t>Update application settings for the permanent URL</w:t>
      </w:r>
    </w:p>
    <w:p w14:paraId="32255664" w14:textId="77777777">
      <w:pPr>
        <w:pStyle w:val="CodeBlock"/>
        <w:shd w:val="clear" w:color="auto" w:fill="F2F4F7"/>
      </w:pPr>
      <w:r>
        <w:t>az webapp config appsettings set `</w:t>
      </w:r>
      <w:r>
        <w:br/>
        <w:t xml:space="preserve">  --resource-group rg-ielevate-prod-uks `</w:t>
      </w:r>
      <w:r>
        <w:br/>
        <w:t xml:space="preserve">  --name '&lt;web-app-name&gt;' `</w:t>
      </w:r>
      <w:r>
        <w:br/>
        <w:t xml:space="preserve">  --settings `</w:t>
      </w:r>
      <w:r>
        <w:br/>
        <w:t xml:space="preserve">    'Messaging__ApplicationUrl=https://ielevate.oldham.ac.uk' `</w:t>
      </w:r>
      <w:r>
        <w:br/>
        <w:t xml:space="preserve">    'Cors__AllowedOrigins__0=https://ielevate.oldham.ac.uk'</w:t>
      </w:r>
    </w:p>
    <w:p w14:paraId="5D700734" w14:textId="77777777">
      <w:r>
        <w:t>The deployed SPA uses window.location.origin and same-origin API calls, so a hostname change does not by itself require a rebuild. Keeping the application URL and allowed origin aligned avoids incorrect future links or cross-origin surprises. Restart and recheck readiness after changing settings.</w:t>
      </w:r>
    </w:p>
    <w:p w14:paraId="2DD13DAB" w14:textId="77777777">
      <w:pPr>
        <w:pStyle w:val="Heading2"/>
      </w:pPr>
      <w:r>
        <w:t>Finish the SPA redirect and consent</w:t>
      </w:r>
    </w:p>
    <w:p w14:paraId="4F37928D" w14:textId="77777777">
      <w:pPr>
        <w:spacing w:after="80"/>
        <w:ind w:left="29"/>
      </w:pPr>
      <w:r>
        <w:rPr>
          <w:b/>
          <w:color w:val="2CB5A9"/>
        </w:rPr>
        <w:t>☐</w:t>
      </w:r>
      <w:r>
        <w:rPr>
          <w:b/>
          <w:color w:val="2CB5A9"/>
        </w:rPr>
        <w:t xml:space="preserve">  </w:t>
      </w:r>
      <w:r>
        <w:t>Add the exact custom HTTPS origin to i-Elevate Web → Authentication → SPA redirect URIs.</w:t>
      </w:r>
    </w:p>
    <w:p w14:paraId="21FE055D" w14:textId="77777777">
      <w:pPr>
        <w:spacing w:after="80"/>
        <w:ind w:left="29"/>
      </w:pPr>
      <w:r>
        <w:rPr>
          <w:b/>
          <w:color w:val="2CB5A9"/>
        </w:rPr>
        <w:t>☐</w:t>
      </w:r>
      <w:r>
        <w:rPr>
          <w:b/>
          <w:color w:val="2CB5A9"/>
        </w:rPr>
        <w:t xml:space="preserve">  </w:t>
      </w:r>
      <w:r>
        <w:t>Sign in through the custom hostname. If AADSTS50011 appears, compare the redirect URI in the error with the registered origin character by character.</w:t>
      </w:r>
    </w:p>
    <w:p w14:paraId="292087F8" w14:textId="77777777">
      <w:pPr>
        <w:spacing w:after="80"/>
        <w:ind w:left="29"/>
      </w:pPr>
      <w:r>
        <w:rPr>
          <w:b/>
          <w:color w:val="2CB5A9"/>
        </w:rPr>
        <w:t>☐</w:t>
      </w:r>
      <w:r>
        <w:rPr>
          <w:b/>
          <w:color w:val="2CB5A9"/>
        </w:rPr>
        <w:t xml:space="preserve">  </w:t>
      </w:r>
      <w:r>
        <w:t>Confirm admin consent is granted and the intended staff group/users are assigned if Assignment required is enabled.</w:t>
      </w:r>
    </w:p>
    <w:p w14:paraId="600CFDFF" w14:textId="77777777">
      <w:pPr>
        <w:spacing w:after="80"/>
        <w:ind w:left="29"/>
      </w:pPr>
      <w:r>
        <w:rPr>
          <w:b/>
          <w:color w:val="2CB5A9"/>
        </w:rPr>
        <w:lastRenderedPageBreak/>
        <w:t>☐</w:t>
      </w:r>
      <w:r>
        <w:rPr>
          <w:b/>
          <w:color w:val="2CB5A9"/>
        </w:rPr>
        <w:t xml:space="preserve">  </w:t>
      </w:r>
      <w:r>
        <w:t>Confirm logout and a second sign-in work in a new private browser session.</w:t>
      </w:r>
    </w:p>
    <w:p w14:paraId="6D7915B9" w14:textId="77777777">
      <w:pPr>
        <w:spacing w:after="80"/>
        <w:ind w:left="29"/>
      </w:pPr>
      <w:r>
        <w:rPr>
          <w:b/>
          <w:color w:val="2CB5A9"/>
        </w:rPr>
        <w:t>☐</w:t>
      </w:r>
      <w:r>
        <w:rPr>
          <w:b/>
          <w:color w:val="2CB5A9"/>
        </w:rPr>
        <w:t xml:space="preserve">  </w:t>
      </w:r>
      <w:r>
        <w:t>After the support team agrees, remove obsolete temporary Azure/localhost redirect URIs from the production registration.</w:t>
      </w:r>
    </w:p>
    <w:p w14:paraId="59433E3C" w14:textId="52DDDE72">
      <w:pPr>
        <w:pStyle w:val="SmallNote"/>
      </w:pPr>
      <w:r>
        <w:rPr>
          <w:b/>
        </w:rPr>
        <w:t xml:space="preserve">Microsoft/GitHub reference: </w:t>
      </w:r>
      <w:hyperlink r:id="rId30">
        <w:r>
          <w:rPr>
            <w:color w:val="1F4D78"/>
            <w:u w:val="single"/>
          </w:rPr>
          <w:t>App Service custom domains</w:t>
        </w:r>
      </w:hyperlink>
      <w:r>
        <w:t xml:space="preserve">  •  </w:t>
      </w:r>
      <w:hyperlink r:id="rId31">
        <w:r>
          <w:rPr>
            <w:color w:val="1F4D78"/>
            <w:u w:val="single"/>
          </w:rPr>
          <w:t>App Service certificates</w:t>
        </w:r>
      </w:hyperlink>
      <w:r>
        <w:t xml:space="preserve">  •  </w:t>
      </w:r>
      <w:hyperlink r:id="rId32">
        <w:r>
          <w:rPr>
            <w:color w:val="1F4D78"/>
            <w:u w:val="single"/>
          </w:rPr>
          <w:t>Redirect URI best practices</w:t>
        </w:r>
      </w:hyperlink>
    </w:p>
    <w:p w14:paraId="03B77086" w14:textId="77777777">
      <w:pPr>
        <w:pStyle w:val="Heading1"/>
      </w:pPr>
      <w:bookmarkStart w:id="14" w:name="go_live"/>
      <w:r>
        <w:lastRenderedPageBreak/>
        <w:t>13. Pilot, acceptance and go-live</w:t>
      </w:r>
      <w:bookmarkEnd w:id="14"/>
    </w:p>
    <w:p w14:paraId="2F64674C" w14:textId="77777777">
      <w:r>
        <w:t>A green health endpoint proves the service can start and reach SQL. It does not prove permissions, workflows, reports or recovery. Use named test users that mirror real roles and scopes, then remove or disable them and delete their test records before launch.</w:t>
      </w:r>
    </w:p>
    <w:p w14:paraId="39DBA54D" w14:textId="77777777">
      <w:pPr>
        <w:pStyle w:val="Heading2"/>
      </w:pPr>
      <w:r>
        <w:t>Technical acceptance</w:t>
      </w:r>
    </w:p>
    <w:p w14:paraId="3A615AE2" w14:textId="77777777">
      <w:pPr>
        <w:spacing w:after="80"/>
        <w:ind w:left="29"/>
      </w:pPr>
      <w:r>
        <w:rPr>
          <w:b/>
          <w:color w:val="2CB5A9"/>
        </w:rPr>
        <w:t>☐</w:t>
      </w:r>
      <w:r>
        <w:rPr>
          <w:b/>
          <w:color w:val="2CB5A9"/>
        </w:rPr>
        <w:t xml:space="preserve">  </w:t>
      </w:r>
      <w:r>
        <w:t>CI, release verification, API tests, frontend production build and dependency audits pass on the exact release commit.</w:t>
      </w:r>
    </w:p>
    <w:p w14:paraId="43E856C2" w14:textId="77777777">
      <w:pPr>
        <w:spacing w:after="80"/>
        <w:ind w:left="29"/>
      </w:pPr>
      <w:r>
        <w:rPr>
          <w:b/>
          <w:color w:val="2CB5A9"/>
        </w:rPr>
        <w:t>☐</w:t>
      </w:r>
      <w:r>
        <w:rPr>
          <w:b/>
          <w:color w:val="2CB5A9"/>
        </w:rPr>
        <w:t xml:space="preserve">  </w:t>
      </w:r>
      <w:r>
        <w:t>/health/live and /health/ready return HTTP 200 over the final hostname.</w:t>
      </w:r>
    </w:p>
    <w:p w14:paraId="43553555" w14:textId="77777777">
      <w:pPr>
        <w:spacing w:after="80"/>
        <w:ind w:left="29"/>
      </w:pPr>
      <w:r>
        <w:rPr>
          <w:b/>
          <w:color w:val="2CB5A9"/>
        </w:rPr>
        <w:t>☐</w:t>
      </w:r>
      <w:r>
        <w:rPr>
          <w:b/>
          <w:color w:val="2CB5A9"/>
        </w:rPr>
        <w:t xml:space="preserve">  </w:t>
      </w:r>
      <w:r>
        <w:t>Application Insights receives requests, dependencies, exceptions and trace IDs without tokens, request bodies or staff narrative.</w:t>
      </w:r>
    </w:p>
    <w:p w14:paraId="36EBC416" w14:textId="77777777">
      <w:pPr>
        <w:spacing w:after="80"/>
        <w:ind w:left="29"/>
      </w:pPr>
      <w:r>
        <w:rPr>
          <w:b/>
          <w:color w:val="2CB5A9"/>
        </w:rPr>
        <w:t>☐</w:t>
      </w:r>
      <w:r>
        <w:rPr>
          <w:b/>
          <w:color w:val="2CB5A9"/>
        </w:rPr>
        <w:t xml:space="preserve">  </w:t>
      </w:r>
      <w:r>
        <w:t>Managed identity reaches SQL, Blob Storage and Key Vault; no application database password or Storage account key exists.</w:t>
      </w:r>
    </w:p>
    <w:p w14:paraId="0DCE6167" w14:textId="77777777">
      <w:pPr>
        <w:spacing w:after="80"/>
        <w:ind w:left="29"/>
      </w:pPr>
      <w:r>
        <w:rPr>
          <w:b/>
          <w:color w:val="2CB5A9"/>
        </w:rPr>
        <w:t>☐</w:t>
      </w:r>
      <w:r>
        <w:rPr>
          <w:b/>
          <w:color w:val="2CB5A9"/>
        </w:rPr>
        <w:t xml:space="preserve">  </w:t>
      </w:r>
      <w:r>
        <w:t>Budget, availability, 5xx, database-connectivity, capacity and backup alerts reach a monitored support channel.</w:t>
      </w:r>
    </w:p>
    <w:p w14:paraId="417B64FD" w14:textId="77777777">
      <w:pPr>
        <w:spacing w:after="80"/>
        <w:ind w:left="29"/>
      </w:pPr>
      <w:r>
        <w:rPr>
          <w:b/>
          <w:color w:val="2CB5A9"/>
        </w:rPr>
        <w:t>☐</w:t>
      </w:r>
      <w:r>
        <w:rPr>
          <w:b/>
          <w:color w:val="2CB5A9"/>
        </w:rPr>
        <w:t xml:space="preserve">  </w:t>
      </w:r>
      <w:r>
        <w:t>Temporary migration IP firewall access is removed; final network controls match the approved design.</w:t>
      </w:r>
    </w:p>
    <w:p w14:paraId="35DE1D12" w14:textId="77777777">
      <w:pPr>
        <w:spacing w:after="80"/>
        <w:ind w:left="29"/>
      </w:pPr>
      <w:r>
        <w:rPr>
          <w:b/>
          <w:color w:val="2CB5A9"/>
        </w:rPr>
        <w:t>☐</w:t>
      </w:r>
      <w:r>
        <w:rPr>
          <w:b/>
          <w:color w:val="2CB5A9"/>
        </w:rPr>
        <w:t xml:space="preserve">  </w:t>
      </w:r>
      <w:r>
        <w:t>Point-in-time restore or the agreed recovery method is tested to a separate database and recorded.</w:t>
      </w:r>
    </w:p>
    <w:p w14:paraId="250E093E" w14:textId="77777777">
      <w:pPr>
        <w:pStyle w:val="Heading2"/>
      </w:pPr>
      <w:r>
        <w:t>Role and scope acceptance</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200"/>
        <w:gridCol w:w="7160"/>
      </w:tblGrid>
      <w:tr w14:paraId="24CFADA6" w14:textId="77777777">
        <w:trPr>
          <w:cantSplit/>
          <w:tblHeader/>
        </w:trPr>
        <w:tc>
          <w:tcPr>
            <w:tcW w:w="2200" w:type="dxa"/>
            <w:shd w:val="clear" w:color="auto" w:fill="E8EEF5"/>
            <w:tcMar>
              <w:top w:w="80" w:type="dxa"/>
              <w:left w:w="120" w:type="dxa"/>
              <w:bottom w:w="80" w:type="dxa"/>
              <w:right w:w="120" w:type="dxa"/>
            </w:tcMar>
            <w:vAlign w:val="center"/>
          </w:tcPr>
          <w:p w14:paraId="268550DD" w14:textId="77777777">
            <w:pPr>
              <w:spacing w:after="0"/>
            </w:pPr>
            <w:r>
              <w:rPr>
                <w:b/>
                <w:color w:val="0B2545"/>
                <w:sz w:val="19"/>
              </w:rPr>
              <w:t>Persona</w:t>
            </w:r>
          </w:p>
        </w:tc>
        <w:tc>
          <w:tcPr>
            <w:tcW w:w="7160" w:type="dxa"/>
            <w:shd w:val="clear" w:color="auto" w:fill="E8EEF5"/>
            <w:tcMar>
              <w:top w:w="80" w:type="dxa"/>
              <w:left w:w="120" w:type="dxa"/>
              <w:bottom w:w="80" w:type="dxa"/>
              <w:right w:w="120" w:type="dxa"/>
            </w:tcMar>
            <w:vAlign w:val="center"/>
          </w:tcPr>
          <w:p w14:paraId="637BF0BF" w14:textId="77777777">
            <w:pPr>
              <w:spacing w:after="0"/>
            </w:pPr>
            <w:r>
              <w:rPr>
                <w:b/>
                <w:color w:val="0B2545"/>
                <w:sz w:val="19"/>
              </w:rPr>
              <w:t>Must be tested</w:t>
            </w:r>
          </w:p>
        </w:tc>
      </w:tr>
      <w:tr w14:paraId="3FD555B2" w14:textId="77777777">
        <w:trPr>
          <w:cantSplit/>
        </w:trPr>
        <w:tc>
          <w:tcPr>
            <w:tcW w:w="2200" w:type="dxa"/>
            <w:tcMar>
              <w:top w:w="80" w:type="dxa"/>
              <w:left w:w="120" w:type="dxa"/>
              <w:bottom w:w="80" w:type="dxa"/>
              <w:right w:w="120" w:type="dxa"/>
            </w:tcMar>
            <w:vAlign w:val="center"/>
          </w:tcPr>
          <w:p w14:paraId="4E45801D" w14:textId="77777777">
            <w:pPr>
              <w:spacing w:after="0" w:line="269" w:lineRule="auto"/>
            </w:pPr>
            <w:r>
              <w:rPr>
                <w:sz w:val="18"/>
              </w:rPr>
              <w:t>Admin</w:t>
            </w:r>
          </w:p>
        </w:tc>
        <w:tc>
          <w:tcPr>
            <w:tcW w:w="7160" w:type="dxa"/>
            <w:tcMar>
              <w:top w:w="80" w:type="dxa"/>
              <w:left w:w="120" w:type="dxa"/>
              <w:bottom w:w="80" w:type="dxa"/>
              <w:right w:w="120" w:type="dxa"/>
            </w:tcMar>
            <w:vAlign w:val="center"/>
          </w:tcPr>
          <w:p w14:paraId="5B50A4F6" w14:textId="77777777">
            <w:pPr>
              <w:spacing w:after="0" w:line="269" w:lineRule="auto"/>
            </w:pPr>
            <w:r>
              <w:rPr>
                <w:sz w:val="18"/>
              </w:rPr>
              <w:t>Platform-wide administration, reporting, QA actions/removal rights and audit; cannot accidentally lose last-admin access.</w:t>
            </w:r>
          </w:p>
        </w:tc>
      </w:tr>
      <w:tr w14:paraId="7E83F818" w14:textId="77777777">
        <w:trPr>
          <w:cantSplit/>
        </w:trPr>
        <w:tc>
          <w:tcPr>
            <w:tcW w:w="2200" w:type="dxa"/>
            <w:tcMar>
              <w:top w:w="80" w:type="dxa"/>
              <w:left w:w="120" w:type="dxa"/>
              <w:bottom w:w="80" w:type="dxa"/>
              <w:right w:w="120" w:type="dxa"/>
            </w:tcMar>
            <w:vAlign w:val="center"/>
          </w:tcPr>
          <w:p w14:paraId="76456FD1" w14:textId="77777777">
            <w:pPr>
              <w:spacing w:after="0" w:line="269" w:lineRule="auto"/>
            </w:pPr>
            <w:r>
              <w:rPr>
                <w:sz w:val="18"/>
              </w:rPr>
              <w:t>Teaching &amp; Learning</w:t>
            </w:r>
          </w:p>
        </w:tc>
        <w:tc>
          <w:tcPr>
            <w:tcW w:w="7160" w:type="dxa"/>
            <w:tcMar>
              <w:top w:w="80" w:type="dxa"/>
              <w:left w:w="120" w:type="dxa"/>
              <w:bottom w:w="80" w:type="dxa"/>
              <w:right w:w="120" w:type="dxa"/>
            </w:tcMar>
            <w:vAlign w:val="center"/>
          </w:tcPr>
          <w:p w14:paraId="60DFA32E" w14:textId="77777777">
            <w:pPr>
              <w:spacing w:after="0" w:line="269" w:lineRule="auto"/>
            </w:pPr>
            <w:r>
              <w:rPr>
                <w:sz w:val="18"/>
              </w:rPr>
              <w:t>College-wide permitted workflows and QA configuration/correction, without Admin-only removal where designed.</w:t>
            </w:r>
          </w:p>
        </w:tc>
      </w:tr>
      <w:tr w14:paraId="55F0D63F" w14:textId="77777777">
        <w:trPr>
          <w:cantSplit/>
        </w:trPr>
        <w:tc>
          <w:tcPr>
            <w:tcW w:w="2200" w:type="dxa"/>
            <w:tcMar>
              <w:top w:w="80" w:type="dxa"/>
              <w:left w:w="120" w:type="dxa"/>
              <w:bottom w:w="80" w:type="dxa"/>
              <w:right w:w="120" w:type="dxa"/>
            </w:tcMar>
            <w:vAlign w:val="center"/>
          </w:tcPr>
          <w:p w14:paraId="27D1AF80" w14:textId="77777777">
            <w:pPr>
              <w:spacing w:after="0" w:line="269" w:lineRule="auto"/>
            </w:pPr>
            <w:r>
              <w:rPr>
                <w:sz w:val="18"/>
              </w:rPr>
              <w:t>Director</w:t>
            </w:r>
          </w:p>
        </w:tc>
        <w:tc>
          <w:tcPr>
            <w:tcW w:w="7160" w:type="dxa"/>
            <w:tcMar>
              <w:top w:w="80" w:type="dxa"/>
              <w:left w:w="120" w:type="dxa"/>
              <w:bottom w:w="80" w:type="dxa"/>
              <w:right w:w="120" w:type="dxa"/>
            </w:tcMar>
            <w:vAlign w:val="center"/>
          </w:tcPr>
          <w:p w14:paraId="324681DD" w14:textId="77777777">
            <w:pPr>
              <w:spacing w:after="0" w:line="269" w:lineRule="auto"/>
            </w:pPr>
            <w:r>
              <w:rPr>
                <w:sz w:val="18"/>
              </w:rPr>
              <w:t>Only assigned faculty access plus permitted QA access.</w:t>
            </w:r>
          </w:p>
        </w:tc>
      </w:tr>
      <w:tr w14:paraId="053B1845" w14:textId="77777777">
        <w:trPr>
          <w:cantSplit/>
        </w:trPr>
        <w:tc>
          <w:tcPr>
            <w:tcW w:w="2200" w:type="dxa"/>
            <w:tcMar>
              <w:top w:w="80" w:type="dxa"/>
              <w:left w:w="120" w:type="dxa"/>
              <w:bottom w:w="80" w:type="dxa"/>
              <w:right w:w="120" w:type="dxa"/>
            </w:tcMar>
            <w:vAlign w:val="center"/>
          </w:tcPr>
          <w:p w14:paraId="13581C5C" w14:textId="77777777">
            <w:pPr>
              <w:spacing w:after="0" w:line="269" w:lineRule="auto"/>
            </w:pPr>
            <w:r>
              <w:rPr>
                <w:sz w:val="18"/>
              </w:rPr>
              <w:t>Head of Faculty</w:t>
            </w:r>
          </w:p>
        </w:tc>
        <w:tc>
          <w:tcPr>
            <w:tcW w:w="7160" w:type="dxa"/>
            <w:tcMar>
              <w:top w:w="80" w:type="dxa"/>
              <w:left w:w="120" w:type="dxa"/>
              <w:bottom w:w="80" w:type="dxa"/>
              <w:right w:w="120" w:type="dxa"/>
            </w:tcMar>
            <w:vAlign w:val="center"/>
          </w:tcPr>
          <w:p w14:paraId="3644B75C" w14:textId="77777777">
            <w:pPr>
              <w:spacing w:after="0" w:line="269" w:lineRule="auto"/>
            </w:pPr>
            <w:r>
              <w:rPr>
                <w:sz w:val="18"/>
              </w:rPr>
              <w:t>Own faculty, relevant teams, QA actions and profile visibility; no other faculty leakage.</w:t>
            </w:r>
          </w:p>
        </w:tc>
      </w:tr>
      <w:tr w14:paraId="2D591AB0" w14:textId="77777777">
        <w:trPr>
          <w:cantSplit/>
        </w:trPr>
        <w:tc>
          <w:tcPr>
            <w:tcW w:w="2200" w:type="dxa"/>
            <w:tcMar>
              <w:top w:w="80" w:type="dxa"/>
              <w:left w:w="120" w:type="dxa"/>
              <w:bottom w:w="80" w:type="dxa"/>
              <w:right w:w="120" w:type="dxa"/>
            </w:tcMar>
            <w:vAlign w:val="center"/>
          </w:tcPr>
          <w:p w14:paraId="471ECC5C" w14:textId="77777777">
            <w:pPr>
              <w:spacing w:after="0" w:line="269" w:lineRule="auto"/>
            </w:pPr>
            <w:r>
              <w:rPr>
                <w:sz w:val="18"/>
              </w:rPr>
              <w:t>Programme Leader</w:t>
            </w:r>
          </w:p>
        </w:tc>
        <w:tc>
          <w:tcPr>
            <w:tcW w:w="7160" w:type="dxa"/>
            <w:tcMar>
              <w:top w:w="80" w:type="dxa"/>
              <w:left w:w="120" w:type="dxa"/>
              <w:bottom w:w="80" w:type="dxa"/>
              <w:right w:w="120" w:type="dxa"/>
            </w:tcMar>
            <w:vAlign w:val="center"/>
          </w:tcPr>
          <w:p w14:paraId="0392AF3B" w14:textId="77777777">
            <w:pPr>
              <w:spacing w:after="0" w:line="269" w:lineRule="auto"/>
            </w:pPr>
            <w:r>
              <w:rPr>
                <w:sz w:val="18"/>
              </w:rPr>
              <w:t>Managed teams, own QA actions and staff records; no sibling-team leakage.</w:t>
            </w:r>
          </w:p>
        </w:tc>
      </w:tr>
      <w:tr w14:paraId="5D82606E" w14:textId="77777777">
        <w:trPr>
          <w:cantSplit/>
        </w:trPr>
        <w:tc>
          <w:tcPr>
            <w:tcW w:w="2200" w:type="dxa"/>
            <w:tcMar>
              <w:top w:w="80" w:type="dxa"/>
              <w:left w:w="120" w:type="dxa"/>
              <w:bottom w:w="80" w:type="dxa"/>
              <w:right w:w="120" w:type="dxa"/>
            </w:tcMar>
            <w:vAlign w:val="center"/>
          </w:tcPr>
          <w:p w14:paraId="4E61AAE0" w14:textId="77777777">
            <w:pPr>
              <w:spacing w:after="0" w:line="269" w:lineRule="auto"/>
            </w:pPr>
            <w:r>
              <w:rPr>
                <w:sz w:val="18"/>
              </w:rPr>
              <w:t>QA Staff</w:t>
            </w:r>
          </w:p>
        </w:tc>
        <w:tc>
          <w:tcPr>
            <w:tcW w:w="7160" w:type="dxa"/>
            <w:tcMar>
              <w:top w:w="80" w:type="dxa"/>
              <w:left w:w="120" w:type="dxa"/>
              <w:bottom w:w="80" w:type="dxa"/>
              <w:right w:w="120" w:type="dxa"/>
            </w:tcMar>
            <w:vAlign w:val="center"/>
          </w:tcPr>
          <w:p w14:paraId="13E54485" w14:textId="77777777">
            <w:pPr>
              <w:spacing w:after="0" w:line="269" w:lineRule="auto"/>
            </w:pPr>
            <w:r>
              <w:rPr>
                <w:sz w:val="18"/>
              </w:rPr>
              <w:t>QA access only through the additive permission/review rules; no unrelated staff-development privilege.</w:t>
            </w:r>
          </w:p>
        </w:tc>
      </w:tr>
      <w:tr w14:paraId="0B64FD70" w14:textId="77777777">
        <w:trPr>
          <w:cantSplit/>
        </w:trPr>
        <w:tc>
          <w:tcPr>
            <w:tcW w:w="2200" w:type="dxa"/>
            <w:tcMar>
              <w:top w:w="80" w:type="dxa"/>
              <w:left w:w="120" w:type="dxa"/>
              <w:bottom w:w="80" w:type="dxa"/>
              <w:right w:w="120" w:type="dxa"/>
            </w:tcMar>
            <w:vAlign w:val="center"/>
          </w:tcPr>
          <w:p w14:paraId="6DBA4C0D" w14:textId="77777777">
            <w:pPr>
              <w:spacing w:after="0" w:line="269" w:lineRule="auto"/>
            </w:pPr>
            <w:r>
              <w:rPr>
                <w:sz w:val="18"/>
              </w:rPr>
              <w:t>Tutor/staff</w:t>
            </w:r>
          </w:p>
        </w:tc>
        <w:tc>
          <w:tcPr>
            <w:tcW w:w="7160" w:type="dxa"/>
            <w:tcMar>
              <w:top w:w="80" w:type="dxa"/>
              <w:left w:w="120" w:type="dxa"/>
              <w:bottom w:w="80" w:type="dxa"/>
              <w:right w:w="120" w:type="dxa"/>
            </w:tcMar>
            <w:vAlign w:val="center"/>
          </w:tcPr>
          <w:p w14:paraId="1F0484BD" w14:textId="77777777">
            <w:pPr>
              <w:spacing w:after="0" w:line="269" w:lineRule="auto"/>
            </w:pPr>
            <w:r>
              <w:rPr>
                <w:sz w:val="18"/>
              </w:rPr>
              <w:t>Own profile, records and actions; no QA Hub unless explicitly entitled.</w:t>
            </w:r>
          </w:p>
        </w:tc>
      </w:tr>
      <w:tr w14:paraId="52883F34" w14:textId="77777777">
        <w:trPr>
          <w:cantSplit/>
        </w:trPr>
        <w:tc>
          <w:tcPr>
            <w:tcW w:w="2200" w:type="dxa"/>
            <w:tcMar>
              <w:top w:w="80" w:type="dxa"/>
              <w:left w:w="120" w:type="dxa"/>
              <w:bottom w:w="80" w:type="dxa"/>
              <w:right w:w="120" w:type="dxa"/>
            </w:tcMar>
            <w:vAlign w:val="center"/>
          </w:tcPr>
          <w:p w14:paraId="3C5B5CB2" w14:textId="77777777">
            <w:pPr>
              <w:spacing w:after="0" w:line="269" w:lineRule="auto"/>
            </w:pPr>
            <w:r>
              <w:rPr>
                <w:sz w:val="18"/>
              </w:rPr>
              <w:t>ALS leadership</w:t>
            </w:r>
          </w:p>
        </w:tc>
        <w:tc>
          <w:tcPr>
            <w:tcW w:w="7160" w:type="dxa"/>
            <w:tcMar>
              <w:top w:w="80" w:type="dxa"/>
              <w:left w:w="120" w:type="dxa"/>
              <w:bottom w:w="80" w:type="dxa"/>
              <w:right w:w="120" w:type="dxa"/>
            </w:tcMar>
            <w:vAlign w:val="center"/>
          </w:tcPr>
          <w:p w14:paraId="17FFFC8C" w14:textId="77777777">
            <w:pPr>
              <w:spacing w:after="0" w:line="269" w:lineRule="auto"/>
            </w:pPr>
            <w:r>
              <w:rPr>
                <w:sz w:val="18"/>
              </w:rPr>
              <w:t>Expected ALS-specific LIV/Learning Walk access and scoped reporting.</w:t>
            </w:r>
          </w:p>
        </w:tc>
      </w:tr>
    </w:tbl>
    <w:p w14:paraId="4FED9E82" w14:textId="77777777">
      <w:pPr>
        <w:spacing w:after="20"/>
      </w:pPr>
    </w:p>
    <w:p w14:paraId="69E6BB4A" w14:textId="77777777">
      <w:pPr>
        <w:pStyle w:val="Heading2"/>
      </w:pPr>
      <w:r>
        <w:t>Functional acceptance</w:t>
      </w:r>
    </w:p>
    <w:p w14:paraId="53ABEC75" w14:textId="77777777">
      <w:pPr>
        <w:spacing w:after="80"/>
        <w:ind w:left="29"/>
      </w:pPr>
      <w:r>
        <w:rPr>
          <w:b/>
          <w:color w:val="2CB5A9"/>
        </w:rPr>
        <w:t>☐</w:t>
      </w:r>
      <w:r>
        <w:rPr>
          <w:b/>
          <w:color w:val="2CB5A9"/>
        </w:rPr>
        <w:t xml:space="preserve">  </w:t>
      </w:r>
      <w:r>
        <w:t>Staff profile, badges and CPD records display correctly and exports open.</w:t>
      </w:r>
    </w:p>
    <w:p w14:paraId="059B37E6" w14:textId="77777777">
      <w:pPr>
        <w:spacing w:after="80"/>
        <w:ind w:left="29"/>
      </w:pPr>
      <w:r>
        <w:rPr>
          <w:b/>
          <w:color w:val="2CB5A9"/>
        </w:rPr>
        <w:t>☐</w:t>
      </w:r>
      <w:r>
        <w:rPr>
          <w:b/>
          <w:color w:val="2CB5A9"/>
        </w:rPr>
        <w:t xml:space="preserve">  </w:t>
      </w:r>
      <w:r>
        <w:t>Learning Walk, Work Scrutiny, LIV, probation and Elevate Learning Environment workflows save, submit and reopen only as designed.</w:t>
      </w:r>
    </w:p>
    <w:p w14:paraId="2EBC1B8B" w14:textId="77777777">
      <w:pPr>
        <w:spacing w:after="80"/>
        <w:ind w:left="29"/>
      </w:pPr>
      <w:r>
        <w:rPr>
          <w:b/>
          <w:color w:val="2CB5A9"/>
        </w:rPr>
        <w:t>☐</w:t>
      </w:r>
      <w:r>
        <w:rPr>
          <w:b/>
          <w:color w:val="2CB5A9"/>
        </w:rPr>
        <w:t xml:space="preserve">  </w:t>
      </w:r>
      <w:r>
        <w:t>QA review setup, question tagging, activity evidence, all-team allocation, dashboard distributions/drill-down, closure, reports and actions work.</w:t>
      </w:r>
    </w:p>
    <w:p w14:paraId="017964B0" w14:textId="77777777">
      <w:pPr>
        <w:spacing w:after="80"/>
        <w:ind w:left="29"/>
      </w:pPr>
      <w:r>
        <w:rPr>
          <w:b/>
          <w:color w:val="2CB5A9"/>
        </w:rPr>
        <w:t>☐</w:t>
      </w:r>
      <w:r>
        <w:rPr>
          <w:b/>
          <w:color w:val="2CB5A9"/>
        </w:rPr>
        <w:t xml:space="preserve">  </w:t>
      </w:r>
      <w:r>
        <w:t>Closed QA reviews lock evidence; action monitoring and staff-profile provenance are correct.</w:t>
      </w:r>
    </w:p>
    <w:p w14:paraId="29186877" w14:textId="77777777">
      <w:pPr>
        <w:spacing w:after="80"/>
        <w:ind w:left="29"/>
      </w:pPr>
      <w:r>
        <w:rPr>
          <w:b/>
          <w:color w:val="2CB5A9"/>
        </w:rPr>
        <w:t>☐</w:t>
      </w:r>
      <w:r>
        <w:rPr>
          <w:b/>
          <w:color w:val="2CB5A9"/>
        </w:rPr>
        <w:t xml:space="preserve">  </w:t>
      </w:r>
      <w:r>
        <w:t>Excel, PDF and Word reports supported by each process open correctly and contain only the viewer's permitted faculty/team data.</w:t>
      </w:r>
    </w:p>
    <w:p w14:paraId="286C5D5F" w14:textId="77777777">
      <w:pPr>
        <w:spacing w:after="80"/>
        <w:ind w:left="29"/>
      </w:pPr>
      <w:r>
        <w:rPr>
          <w:b/>
          <w:color w:val="2CB5A9"/>
        </w:rPr>
        <w:t>☐</w:t>
      </w:r>
      <w:r>
        <w:rPr>
          <w:b/>
          <w:color w:val="2CB5A9"/>
        </w:rPr>
        <w:t xml:space="preserve">  </w:t>
      </w:r>
      <w:r>
        <w:t>Audit rows are written for tested mutations, corrections, removals, closures and reopen actions.</w:t>
      </w:r>
    </w:p>
    <w:p w14:paraId="6046D712" w14:textId="77777777">
      <w:pPr>
        <w:spacing w:after="80"/>
        <w:ind w:left="29"/>
      </w:pPr>
      <w:r>
        <w:rPr>
          <w:b/>
          <w:color w:val="2CB5A9"/>
        </w:rPr>
        <w:t>☐</w:t>
      </w:r>
      <w:r>
        <w:rPr>
          <w:b/>
          <w:color w:val="2CB5A9"/>
        </w:rPr>
        <w:t xml:space="preserve">  </w:t>
      </w:r>
      <w:r>
        <w:t>Keyboard navigation, focus order, contrast, tablet layout and common staff browsers have no blocking issue.</w:t>
      </w:r>
    </w:p>
    <w:p w14:paraId="18B5AFA9" w14:textId="77777777">
      <w:pPr>
        <w:pStyle w:val="Heading2"/>
      </w:pPr>
      <w:r>
        <w:t>Pilot and launch sequence</w:t>
      </w:r>
    </w:p>
    <w:p w14:paraId="0D20A796" w14:textId="77777777">
      <w:pPr>
        <w:numPr>
          <w:ilvl w:val="0"/>
          <w:numId w:val="13"/>
        </w:numPr>
      </w:pPr>
      <w:r>
        <w:t>Pilot with the product owner, one administrator, Teaching &amp; Learning, one Head of Faculty, one Programme Leader, one QA Staff user and one Tutor using realistic but clearly marked pilot records.</w:t>
      </w:r>
    </w:p>
    <w:p w14:paraId="38C9DA05" w14:textId="77777777">
      <w:pPr>
        <w:numPr>
          <w:ilvl w:val="0"/>
          <w:numId w:val="13"/>
        </w:numPr>
      </w:pPr>
      <w:r>
        <w:t>Run the permission leakage tests from direct URLs and APIs, not only menus. Obtain formal acceptance from product, technical, data and service owners.</w:t>
      </w:r>
    </w:p>
    <w:p w14:paraId="32BDB1F5" w14:textId="77777777">
      <w:pPr>
        <w:numPr>
          <w:ilvl w:val="0"/>
          <w:numId w:val="13"/>
        </w:numPr>
      </w:pPr>
      <w:r>
        <w:t>Remove pilot/test accounts or data unless they are legitimate retained production records. Recheck dashboards and actions after cleanup.</w:t>
      </w:r>
    </w:p>
    <w:p w14:paraId="3260CA10" w14:textId="77777777">
      <w:pPr>
        <w:numPr>
          <w:ilvl w:val="0"/>
          <w:numId w:val="13"/>
        </w:numPr>
      </w:pPr>
      <w:r>
        <w:t>Open Entra assignment to the approved staff group in the agreed launch window. Publish the final URL and short staff guidance.</w:t>
      </w:r>
    </w:p>
    <w:p w14:paraId="46349B48" w14:textId="77777777">
      <w:pPr>
        <w:numPr>
          <w:ilvl w:val="0"/>
          <w:numId w:val="13"/>
        </w:numPr>
      </w:pPr>
      <w:r>
        <w:t>Monitor sign-ins, 401/403/500 rates, SQL health and support contacts closely during the first day and first week. Record launch outcomes and any accepted defects.</w:t>
      </w:r>
    </w:p>
    <w:p w14:paraId="6B360055" w14:textId="77777777">
      <w:pPr>
        <w:pStyle w:val="SmallNote"/>
      </w:pPr>
      <w:r>
        <w:rPr>
          <w:b/>
        </w:rPr>
        <w:t xml:space="preserve">Repository reference: </w:t>
      </w:r>
      <w:r>
        <w:rPr>
          <w:rFonts w:ascii="Consolas" w:eastAsia="Consolas" w:hAnsi="Consolas"/>
          <w:color w:val="1F4D78"/>
          <w:sz w:val="17"/>
        </w:rPr>
        <w:t>docs/deployment/v1-readiness.md</w:t>
      </w:r>
      <w:r>
        <w:t xml:space="preserve">  •  </w:t>
      </w:r>
      <w:r>
        <w:rPr>
          <w:rFonts w:ascii="Consolas" w:eastAsia="Consolas" w:hAnsi="Consolas"/>
          <w:color w:val="1F4D78"/>
          <w:sz w:val="17"/>
        </w:rPr>
        <w:t>tests/access-control</w:t>
      </w:r>
    </w:p>
    <w:p w14:paraId="11B79B4B" w14:textId="77777777">
      <w:pPr>
        <w:pStyle w:val="Heading1"/>
      </w:pPr>
      <w:bookmarkStart w:id="15" w:name="operations"/>
      <w:r>
        <w:lastRenderedPageBreak/>
        <w:t>14. Operate the live service</w:t>
      </w:r>
      <w:bookmarkEnd w:id="15"/>
    </w:p>
    <w:p w14:paraId="4BCD3AA0" w14:textId="77777777">
      <w:pPr>
        <w:pStyle w:val="Heading2"/>
      </w:pPr>
      <w:r>
        <w:t>Minimum monitoring</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100"/>
        <w:gridCol w:w="5150"/>
        <w:gridCol w:w="2110"/>
      </w:tblGrid>
      <w:tr w14:paraId="006F8EA5" w14:textId="77777777">
        <w:trPr>
          <w:cantSplit/>
          <w:tblHeader/>
        </w:trPr>
        <w:tc>
          <w:tcPr>
            <w:tcW w:w="2100" w:type="dxa"/>
            <w:shd w:val="clear" w:color="auto" w:fill="E8EEF5"/>
            <w:tcMar>
              <w:top w:w="80" w:type="dxa"/>
              <w:left w:w="120" w:type="dxa"/>
              <w:bottom w:w="80" w:type="dxa"/>
              <w:right w:w="120" w:type="dxa"/>
            </w:tcMar>
            <w:vAlign w:val="center"/>
          </w:tcPr>
          <w:p w14:paraId="1B4EF6AD" w14:textId="77777777">
            <w:pPr>
              <w:spacing w:after="0"/>
            </w:pPr>
            <w:r>
              <w:rPr>
                <w:b/>
                <w:color w:val="0B2545"/>
                <w:sz w:val="19"/>
              </w:rPr>
              <w:t>Signal</w:t>
            </w:r>
          </w:p>
        </w:tc>
        <w:tc>
          <w:tcPr>
            <w:tcW w:w="5150" w:type="dxa"/>
            <w:shd w:val="clear" w:color="auto" w:fill="E8EEF5"/>
            <w:tcMar>
              <w:top w:w="80" w:type="dxa"/>
              <w:left w:w="120" w:type="dxa"/>
              <w:bottom w:w="80" w:type="dxa"/>
              <w:right w:w="120" w:type="dxa"/>
            </w:tcMar>
            <w:vAlign w:val="center"/>
          </w:tcPr>
          <w:p w14:paraId="3F5A0990" w14:textId="77777777">
            <w:pPr>
              <w:spacing w:after="0"/>
            </w:pPr>
            <w:r>
              <w:rPr>
                <w:b/>
                <w:color w:val="0B2545"/>
                <w:sz w:val="19"/>
              </w:rPr>
              <w:t>Suggested alert / review</w:t>
            </w:r>
          </w:p>
        </w:tc>
        <w:tc>
          <w:tcPr>
            <w:tcW w:w="2110" w:type="dxa"/>
            <w:shd w:val="clear" w:color="auto" w:fill="E8EEF5"/>
            <w:tcMar>
              <w:top w:w="80" w:type="dxa"/>
              <w:left w:w="120" w:type="dxa"/>
              <w:bottom w:w="80" w:type="dxa"/>
              <w:right w:w="120" w:type="dxa"/>
            </w:tcMar>
            <w:vAlign w:val="center"/>
          </w:tcPr>
          <w:p w14:paraId="7C2DB46C" w14:textId="77777777">
            <w:pPr>
              <w:spacing w:after="0"/>
            </w:pPr>
            <w:r>
              <w:rPr>
                <w:b/>
                <w:color w:val="0B2545"/>
                <w:sz w:val="19"/>
              </w:rPr>
              <w:t>First owner</w:t>
            </w:r>
          </w:p>
        </w:tc>
      </w:tr>
      <w:tr w14:paraId="628C01EF" w14:textId="77777777">
        <w:trPr>
          <w:cantSplit/>
        </w:trPr>
        <w:tc>
          <w:tcPr>
            <w:tcW w:w="2100" w:type="dxa"/>
            <w:tcMar>
              <w:top w:w="80" w:type="dxa"/>
              <w:left w:w="120" w:type="dxa"/>
              <w:bottom w:w="80" w:type="dxa"/>
              <w:right w:w="120" w:type="dxa"/>
            </w:tcMar>
            <w:vAlign w:val="center"/>
          </w:tcPr>
          <w:p w14:paraId="52C009B6" w14:textId="77777777">
            <w:pPr>
              <w:spacing w:after="0" w:line="269" w:lineRule="auto"/>
            </w:pPr>
            <w:r>
              <w:rPr>
                <w:sz w:val="18"/>
              </w:rPr>
              <w:t>External availability</w:t>
            </w:r>
          </w:p>
        </w:tc>
        <w:tc>
          <w:tcPr>
            <w:tcW w:w="5150" w:type="dxa"/>
            <w:tcMar>
              <w:top w:w="80" w:type="dxa"/>
              <w:left w:w="120" w:type="dxa"/>
              <w:bottom w:w="80" w:type="dxa"/>
              <w:right w:w="120" w:type="dxa"/>
            </w:tcMar>
            <w:vAlign w:val="center"/>
          </w:tcPr>
          <w:p w14:paraId="2C4166AF" w14:textId="77777777">
            <w:pPr>
              <w:spacing w:after="0" w:line="269" w:lineRule="auto"/>
            </w:pPr>
            <w:r>
              <w:rPr>
                <w:sz w:val="18"/>
              </w:rPr>
              <w:t>Application Insights availability test against /health/ready; alert on repeated failures from multiple locations.</w:t>
            </w:r>
          </w:p>
        </w:tc>
        <w:tc>
          <w:tcPr>
            <w:tcW w:w="2110" w:type="dxa"/>
            <w:tcMar>
              <w:top w:w="80" w:type="dxa"/>
              <w:left w:w="120" w:type="dxa"/>
              <w:bottom w:w="80" w:type="dxa"/>
              <w:right w:w="120" w:type="dxa"/>
            </w:tcMar>
            <w:vAlign w:val="center"/>
          </w:tcPr>
          <w:p w14:paraId="640D052A" w14:textId="77777777">
            <w:pPr>
              <w:spacing w:after="0" w:line="269" w:lineRule="auto"/>
            </w:pPr>
            <w:r>
              <w:rPr>
                <w:sz w:val="18"/>
              </w:rPr>
              <w:t>Service desk / application support</w:t>
            </w:r>
          </w:p>
        </w:tc>
      </w:tr>
      <w:tr w14:paraId="23813469" w14:textId="77777777">
        <w:trPr>
          <w:cantSplit/>
        </w:trPr>
        <w:tc>
          <w:tcPr>
            <w:tcW w:w="2100" w:type="dxa"/>
            <w:tcMar>
              <w:top w:w="80" w:type="dxa"/>
              <w:left w:w="120" w:type="dxa"/>
              <w:bottom w:w="80" w:type="dxa"/>
              <w:right w:w="120" w:type="dxa"/>
            </w:tcMar>
            <w:vAlign w:val="center"/>
          </w:tcPr>
          <w:p w14:paraId="30331A52" w14:textId="77777777">
            <w:pPr>
              <w:spacing w:after="0" w:line="269" w:lineRule="auto"/>
            </w:pPr>
            <w:r>
              <w:rPr>
                <w:sz w:val="18"/>
              </w:rPr>
              <w:t>HTTP 5xx</w:t>
            </w:r>
          </w:p>
        </w:tc>
        <w:tc>
          <w:tcPr>
            <w:tcW w:w="5150" w:type="dxa"/>
            <w:tcMar>
              <w:top w:w="80" w:type="dxa"/>
              <w:left w:w="120" w:type="dxa"/>
              <w:bottom w:w="80" w:type="dxa"/>
              <w:right w:w="120" w:type="dxa"/>
            </w:tcMar>
            <w:vAlign w:val="center"/>
          </w:tcPr>
          <w:p w14:paraId="3385963B" w14:textId="77777777">
            <w:pPr>
              <w:spacing w:after="0" w:line="269" w:lineRule="auto"/>
            </w:pPr>
            <w:r>
              <w:rPr>
                <w:sz w:val="18"/>
              </w:rPr>
              <w:t>Alert on sustained count/rate and inspect correlated exceptions/traces.</w:t>
            </w:r>
          </w:p>
        </w:tc>
        <w:tc>
          <w:tcPr>
            <w:tcW w:w="2110" w:type="dxa"/>
            <w:tcMar>
              <w:top w:w="80" w:type="dxa"/>
              <w:left w:w="120" w:type="dxa"/>
              <w:bottom w:w="80" w:type="dxa"/>
              <w:right w:w="120" w:type="dxa"/>
            </w:tcMar>
            <w:vAlign w:val="center"/>
          </w:tcPr>
          <w:p w14:paraId="26E11221" w14:textId="77777777">
            <w:pPr>
              <w:spacing w:after="0" w:line="269" w:lineRule="auto"/>
            </w:pPr>
            <w:r>
              <w:rPr>
                <w:sz w:val="18"/>
              </w:rPr>
              <w:t>Application support</w:t>
            </w:r>
          </w:p>
        </w:tc>
      </w:tr>
      <w:tr w14:paraId="1EBC7635" w14:textId="77777777">
        <w:trPr>
          <w:cantSplit/>
        </w:trPr>
        <w:tc>
          <w:tcPr>
            <w:tcW w:w="2100" w:type="dxa"/>
            <w:tcMar>
              <w:top w:w="80" w:type="dxa"/>
              <w:left w:w="120" w:type="dxa"/>
              <w:bottom w:w="80" w:type="dxa"/>
              <w:right w:w="120" w:type="dxa"/>
            </w:tcMar>
            <w:vAlign w:val="center"/>
          </w:tcPr>
          <w:p w14:paraId="2EC4715E" w14:textId="77777777">
            <w:pPr>
              <w:spacing w:after="0" w:line="269" w:lineRule="auto"/>
            </w:pPr>
            <w:r>
              <w:rPr>
                <w:sz w:val="18"/>
              </w:rPr>
              <w:t>Readiness / DB dependency</w:t>
            </w:r>
          </w:p>
        </w:tc>
        <w:tc>
          <w:tcPr>
            <w:tcW w:w="5150" w:type="dxa"/>
            <w:tcMar>
              <w:top w:w="80" w:type="dxa"/>
              <w:left w:w="120" w:type="dxa"/>
              <w:bottom w:w="80" w:type="dxa"/>
              <w:right w:w="120" w:type="dxa"/>
            </w:tcMar>
            <w:vAlign w:val="center"/>
          </w:tcPr>
          <w:p w14:paraId="413DF917" w14:textId="77777777">
            <w:pPr>
              <w:spacing w:after="0" w:line="269" w:lineRule="auto"/>
            </w:pPr>
            <w:r>
              <w:rPr>
                <w:sz w:val="18"/>
              </w:rPr>
              <w:t>Alert on 503 and failed SQL dependency calls.</w:t>
            </w:r>
          </w:p>
        </w:tc>
        <w:tc>
          <w:tcPr>
            <w:tcW w:w="2110" w:type="dxa"/>
            <w:tcMar>
              <w:top w:w="80" w:type="dxa"/>
              <w:left w:w="120" w:type="dxa"/>
              <w:bottom w:w="80" w:type="dxa"/>
              <w:right w:w="120" w:type="dxa"/>
            </w:tcMar>
            <w:vAlign w:val="center"/>
          </w:tcPr>
          <w:p w14:paraId="0189CE50" w14:textId="77777777">
            <w:pPr>
              <w:spacing w:after="0" w:line="269" w:lineRule="auto"/>
            </w:pPr>
            <w:r>
              <w:rPr>
                <w:sz w:val="18"/>
              </w:rPr>
              <w:t>Application + DBA</w:t>
            </w:r>
          </w:p>
        </w:tc>
      </w:tr>
      <w:tr w14:paraId="12E23313" w14:textId="77777777">
        <w:trPr>
          <w:cantSplit/>
        </w:trPr>
        <w:tc>
          <w:tcPr>
            <w:tcW w:w="2100" w:type="dxa"/>
            <w:tcMar>
              <w:top w:w="80" w:type="dxa"/>
              <w:left w:w="120" w:type="dxa"/>
              <w:bottom w:w="80" w:type="dxa"/>
              <w:right w:w="120" w:type="dxa"/>
            </w:tcMar>
            <w:vAlign w:val="center"/>
          </w:tcPr>
          <w:p w14:paraId="3F0F8A00" w14:textId="77777777">
            <w:pPr>
              <w:spacing w:after="0" w:line="269" w:lineRule="auto"/>
            </w:pPr>
            <w:r>
              <w:rPr>
                <w:sz w:val="18"/>
              </w:rPr>
              <w:t>App capacity</w:t>
            </w:r>
          </w:p>
        </w:tc>
        <w:tc>
          <w:tcPr>
            <w:tcW w:w="5150" w:type="dxa"/>
            <w:tcMar>
              <w:top w:w="80" w:type="dxa"/>
              <w:left w:w="120" w:type="dxa"/>
              <w:bottom w:w="80" w:type="dxa"/>
              <w:right w:w="120" w:type="dxa"/>
            </w:tcMar>
            <w:vAlign w:val="center"/>
          </w:tcPr>
          <w:p w14:paraId="522DF090" w14:textId="77777777">
            <w:pPr>
              <w:spacing w:after="0" w:line="269" w:lineRule="auto"/>
            </w:pPr>
            <w:r>
              <w:rPr>
                <w:sz w:val="18"/>
              </w:rPr>
              <w:t>CPU, memory, response time, requests, restarts and health status.</w:t>
            </w:r>
          </w:p>
        </w:tc>
        <w:tc>
          <w:tcPr>
            <w:tcW w:w="2110" w:type="dxa"/>
            <w:tcMar>
              <w:top w:w="80" w:type="dxa"/>
              <w:left w:w="120" w:type="dxa"/>
              <w:bottom w:w="80" w:type="dxa"/>
              <w:right w:w="120" w:type="dxa"/>
            </w:tcMar>
            <w:vAlign w:val="center"/>
          </w:tcPr>
          <w:p w14:paraId="47729C47" w14:textId="77777777">
            <w:pPr>
              <w:spacing w:after="0" w:line="269" w:lineRule="auto"/>
            </w:pPr>
            <w:r>
              <w:rPr>
                <w:sz w:val="18"/>
              </w:rPr>
              <w:t>Azure platform</w:t>
            </w:r>
          </w:p>
        </w:tc>
      </w:tr>
      <w:tr w14:paraId="02227A74" w14:textId="77777777">
        <w:trPr>
          <w:cantSplit/>
        </w:trPr>
        <w:tc>
          <w:tcPr>
            <w:tcW w:w="2100" w:type="dxa"/>
            <w:tcMar>
              <w:top w:w="80" w:type="dxa"/>
              <w:left w:w="120" w:type="dxa"/>
              <w:bottom w:w="80" w:type="dxa"/>
              <w:right w:w="120" w:type="dxa"/>
            </w:tcMar>
            <w:vAlign w:val="center"/>
          </w:tcPr>
          <w:p w14:paraId="0ACE2D3B" w14:textId="77777777">
            <w:pPr>
              <w:spacing w:after="0" w:line="269" w:lineRule="auto"/>
            </w:pPr>
            <w:r>
              <w:rPr>
                <w:sz w:val="18"/>
              </w:rPr>
              <w:t>SQL capacity</w:t>
            </w:r>
          </w:p>
        </w:tc>
        <w:tc>
          <w:tcPr>
            <w:tcW w:w="5150" w:type="dxa"/>
            <w:tcMar>
              <w:top w:w="80" w:type="dxa"/>
              <w:left w:w="120" w:type="dxa"/>
              <w:bottom w:w="80" w:type="dxa"/>
              <w:right w:w="120" w:type="dxa"/>
            </w:tcMar>
            <w:vAlign w:val="center"/>
          </w:tcPr>
          <w:p w14:paraId="22A9F54B" w14:textId="77777777">
            <w:pPr>
              <w:spacing w:after="0" w:line="269" w:lineRule="auto"/>
            </w:pPr>
            <w:r>
              <w:rPr>
                <w:sz w:val="18"/>
              </w:rPr>
              <w:t>vCore/CPU, storage, sessions, failures, blocking/deadlocks and resume latency.</w:t>
            </w:r>
          </w:p>
        </w:tc>
        <w:tc>
          <w:tcPr>
            <w:tcW w:w="2110" w:type="dxa"/>
            <w:tcMar>
              <w:top w:w="80" w:type="dxa"/>
              <w:left w:w="120" w:type="dxa"/>
              <w:bottom w:w="80" w:type="dxa"/>
              <w:right w:w="120" w:type="dxa"/>
            </w:tcMar>
            <w:vAlign w:val="center"/>
          </w:tcPr>
          <w:p w14:paraId="6D34154F" w14:textId="77777777">
            <w:pPr>
              <w:spacing w:after="0" w:line="269" w:lineRule="auto"/>
            </w:pPr>
            <w:r>
              <w:rPr>
                <w:sz w:val="18"/>
              </w:rPr>
              <w:t>DBA</w:t>
            </w:r>
          </w:p>
        </w:tc>
      </w:tr>
      <w:tr w14:paraId="3D346634" w14:textId="77777777">
        <w:trPr>
          <w:cantSplit/>
        </w:trPr>
        <w:tc>
          <w:tcPr>
            <w:tcW w:w="2100" w:type="dxa"/>
            <w:tcMar>
              <w:top w:w="80" w:type="dxa"/>
              <w:left w:w="120" w:type="dxa"/>
              <w:bottom w:w="80" w:type="dxa"/>
              <w:right w:w="120" w:type="dxa"/>
            </w:tcMar>
            <w:vAlign w:val="center"/>
          </w:tcPr>
          <w:p w14:paraId="7FC06644" w14:textId="77777777">
            <w:pPr>
              <w:spacing w:after="0" w:line="269" w:lineRule="auto"/>
            </w:pPr>
            <w:r>
              <w:rPr>
                <w:sz w:val="18"/>
              </w:rPr>
              <w:t>Backups</w:t>
            </w:r>
          </w:p>
        </w:tc>
        <w:tc>
          <w:tcPr>
            <w:tcW w:w="5150" w:type="dxa"/>
            <w:tcMar>
              <w:top w:w="80" w:type="dxa"/>
              <w:left w:w="120" w:type="dxa"/>
              <w:bottom w:w="80" w:type="dxa"/>
              <w:right w:w="120" w:type="dxa"/>
            </w:tcMar>
            <w:vAlign w:val="center"/>
          </w:tcPr>
          <w:p w14:paraId="13202C67" w14:textId="77777777">
            <w:pPr>
              <w:spacing w:after="0" w:line="269" w:lineRule="auto"/>
            </w:pPr>
            <w:r>
              <w:rPr>
                <w:sz w:val="18"/>
              </w:rPr>
              <w:t>Verify configured retention and backup health; alert on policy failures.</w:t>
            </w:r>
          </w:p>
        </w:tc>
        <w:tc>
          <w:tcPr>
            <w:tcW w:w="2110" w:type="dxa"/>
            <w:tcMar>
              <w:top w:w="80" w:type="dxa"/>
              <w:left w:w="120" w:type="dxa"/>
              <w:bottom w:w="80" w:type="dxa"/>
              <w:right w:w="120" w:type="dxa"/>
            </w:tcMar>
            <w:vAlign w:val="center"/>
          </w:tcPr>
          <w:p w14:paraId="545432F9" w14:textId="77777777">
            <w:pPr>
              <w:spacing w:after="0" w:line="269" w:lineRule="auto"/>
            </w:pPr>
            <w:r>
              <w:rPr>
                <w:sz w:val="18"/>
              </w:rPr>
              <w:t>DBA</w:t>
            </w:r>
          </w:p>
        </w:tc>
      </w:tr>
      <w:tr w14:paraId="25A0C5F0" w14:textId="77777777">
        <w:trPr>
          <w:cantSplit/>
        </w:trPr>
        <w:tc>
          <w:tcPr>
            <w:tcW w:w="2100" w:type="dxa"/>
            <w:tcMar>
              <w:top w:w="80" w:type="dxa"/>
              <w:left w:w="120" w:type="dxa"/>
              <w:bottom w:w="80" w:type="dxa"/>
              <w:right w:w="120" w:type="dxa"/>
            </w:tcMar>
            <w:vAlign w:val="center"/>
          </w:tcPr>
          <w:p w14:paraId="1E41BA60" w14:textId="77777777">
            <w:pPr>
              <w:spacing w:after="0" w:line="269" w:lineRule="auto"/>
            </w:pPr>
            <w:r>
              <w:rPr>
                <w:sz w:val="18"/>
              </w:rPr>
              <w:t>Cost</w:t>
            </w:r>
          </w:p>
        </w:tc>
        <w:tc>
          <w:tcPr>
            <w:tcW w:w="5150" w:type="dxa"/>
            <w:tcMar>
              <w:top w:w="80" w:type="dxa"/>
              <w:left w:w="120" w:type="dxa"/>
              <w:bottom w:w="80" w:type="dxa"/>
              <w:right w:w="120" w:type="dxa"/>
            </w:tcMar>
            <w:vAlign w:val="center"/>
          </w:tcPr>
          <w:p w14:paraId="5A97B46A" w14:textId="77777777">
            <w:pPr>
              <w:spacing w:after="0" w:line="269" w:lineRule="auto"/>
            </w:pPr>
            <w:r>
              <w:rPr>
                <w:sz w:val="18"/>
              </w:rPr>
              <w:t>Actual and forecast budget thresholds plus anomaly review.</w:t>
            </w:r>
          </w:p>
        </w:tc>
        <w:tc>
          <w:tcPr>
            <w:tcW w:w="2110" w:type="dxa"/>
            <w:tcMar>
              <w:top w:w="80" w:type="dxa"/>
              <w:left w:w="120" w:type="dxa"/>
              <w:bottom w:w="80" w:type="dxa"/>
              <w:right w:w="120" w:type="dxa"/>
            </w:tcMar>
            <w:vAlign w:val="center"/>
          </w:tcPr>
          <w:p w14:paraId="08F1218D" w14:textId="77777777">
            <w:pPr>
              <w:spacing w:after="0" w:line="269" w:lineRule="auto"/>
            </w:pPr>
            <w:r>
              <w:rPr>
                <w:sz w:val="18"/>
              </w:rPr>
              <w:t>Service owner / finance</w:t>
            </w:r>
          </w:p>
        </w:tc>
      </w:tr>
      <w:tr w14:paraId="543A71FA" w14:textId="77777777">
        <w:trPr>
          <w:cantSplit/>
        </w:trPr>
        <w:tc>
          <w:tcPr>
            <w:tcW w:w="2100" w:type="dxa"/>
            <w:tcMar>
              <w:top w:w="80" w:type="dxa"/>
              <w:left w:w="120" w:type="dxa"/>
              <w:bottom w:w="80" w:type="dxa"/>
              <w:right w:w="120" w:type="dxa"/>
            </w:tcMar>
            <w:vAlign w:val="center"/>
          </w:tcPr>
          <w:p w14:paraId="23D64601" w14:textId="77777777">
            <w:pPr>
              <w:spacing w:after="0" w:line="269" w:lineRule="auto"/>
            </w:pPr>
            <w:r>
              <w:rPr>
                <w:sz w:val="18"/>
              </w:rPr>
              <w:t>Azure incidents</w:t>
            </w:r>
          </w:p>
        </w:tc>
        <w:tc>
          <w:tcPr>
            <w:tcW w:w="5150" w:type="dxa"/>
            <w:tcMar>
              <w:top w:w="80" w:type="dxa"/>
              <w:left w:w="120" w:type="dxa"/>
              <w:bottom w:w="80" w:type="dxa"/>
              <w:right w:w="120" w:type="dxa"/>
            </w:tcMar>
            <w:vAlign w:val="center"/>
          </w:tcPr>
          <w:p w14:paraId="6E486895" w14:textId="77777777">
            <w:pPr>
              <w:spacing w:after="0" w:line="269" w:lineRule="auto"/>
            </w:pPr>
            <w:r>
              <w:rPr>
                <w:sz w:val="18"/>
              </w:rPr>
              <w:t>Service Health and Resource Health alerts for the subscription/resources.</w:t>
            </w:r>
          </w:p>
        </w:tc>
        <w:tc>
          <w:tcPr>
            <w:tcW w:w="2110" w:type="dxa"/>
            <w:tcMar>
              <w:top w:w="80" w:type="dxa"/>
              <w:left w:w="120" w:type="dxa"/>
              <w:bottom w:w="80" w:type="dxa"/>
              <w:right w:w="120" w:type="dxa"/>
            </w:tcMar>
            <w:vAlign w:val="center"/>
          </w:tcPr>
          <w:p w14:paraId="6AE0FC42" w14:textId="77777777">
            <w:pPr>
              <w:spacing w:after="0" w:line="269" w:lineRule="auto"/>
            </w:pPr>
            <w:r>
              <w:rPr>
                <w:sz w:val="18"/>
              </w:rPr>
              <w:t>Azure platform</w:t>
            </w:r>
          </w:p>
        </w:tc>
      </w:tr>
    </w:tbl>
    <w:p w14:paraId="6133635A" w14:textId="77777777">
      <w:pPr>
        <w:spacing w:after="20"/>
      </w:pPr>
    </w:p>
    <w:p w14:paraId="0B77643E" w14:textId="77777777">
      <w:pPr>
        <w:pStyle w:val="Heading2"/>
      </w:pPr>
      <w:r>
        <w:t>Daily, weekly and monthly rhythm</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00"/>
        <w:gridCol w:w="7460"/>
      </w:tblGrid>
      <w:tr w14:paraId="7F52B4B6" w14:textId="77777777">
        <w:trPr>
          <w:cantSplit/>
          <w:tblHeader/>
        </w:trPr>
        <w:tc>
          <w:tcPr>
            <w:tcW w:w="1900" w:type="dxa"/>
            <w:shd w:val="clear" w:color="auto" w:fill="E8EEF5"/>
            <w:tcMar>
              <w:top w:w="80" w:type="dxa"/>
              <w:left w:w="120" w:type="dxa"/>
              <w:bottom w:w="80" w:type="dxa"/>
              <w:right w:w="120" w:type="dxa"/>
            </w:tcMar>
            <w:vAlign w:val="center"/>
          </w:tcPr>
          <w:p w14:paraId="7E4D4B41" w14:textId="77777777">
            <w:pPr>
              <w:spacing w:after="0"/>
            </w:pPr>
            <w:r>
              <w:rPr>
                <w:b/>
                <w:color w:val="0B2545"/>
                <w:sz w:val="19"/>
              </w:rPr>
              <w:t>Frequency</w:t>
            </w:r>
          </w:p>
        </w:tc>
        <w:tc>
          <w:tcPr>
            <w:tcW w:w="7460" w:type="dxa"/>
            <w:shd w:val="clear" w:color="auto" w:fill="E8EEF5"/>
            <w:tcMar>
              <w:top w:w="80" w:type="dxa"/>
              <w:left w:w="120" w:type="dxa"/>
              <w:bottom w:w="80" w:type="dxa"/>
              <w:right w:w="120" w:type="dxa"/>
            </w:tcMar>
            <w:vAlign w:val="center"/>
          </w:tcPr>
          <w:p w14:paraId="764CE74F" w14:textId="77777777">
            <w:pPr>
              <w:spacing w:after="0"/>
            </w:pPr>
            <w:r>
              <w:rPr>
                <w:b/>
                <w:color w:val="0B2545"/>
                <w:sz w:val="19"/>
              </w:rPr>
              <w:t>Checks</w:t>
            </w:r>
          </w:p>
        </w:tc>
      </w:tr>
      <w:tr w14:paraId="497EA330" w14:textId="77777777">
        <w:trPr>
          <w:cantSplit/>
        </w:trPr>
        <w:tc>
          <w:tcPr>
            <w:tcW w:w="1900" w:type="dxa"/>
            <w:tcMar>
              <w:top w:w="80" w:type="dxa"/>
              <w:left w:w="120" w:type="dxa"/>
              <w:bottom w:w="80" w:type="dxa"/>
              <w:right w:w="120" w:type="dxa"/>
            </w:tcMar>
            <w:vAlign w:val="center"/>
          </w:tcPr>
          <w:p w14:paraId="22EBA36E" w14:textId="77777777">
            <w:pPr>
              <w:spacing w:after="0" w:line="269" w:lineRule="auto"/>
            </w:pPr>
            <w:r>
              <w:rPr>
                <w:sz w:val="18"/>
              </w:rPr>
              <w:t>Daily / alert driven</w:t>
            </w:r>
          </w:p>
        </w:tc>
        <w:tc>
          <w:tcPr>
            <w:tcW w:w="7460" w:type="dxa"/>
            <w:tcMar>
              <w:top w:w="80" w:type="dxa"/>
              <w:left w:w="120" w:type="dxa"/>
              <w:bottom w:w="80" w:type="dxa"/>
              <w:right w:w="120" w:type="dxa"/>
            </w:tcMar>
            <w:vAlign w:val="center"/>
          </w:tcPr>
          <w:p w14:paraId="44E9696F" w14:textId="77777777">
            <w:pPr>
              <w:spacing w:after="0" w:line="269" w:lineRule="auto"/>
            </w:pPr>
            <w:r>
              <w:rPr>
                <w:sz w:val="18"/>
              </w:rPr>
              <w:t>Availability, failed requests, sign-in failures, readiness, SQL connectivity, platform incidents and urgent support tickets.</w:t>
            </w:r>
          </w:p>
        </w:tc>
      </w:tr>
      <w:tr w14:paraId="5A39A6E5" w14:textId="77777777">
        <w:trPr>
          <w:cantSplit/>
        </w:trPr>
        <w:tc>
          <w:tcPr>
            <w:tcW w:w="1900" w:type="dxa"/>
            <w:tcMar>
              <w:top w:w="80" w:type="dxa"/>
              <w:left w:w="120" w:type="dxa"/>
              <w:bottom w:w="80" w:type="dxa"/>
              <w:right w:w="120" w:type="dxa"/>
            </w:tcMar>
            <w:vAlign w:val="center"/>
          </w:tcPr>
          <w:p w14:paraId="1A473671" w14:textId="77777777">
            <w:pPr>
              <w:spacing w:after="0" w:line="269" w:lineRule="auto"/>
            </w:pPr>
            <w:r>
              <w:rPr>
                <w:sz w:val="18"/>
              </w:rPr>
              <w:t>Weekly</w:t>
            </w:r>
          </w:p>
        </w:tc>
        <w:tc>
          <w:tcPr>
            <w:tcW w:w="7460" w:type="dxa"/>
            <w:tcMar>
              <w:top w:w="80" w:type="dxa"/>
              <w:left w:w="120" w:type="dxa"/>
              <w:bottom w:w="80" w:type="dxa"/>
              <w:right w:w="120" w:type="dxa"/>
            </w:tcMar>
            <w:vAlign w:val="center"/>
          </w:tcPr>
          <w:p w14:paraId="390043E6" w14:textId="77777777">
            <w:pPr>
              <w:spacing w:after="0" w:line="269" w:lineRule="auto"/>
            </w:pPr>
            <w:r>
              <w:rPr>
                <w:sz w:val="18"/>
              </w:rPr>
              <w:t>Error trends, slow operations, database/storage growth, failed messages if later enabled, outstanding incidents and planned changes.</w:t>
            </w:r>
          </w:p>
        </w:tc>
      </w:tr>
      <w:tr w14:paraId="6A252997" w14:textId="77777777">
        <w:trPr>
          <w:cantSplit/>
        </w:trPr>
        <w:tc>
          <w:tcPr>
            <w:tcW w:w="1900" w:type="dxa"/>
            <w:tcMar>
              <w:top w:w="80" w:type="dxa"/>
              <w:left w:w="120" w:type="dxa"/>
              <w:bottom w:w="80" w:type="dxa"/>
              <w:right w:w="120" w:type="dxa"/>
            </w:tcMar>
            <w:vAlign w:val="center"/>
          </w:tcPr>
          <w:p w14:paraId="70C47EF2" w14:textId="77777777">
            <w:pPr>
              <w:spacing w:after="0" w:line="269" w:lineRule="auto"/>
            </w:pPr>
            <w:r>
              <w:rPr>
                <w:sz w:val="18"/>
              </w:rPr>
              <w:t>Monthly</w:t>
            </w:r>
          </w:p>
        </w:tc>
        <w:tc>
          <w:tcPr>
            <w:tcW w:w="7460" w:type="dxa"/>
            <w:tcMar>
              <w:top w:w="80" w:type="dxa"/>
              <w:left w:w="120" w:type="dxa"/>
              <w:bottom w:w="80" w:type="dxa"/>
              <w:right w:w="120" w:type="dxa"/>
            </w:tcMar>
            <w:vAlign w:val="center"/>
          </w:tcPr>
          <w:p w14:paraId="3D470F5D" w14:textId="77777777">
            <w:pPr>
              <w:spacing w:after="0" w:line="269" w:lineRule="auto"/>
            </w:pPr>
            <w:r>
              <w:rPr>
                <w:sz w:val="18"/>
              </w:rPr>
              <w:t>Cost vs budget, access/admin changes, runtime/dependency updates, backup retention, restore evidence, telemetry volume/retention and service KPIs.</w:t>
            </w:r>
          </w:p>
        </w:tc>
      </w:tr>
      <w:tr w14:paraId="326CD739" w14:textId="77777777">
        <w:trPr>
          <w:cantSplit/>
        </w:trPr>
        <w:tc>
          <w:tcPr>
            <w:tcW w:w="1900" w:type="dxa"/>
            <w:tcMar>
              <w:top w:w="80" w:type="dxa"/>
              <w:left w:w="120" w:type="dxa"/>
              <w:bottom w:w="80" w:type="dxa"/>
              <w:right w:w="120" w:type="dxa"/>
            </w:tcMar>
            <w:vAlign w:val="center"/>
          </w:tcPr>
          <w:p w14:paraId="2EB978A6" w14:textId="77777777">
            <w:pPr>
              <w:spacing w:after="0" w:line="269" w:lineRule="auto"/>
            </w:pPr>
            <w:r>
              <w:rPr>
                <w:sz w:val="18"/>
              </w:rPr>
              <w:t>Termly / quarterly</w:t>
            </w:r>
          </w:p>
        </w:tc>
        <w:tc>
          <w:tcPr>
            <w:tcW w:w="7460" w:type="dxa"/>
            <w:tcMar>
              <w:top w:w="80" w:type="dxa"/>
              <w:left w:w="120" w:type="dxa"/>
              <w:bottom w:w="80" w:type="dxa"/>
              <w:right w:w="120" w:type="dxa"/>
            </w:tcMar>
            <w:vAlign w:val="center"/>
          </w:tcPr>
          <w:p w14:paraId="1C563646" w14:textId="77777777">
            <w:pPr>
              <w:spacing w:after="0" w:line="269" w:lineRule="auto"/>
            </w:pPr>
            <w:r>
              <w:rPr>
                <w:sz w:val="18"/>
              </w:rPr>
              <w:t>Role/scope access review, Entra assignment review, app owners, privileged roles, staff/org data quality, disaster-recovery exercise and privacy retention.</w:t>
            </w:r>
          </w:p>
        </w:tc>
      </w:tr>
      <w:tr w14:paraId="2B414CA4" w14:textId="77777777">
        <w:trPr>
          <w:cantSplit/>
        </w:trPr>
        <w:tc>
          <w:tcPr>
            <w:tcW w:w="1900" w:type="dxa"/>
            <w:tcMar>
              <w:top w:w="80" w:type="dxa"/>
              <w:left w:w="120" w:type="dxa"/>
              <w:bottom w:w="80" w:type="dxa"/>
              <w:right w:w="120" w:type="dxa"/>
            </w:tcMar>
            <w:vAlign w:val="center"/>
          </w:tcPr>
          <w:p w14:paraId="14897D9A" w14:textId="77777777">
            <w:pPr>
              <w:spacing w:after="0" w:line="269" w:lineRule="auto"/>
            </w:pPr>
            <w:r>
              <w:rPr>
                <w:sz w:val="18"/>
              </w:rPr>
              <w:t>Annually</w:t>
            </w:r>
          </w:p>
        </w:tc>
        <w:tc>
          <w:tcPr>
            <w:tcW w:w="7460" w:type="dxa"/>
            <w:tcMar>
              <w:top w:w="80" w:type="dxa"/>
              <w:left w:w="120" w:type="dxa"/>
              <w:bottom w:w="80" w:type="dxa"/>
              <w:right w:w="120" w:type="dxa"/>
            </w:tcMar>
            <w:vAlign w:val="center"/>
          </w:tcPr>
          <w:p w14:paraId="79A432E4" w14:textId="77777777">
            <w:pPr>
              <w:spacing w:after="0" w:line="269" w:lineRule="auto"/>
            </w:pPr>
            <w:r>
              <w:rPr>
                <w:sz w:val="18"/>
              </w:rPr>
              <w:t>Full service review: DPIA, architecture, region, capacity, certificates, suppliers/licensing, RPO/RTO, support ownership and roadmap.</w:t>
            </w:r>
          </w:p>
        </w:tc>
      </w:tr>
    </w:tbl>
    <w:p w14:paraId="0325F424" w14:textId="77777777">
      <w:pPr>
        <w:spacing w:after="20"/>
      </w:pPr>
    </w:p>
    <w:p w14:paraId="6213C445" w14:textId="77777777">
      <w:pPr>
        <w:pStyle w:val="Heading2"/>
      </w:pPr>
      <w:r>
        <w:lastRenderedPageBreak/>
        <w:t>Azure SQL backup policy</w:t>
      </w:r>
    </w:p>
    <w:p w14:paraId="2B5D77F1" w14:textId="77777777">
      <w:r>
        <w:t>Azure SQL automatically takes full, differential and log backups. New databases default to seven days of point-in-time retention; supported non-Basic tiers can be configured up to 35 days, and long-term retention can retain full backups for up to ten years. The college must set the values that meet its operational and data-retention needs, then rehearse restore.</w:t>
      </w:r>
    </w:p>
    <w:tbl>
      <w:tblPr>
        <w:tblStyle w:val="TableGrid"/>
        <w:tblW w:w="9360" w:type="dxa"/>
        <w:tblInd w:w="120" w:type="dxa"/>
        <w:tblBorders>
          <w:top w:val="single" w:sz="8" w:space="0" w:color="2CB5A9"/>
          <w:left w:val="single" w:sz="8" w:space="0" w:color="2CB5A9"/>
          <w:bottom w:val="single" w:sz="8" w:space="0" w:color="2CB5A9"/>
          <w:right w:val="single" w:sz="8" w:space="0" w:color="2CB5A9"/>
          <w:insideH w:val="single" w:sz="8" w:space="0" w:color="2CB5A9"/>
          <w:insideV w:val="single" w:sz="8" w:space="0" w:color="2CB5A9"/>
        </w:tblBorders>
        <w:tblLayout w:type="fixed"/>
        <w:tblLook w:val="04A0" w:firstRow="1" w:lastRow="0" w:firstColumn="1" w:lastColumn="0" w:noHBand="0" w:noVBand="1"/>
      </w:tblPr>
      <w:tblGrid>
        <w:gridCol w:w="9360"/>
      </w:tblGrid>
      <w:tr w14:paraId="35360412" w14:textId="77777777">
        <w:trPr>
          <w:cantSplit/>
          <w:tblHeader/>
        </w:trPr>
        <w:tc>
          <w:tcPr>
            <w:tcW w:w="9360" w:type="dxa"/>
            <w:shd w:val="clear" w:color="auto" w:fill="E6F5F3"/>
            <w:tcMar>
              <w:top w:w="80" w:type="dxa"/>
              <w:left w:w="120" w:type="dxa"/>
              <w:bottom w:w="80" w:type="dxa"/>
              <w:right w:w="120" w:type="dxa"/>
            </w:tcMar>
            <w:vAlign w:val="center"/>
          </w:tcPr>
          <w:p w14:paraId="3BCF201C" w14:textId="77777777">
            <w:pPr>
              <w:spacing w:after="60"/>
            </w:pPr>
            <w:r>
              <w:rPr>
                <w:b/>
                <w:color w:val="2CB5A9"/>
              </w:rPr>
              <w:t>Restore creates another database</w:t>
            </w:r>
          </w:p>
          <w:p w14:paraId="140F978F" w14:textId="77777777">
            <w:pPr>
              <w:spacing w:after="0"/>
            </w:pPr>
            <w:r>
              <w:rPr>
                <w:sz w:val="20"/>
              </w:rPr>
              <w:t>Point-in-time restore does not overwrite the existing database. Azure creates a new database. Validate the restored data and permissions before any controlled cutover. Never delete the original until the recovery owner signs off.</w:t>
            </w:r>
          </w:p>
        </w:tc>
      </w:tr>
    </w:tbl>
    <w:p w14:paraId="7446E613" w14:textId="77777777">
      <w:pPr>
        <w:spacing w:after="20"/>
      </w:pPr>
    </w:p>
    <w:p w14:paraId="5EF5684D" w14:textId="77777777">
      <w:pPr>
        <w:pStyle w:val="Heading2"/>
      </w:pPr>
      <w:r>
        <w:t>Data-protection key continuity</w:t>
      </w:r>
    </w:p>
    <w:p w14:paraId="07AF467D" w14:textId="77777777">
      <w:pPr>
        <w:numPr>
          <w:ilvl w:val="0"/>
          <w:numId w:val="14"/>
        </w:numPr>
      </w:pPr>
      <w:r>
        <w:t>The key ring lives in the data-protection Blob container; the wrapping key lives in Key Vault.</w:t>
      </w:r>
    </w:p>
    <w:p w14:paraId="6A2FEE31" w14:textId="77777777">
      <w:pPr>
        <w:numPr>
          <w:ilvl w:val="0"/>
          <w:numId w:val="14"/>
        </w:numPr>
      </w:pPr>
      <w:r>
        <w:t>Blob/container soft delete is 30 days; Key Vault soft delete is 90 days with purge protection. Do not delete the Storage account, vault or key during an application rollback.</w:t>
      </w:r>
    </w:p>
    <w:p w14:paraId="4BD1C443" w14:textId="77777777">
      <w:pPr>
        <w:numPr>
          <w:ilvl w:val="0"/>
          <w:numId w:val="14"/>
        </w:numPr>
      </w:pPr>
      <w:r>
        <w:t>Monitor access-denied failures. If the system-assigned identity is recreated by deleting/recreating the web app, its object ID changes and RBAC/database access must be reassigned.</w:t>
      </w:r>
    </w:p>
    <w:p w14:paraId="49631ED9" w14:textId="77777777">
      <w:pPr>
        <w:pStyle w:val="Heading2"/>
      </w:pPr>
      <w:r>
        <w:t>Support information every ticket should contain</w:t>
      </w:r>
    </w:p>
    <w:p w14:paraId="7AA342DF" w14:textId="77777777">
      <w:pPr>
        <w:numPr>
          <w:ilvl w:val="0"/>
          <w:numId w:val="15"/>
        </w:numPr>
      </w:pPr>
      <w:r>
        <w:t>Time and timezone, user email, final URL and browser/device.</w:t>
      </w:r>
    </w:p>
    <w:p w14:paraId="64494F42" w14:textId="77777777">
      <w:pPr>
        <w:numPr>
          <w:ilvl w:val="0"/>
          <w:numId w:val="15"/>
        </w:numPr>
      </w:pPr>
      <w:r>
        <w:t>What the user expected and what occurred; screenshot only after checking it contains no inappropriate staff data.</w:t>
      </w:r>
    </w:p>
    <w:p w14:paraId="6B7286B1" w14:textId="77777777">
      <w:pPr>
        <w:numPr>
          <w:ilvl w:val="0"/>
          <w:numId w:val="15"/>
        </w:numPr>
      </w:pPr>
      <w:r>
        <w:t>HTTP status or visible message and the application's trace/correlation ID if shown.</w:t>
      </w:r>
    </w:p>
    <w:p w14:paraId="23A62DD6" w14:textId="77777777">
      <w:pPr>
        <w:numPr>
          <w:ilvl w:val="0"/>
          <w:numId w:val="15"/>
        </w:numPr>
      </w:pPr>
      <w:r>
        <w:t>Whether the issue affects one person, one faculty/team or everyone.</w:t>
      </w:r>
    </w:p>
    <w:p w14:paraId="39393632" w14:textId="77777777">
      <w:pPr>
        <w:numPr>
          <w:ilvl w:val="0"/>
          <w:numId w:val="15"/>
        </w:numPr>
      </w:pPr>
      <w:r>
        <w:t>Recent release/configuration/Entra/network changes and health status.</w:t>
      </w:r>
    </w:p>
    <w:p w14:paraId="62E0F2A1" w14:textId="3E866CCB">
      <w:pPr>
        <w:pStyle w:val="SmallNote"/>
      </w:pPr>
      <w:r>
        <w:rPr>
          <w:b/>
        </w:rPr>
        <w:t xml:space="preserve">Microsoft/GitHub reference: </w:t>
      </w:r>
      <w:hyperlink r:id="rId33">
        <w:r>
          <w:rPr>
            <w:color w:val="1F4D78"/>
            <w:u w:val="single"/>
          </w:rPr>
          <w:t>Application Insights availability</w:t>
        </w:r>
      </w:hyperlink>
      <w:r>
        <w:t xml:space="preserve">  •  </w:t>
      </w:r>
      <w:hyperlink r:id="rId34">
        <w:r>
          <w:rPr>
            <w:color w:val="1F4D78"/>
            <w:u w:val="single"/>
          </w:rPr>
          <w:t>App Service health check</w:t>
        </w:r>
      </w:hyperlink>
      <w:r>
        <w:t xml:space="preserve">  •  </w:t>
      </w:r>
      <w:hyperlink r:id="rId35">
        <w:r>
          <w:rPr>
            <w:color w:val="1F4D78"/>
            <w:u w:val="single"/>
          </w:rPr>
          <w:t>Azure SQL automated backups</w:t>
        </w:r>
      </w:hyperlink>
      <w:r>
        <w:t xml:space="preserve">  •  </w:t>
      </w:r>
      <w:hyperlink r:id="rId36">
        <w:r>
          <w:rPr>
            <w:color w:val="1F4D78"/>
            <w:u w:val="single"/>
          </w:rPr>
          <w:t>Azure Service Health</w:t>
        </w:r>
      </w:hyperlink>
    </w:p>
    <w:p w14:paraId="6AC8FBDA" w14:textId="77777777">
      <w:pPr>
        <w:pStyle w:val="Heading1"/>
      </w:pPr>
      <w:bookmarkStart w:id="16" w:name="updates"/>
      <w:r>
        <w:lastRenderedPageBreak/>
        <w:t>15. Release updates safely</w:t>
      </w:r>
      <w:bookmarkEnd w:id="16"/>
    </w:p>
    <w:p w14:paraId="3B72D394" w14:textId="77777777">
      <w:pPr>
        <w:pStyle w:val="Heading2"/>
      </w:pPr>
      <w:r>
        <w:t>Standard release flow</w:t>
      </w:r>
    </w:p>
    <w:p w14:paraId="3F2BB87F" w14:textId="77777777">
      <w:pPr>
        <w:numPr>
          <w:ilvl w:val="0"/>
          <w:numId w:val="16"/>
        </w:numPr>
      </w:pPr>
      <w:r>
        <w:t>Create a short-lived branch from the current protected main branch and implement the change with tests and, where needed, a new forward-only SQL migration.</w:t>
      </w:r>
    </w:p>
    <w:p w14:paraId="0B51B0EA" w14:textId="77777777">
      <w:pPr>
        <w:numPr>
          <w:ilvl w:val="0"/>
          <w:numId w:val="16"/>
        </w:numPr>
      </w:pPr>
      <w:r>
        <w:t>Open a pull request. CI must pass; an independent reviewer checks functionality, security, permission scope, migration safety and documentation.</w:t>
      </w:r>
    </w:p>
    <w:p w14:paraId="57FCAD24" w14:textId="77777777">
      <w:pPr>
        <w:numPr>
          <w:ilvl w:val="0"/>
          <w:numId w:val="16"/>
        </w:numPr>
      </w:pPr>
      <w:r>
        <w:t>Merge through the protected branch, create an annotated release tag and run Build Azure release on that accepted source.</w:t>
      </w:r>
    </w:p>
    <w:p w14:paraId="138B1765" w14:textId="77777777">
      <w:pPr>
        <w:numPr>
          <w:ilvl w:val="0"/>
          <w:numId w:val="16"/>
        </w:numPr>
      </w:pPr>
      <w:r>
        <w:t>Record release tag, full commit, package SHA-256, manifest, change approval, deployment operator, maintenance window and rollback package.</w:t>
      </w:r>
    </w:p>
    <w:p w14:paraId="5A0D44F2" w14:textId="77777777">
      <w:pPr>
        <w:numPr>
          <w:ilvl w:val="0"/>
          <w:numId w:val="16"/>
        </w:numPr>
      </w:pPr>
      <w:r>
        <w:t>Confirm a restorable database point/backup before applying any new migration. Run apply-database.ps1; do not edit an existing migration.</w:t>
      </w:r>
    </w:p>
    <w:p w14:paraId="4A1AEE27" w14:textId="77777777">
      <w:pPr>
        <w:numPr>
          <w:ilvl w:val="0"/>
          <w:numId w:val="16"/>
        </w:numPr>
      </w:pPr>
      <w:r>
        <w:t>Deploy the verified ZIP with deploy-azure.ps1, check readiness, run smoke tests and monitor errors/latency after release.</w:t>
      </w:r>
    </w:p>
    <w:p w14:paraId="062F19C6" w14:textId="77777777">
      <w:pPr>
        <w:numPr>
          <w:ilvl w:val="0"/>
          <w:numId w:val="16"/>
        </w:numPr>
      </w:pPr>
      <w:r>
        <w:t>Close the change only after the product owner or delegate confirms the intended user journey and no scope leakage.</w:t>
      </w:r>
    </w:p>
    <w:p w14:paraId="57FC7EF8" w14:textId="77777777">
      <w:pPr>
        <w:pStyle w:val="Heading2"/>
      </w:pPr>
      <w:r>
        <w:t>Package rollback and database reality</w:t>
      </w:r>
    </w:p>
    <w:p w14:paraId="0C9FD939" w14:textId="77777777">
      <w:r>
        <w:t>A previous ZIP can be redeployed to restore application files. Database migrations are not automatically reversed and may make older code incompatible. Every schema-changing release must state whether the previous application remains compatible. If it is not, the recovery plan is a tested database restore/cutover, not ad-hoc reverse SQL.</w:t>
      </w:r>
    </w:p>
    <w:p w14:paraId="6B5D0D1C" w14:textId="77777777">
      <w:pPr>
        <w:pStyle w:val="Heading2"/>
      </w:pPr>
      <w:r>
        <w:t>Recommended production evolution</w:t>
      </w:r>
    </w:p>
    <w:p w14:paraId="6BCCEE38" w14:textId="77777777">
      <w:pPr>
        <w:numPr>
          <w:ilvl w:val="0"/>
          <w:numId w:val="17"/>
        </w:numPr>
      </w:pPr>
      <w:r>
        <w:t>Upgrade App Service to Standard or better and introduce a staging deployment slot if low-downtime releases are required. Deploy to staging, smoke test, then swap.</w:t>
      </w:r>
    </w:p>
    <w:p w14:paraId="2FDBCEB5" w14:textId="77777777">
      <w:pPr>
        <w:numPr>
          <w:ilvl w:val="0"/>
          <w:numId w:val="17"/>
        </w:numPr>
      </w:pPr>
      <w:r>
        <w:t>Add a GitHub production Environment with required reviewers and Azure workload identity federation before automating deployment; avoid long-lived publish profiles.</w:t>
      </w:r>
    </w:p>
    <w:p w14:paraId="1E95D30B" w14:textId="77777777">
      <w:pPr>
        <w:numPr>
          <w:ilvl w:val="0"/>
          <w:numId w:val="17"/>
        </w:numPr>
      </w:pPr>
      <w:r>
        <w:t>Add infrastructure validation/what-if to the controlled release process and review Bicep API versions periodically.</w:t>
      </w:r>
    </w:p>
    <w:p w14:paraId="74CE05F0" w14:textId="77777777">
      <w:pPr>
        <w:numPr>
          <w:ilvl w:val="0"/>
          <w:numId w:val="17"/>
        </w:numPr>
      </w:pPr>
      <w:r>
        <w:t>Implement private networking in Bicep, not by undocumented portal drift, if the security decision requires it.</w:t>
      </w:r>
    </w:p>
    <w:p w14:paraId="1EC6CA31" w14:textId="77777777">
      <w:pPr>
        <w:pStyle w:val="SmallNote"/>
      </w:pPr>
      <w:r>
        <w:rPr>
          <w:b/>
        </w:rPr>
        <w:lastRenderedPageBreak/>
        <w:t xml:space="preserve">Repository reference: </w:t>
      </w:r>
      <w:r>
        <w:rPr>
          <w:rFonts w:ascii="Consolas" w:eastAsia="Consolas" w:hAnsi="Consolas"/>
          <w:color w:val="1F4D78"/>
          <w:sz w:val="17"/>
        </w:rPr>
        <w:t>.github/workflows/ci.yml</w:t>
      </w:r>
      <w:r>
        <w:t xml:space="preserve">  •  </w:t>
      </w:r>
      <w:r>
        <w:rPr>
          <w:rFonts w:ascii="Consolas" w:eastAsia="Consolas" w:hAnsi="Consolas"/>
          <w:color w:val="1F4D78"/>
          <w:sz w:val="17"/>
        </w:rPr>
        <w:t>.github/workflows/release-azure.yml</w:t>
      </w:r>
      <w:r>
        <w:t xml:space="preserve">  •  </w:t>
      </w:r>
      <w:r>
        <w:rPr>
          <w:rFonts w:ascii="Consolas" w:eastAsia="Consolas" w:hAnsi="Consolas"/>
          <w:color w:val="1F4D78"/>
          <w:sz w:val="17"/>
        </w:rPr>
        <w:t>scripts/verify-v1.ps1</w:t>
      </w:r>
    </w:p>
    <w:p w14:paraId="4B4772F9" w14:textId="4EED2E56">
      <w:pPr>
        <w:pStyle w:val="SmallNote"/>
      </w:pPr>
      <w:r>
        <w:rPr>
          <w:b/>
        </w:rPr>
        <w:t xml:space="preserve">Microsoft/GitHub reference: </w:t>
      </w:r>
      <w:hyperlink r:id="rId37">
        <w:r>
          <w:rPr>
            <w:color w:val="1F4D78"/>
            <w:u w:val="single"/>
          </w:rPr>
          <w:t>App Service deployment best practices</w:t>
        </w:r>
      </w:hyperlink>
    </w:p>
    <w:p w14:paraId="0F1284A4" w14:textId="77777777">
      <w:pPr>
        <w:pStyle w:val="Heading1"/>
      </w:pPr>
      <w:bookmarkStart w:id="17" w:name="recovery"/>
      <w:r>
        <w:lastRenderedPageBreak/>
        <w:t>16. Rollback, recovery and incidents</w:t>
      </w:r>
      <w:bookmarkEnd w:id="17"/>
    </w:p>
    <w:p w14:paraId="5477344F" w14:textId="77777777">
      <w:pPr>
        <w:pStyle w:val="Heading2"/>
      </w:pPr>
      <w:r>
        <w:t>Application-only rollback</w:t>
      </w:r>
    </w:p>
    <w:p w14:paraId="7C1EA565" w14:textId="77777777">
      <w:pPr>
        <w:numPr>
          <w:ilvl w:val="0"/>
          <w:numId w:val="18"/>
        </w:numPr>
      </w:pPr>
      <w:r>
        <w:t>Declare the incident/change failure and stop further releases. Capture current health, error rate, release tag and database migration state.</w:t>
      </w:r>
    </w:p>
    <w:p w14:paraId="3EBC06B5" w14:textId="77777777">
      <w:pPr>
        <w:numPr>
          <w:ilvl w:val="0"/>
          <w:numId w:val="18"/>
        </w:numPr>
      </w:pPr>
      <w:r>
        <w:t>Confirm the retained previous ZIP checksum and whether it is compatible with the current database schema.</w:t>
      </w:r>
    </w:p>
    <w:p w14:paraId="4E5A20B3" w14:textId="77777777">
      <w:pPr>
        <w:numPr>
          <w:ilvl w:val="0"/>
          <w:numId w:val="18"/>
        </w:numPr>
      </w:pPr>
      <w:r>
        <w:t>Redeploy that ZIP using scripts/deploy-azure.ps1 with the same resource group, app name and expected subscription.</w:t>
      </w:r>
    </w:p>
    <w:p w14:paraId="72A54FC9" w14:textId="77777777">
      <w:pPr>
        <w:numPr>
          <w:ilvl w:val="0"/>
          <w:numId w:val="18"/>
        </w:numPr>
      </w:pPr>
      <w:r>
        <w:t>Verify /health/ready, sign-in and the affected workflow. Continue monitoring and record the rollback in the audit/change record.</w:t>
      </w:r>
    </w:p>
    <w:p w14:paraId="4AF2CD47" w14:textId="77777777">
      <w:pPr>
        <w:pStyle w:val="Heading2"/>
      </w:pPr>
      <w:r>
        <w:t>Database recovery</w:t>
      </w:r>
    </w:p>
    <w:p w14:paraId="5FB9EEFD" w14:textId="77777777">
      <w:pPr>
        <w:numPr>
          <w:ilvl w:val="0"/>
          <w:numId w:val="19"/>
        </w:numPr>
      </w:pPr>
      <w:r>
        <w:t>Define the required recovery point and freeze application writes if necessary. Preserve evidence and engage the DBA/service owner.</w:t>
      </w:r>
    </w:p>
    <w:p w14:paraId="7B1243B6" w14:textId="77777777">
      <w:pPr>
        <w:numPr>
          <w:ilvl w:val="0"/>
          <w:numId w:val="19"/>
        </w:numPr>
      </w:pPr>
      <w:r>
        <w:t>Use Azure SQL point-in-time or long-term backup restore to create a new database. Do not overwrite/delete the live database.</w:t>
      </w:r>
    </w:p>
    <w:p w14:paraId="06BC9B3A" w14:textId="77777777">
      <w:pPr>
        <w:numPr>
          <w:ilvl w:val="0"/>
          <w:numId w:val="19"/>
        </w:numPr>
      </w:pPr>
      <w:r>
        <w:t>Validate schema_migrations, record counts, recent audit data, key workflows and permission/scoping in the restored database.</w:t>
      </w:r>
    </w:p>
    <w:p w14:paraId="0C9BA829" w14:textId="77777777">
      <w:pPr>
        <w:numPr>
          <w:ilvl w:val="0"/>
          <w:numId w:val="19"/>
        </w:numPr>
      </w:pPr>
      <w:r>
        <w:t>Create the App Service managed-identity user and runtime grants in the restored database if they are not restored as expected; verify carefully.</w:t>
      </w:r>
    </w:p>
    <w:p w14:paraId="4A8EE730" w14:textId="77777777">
      <w:pPr>
        <w:numPr>
          <w:ilvl w:val="0"/>
          <w:numId w:val="19"/>
        </w:numPr>
      </w:pPr>
      <w:r>
        <w:t>Change the App Service connection string only under an approved cutover, restart, check readiness and run acceptance smoke tests.</w:t>
      </w:r>
    </w:p>
    <w:p w14:paraId="6748026A" w14:textId="77777777">
      <w:pPr>
        <w:numPr>
          <w:ilvl w:val="0"/>
          <w:numId w:val="19"/>
        </w:numPr>
      </w:pPr>
      <w:r>
        <w:t>Retain the old database until the recovery owner confirms success and the required forensic/retention period has passed.</w:t>
      </w:r>
    </w:p>
    <w:p w14:paraId="50917E83" w14:textId="77777777">
      <w:pPr>
        <w:pStyle w:val="Heading2"/>
      </w:pPr>
      <w:r>
        <w:t>Loss of the web app identity</w:t>
      </w:r>
    </w:p>
    <w:p w14:paraId="78AF57E7" w14:textId="77777777">
      <w:r>
        <w:t>A system-assigned identity is tied to the web app. Recreating the app creates a new Entra principal. Re-run the Storage and Key Vault role assignments through Bicep, recreate the Azure SQL contained user for the new web-app name/object, and verify no stale principal retains access.</w:t>
      </w:r>
    </w:p>
    <w:p w14:paraId="79CC43D5" w14:textId="77777777">
      <w:pPr>
        <w:pStyle w:val="Heading2"/>
        <w:pageBreakBefore/>
      </w:pPr>
      <w:r>
        <w:lastRenderedPageBreak/>
        <w:t>Incident severity examples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3300"/>
        <w:gridCol w:w="6060"/>
      </w:tblGrid>
      <w:tr w14:paraId="008811DB" w14:textId="77777777">
        <w:trPr>
          <w:cantSplit/>
          <w:tblHeader/>
        </w:trPr>
        <w:tc>
          <w:tcPr>
            <w:tcW w:w="3300" w:type="dxa"/>
            <w:shd w:val="clear" w:color="auto" w:fill="E8EEF5"/>
            <w:tcMar>
              <w:top w:w="80" w:type="dxa"/>
              <w:left w:w="120" w:type="dxa"/>
              <w:bottom w:w="80" w:type="dxa"/>
              <w:right w:w="120" w:type="dxa"/>
            </w:tcMar>
            <w:vAlign w:val="center"/>
          </w:tcPr>
          <w:p w14:paraId="2C533997" w14:textId="77777777">
            <w:pPr>
              <w:spacing w:after="0"/>
            </w:pPr>
            <w:r>
              <w:rPr>
                <w:b/>
                <w:color w:val="0B2545"/>
                <w:sz w:val="19"/>
              </w:rPr>
              <w:t>Condition</w:t>
            </w:r>
          </w:p>
        </w:tc>
        <w:tc>
          <w:tcPr>
            <w:tcW w:w="6060" w:type="dxa"/>
            <w:shd w:val="clear" w:color="auto" w:fill="E8EEF5"/>
            <w:tcMar>
              <w:top w:w="80" w:type="dxa"/>
              <w:left w:w="120" w:type="dxa"/>
              <w:bottom w:w="80" w:type="dxa"/>
              <w:right w:w="120" w:type="dxa"/>
            </w:tcMar>
            <w:vAlign w:val="center"/>
          </w:tcPr>
          <w:p w14:paraId="0FD52F66" w14:textId="77777777">
            <w:pPr>
              <w:spacing w:after="0"/>
            </w:pPr>
            <w:r>
              <w:rPr>
                <w:b/>
                <w:color w:val="0B2545"/>
                <w:sz w:val="19"/>
              </w:rPr>
              <w:t>Immediate action</w:t>
            </w:r>
          </w:p>
        </w:tc>
      </w:tr>
      <w:tr w14:paraId="384D8B15" w14:textId="77777777">
        <w:trPr>
          <w:cantSplit/>
        </w:trPr>
        <w:tc>
          <w:tcPr>
            <w:tcW w:w="3300" w:type="dxa"/>
            <w:tcMar>
              <w:top w:w="80" w:type="dxa"/>
              <w:left w:w="120" w:type="dxa"/>
              <w:bottom w:w="80" w:type="dxa"/>
              <w:right w:w="120" w:type="dxa"/>
            </w:tcMar>
            <w:vAlign w:val="center"/>
          </w:tcPr>
          <w:p w14:paraId="7F21C211" w14:textId="77777777">
            <w:pPr>
              <w:spacing w:after="0" w:line="269" w:lineRule="auto"/>
            </w:pPr>
            <w:r>
              <w:rPr>
                <w:sz w:val="18"/>
              </w:rPr>
              <w:t>Possible staff-data disclosure or cross-scope access</w:t>
            </w:r>
          </w:p>
        </w:tc>
        <w:tc>
          <w:tcPr>
            <w:tcW w:w="6060" w:type="dxa"/>
            <w:tcMar>
              <w:top w:w="80" w:type="dxa"/>
              <w:left w:w="120" w:type="dxa"/>
              <w:bottom w:w="80" w:type="dxa"/>
              <w:right w:w="120" w:type="dxa"/>
            </w:tcMar>
            <w:vAlign w:val="center"/>
          </w:tcPr>
          <w:p w14:paraId="4D1EF944" w14:textId="77777777">
            <w:pPr>
              <w:spacing w:after="0" w:line="269" w:lineRule="auto"/>
            </w:pPr>
            <w:r>
              <w:rPr>
                <w:sz w:val="18"/>
              </w:rPr>
              <w:t>Disable affected access or service as authorised, preserve logs, contact information governance/security, do not circulate exports.</w:t>
            </w:r>
          </w:p>
        </w:tc>
      </w:tr>
      <w:tr w14:paraId="1ACE908B" w14:textId="77777777">
        <w:trPr>
          <w:cantSplit/>
        </w:trPr>
        <w:tc>
          <w:tcPr>
            <w:tcW w:w="3300" w:type="dxa"/>
            <w:tcMar>
              <w:top w:w="80" w:type="dxa"/>
              <w:left w:w="120" w:type="dxa"/>
              <w:bottom w:w="80" w:type="dxa"/>
              <w:right w:w="120" w:type="dxa"/>
            </w:tcMar>
            <w:vAlign w:val="center"/>
          </w:tcPr>
          <w:p w14:paraId="11DD7541" w14:textId="77777777">
            <w:pPr>
              <w:spacing w:after="0" w:line="269" w:lineRule="auto"/>
            </w:pPr>
            <w:r>
              <w:rPr>
                <w:sz w:val="18"/>
              </w:rPr>
              <w:t>All users receive 503</w:t>
            </w:r>
          </w:p>
        </w:tc>
        <w:tc>
          <w:tcPr>
            <w:tcW w:w="6060" w:type="dxa"/>
            <w:tcMar>
              <w:top w:w="80" w:type="dxa"/>
              <w:left w:w="120" w:type="dxa"/>
              <w:bottom w:w="80" w:type="dxa"/>
              <w:right w:w="120" w:type="dxa"/>
            </w:tcMar>
            <w:vAlign w:val="center"/>
          </w:tcPr>
          <w:p w14:paraId="77E8032B" w14:textId="77777777">
            <w:pPr>
              <w:spacing w:after="0" w:line="269" w:lineRule="auto"/>
            </w:pPr>
            <w:r>
              <w:rPr>
                <w:sz w:val="18"/>
              </w:rPr>
              <w:t>Check /health/live vs /health/ready, App Service status, SQL networking/service health and recent changes.</w:t>
            </w:r>
          </w:p>
        </w:tc>
      </w:tr>
      <w:tr w14:paraId="1144D864" w14:textId="77777777">
        <w:trPr>
          <w:cantSplit/>
        </w:trPr>
        <w:tc>
          <w:tcPr>
            <w:tcW w:w="3300" w:type="dxa"/>
            <w:tcMar>
              <w:top w:w="80" w:type="dxa"/>
              <w:left w:w="120" w:type="dxa"/>
              <w:bottom w:w="80" w:type="dxa"/>
              <w:right w:w="120" w:type="dxa"/>
            </w:tcMar>
            <w:vAlign w:val="center"/>
          </w:tcPr>
          <w:p w14:paraId="018BEB28" w14:textId="77777777">
            <w:pPr>
              <w:spacing w:after="0" w:line="269" w:lineRule="auto"/>
            </w:pPr>
            <w:r>
              <w:rPr>
                <w:sz w:val="18"/>
              </w:rPr>
              <w:t>Sign-in fails for all</w:t>
            </w:r>
          </w:p>
        </w:tc>
        <w:tc>
          <w:tcPr>
            <w:tcW w:w="6060" w:type="dxa"/>
            <w:tcMar>
              <w:top w:w="80" w:type="dxa"/>
              <w:left w:w="120" w:type="dxa"/>
              <w:bottom w:w="80" w:type="dxa"/>
              <w:right w:w="120" w:type="dxa"/>
            </w:tcMar>
            <w:vAlign w:val="center"/>
          </w:tcPr>
          <w:p w14:paraId="6FC91C05" w14:textId="77777777">
            <w:pPr>
              <w:spacing w:after="0" w:line="269" w:lineRule="auto"/>
            </w:pPr>
            <w:r>
              <w:rPr>
                <w:sz w:val="18"/>
              </w:rPr>
              <w:t>Check Entra service health, SPA redirect URI, consent, API permission/scope, Conditional Access and tenant/audience settings.</w:t>
            </w:r>
          </w:p>
        </w:tc>
      </w:tr>
      <w:tr w14:paraId="2D90C7A1" w14:textId="77777777">
        <w:trPr>
          <w:cantSplit/>
        </w:trPr>
        <w:tc>
          <w:tcPr>
            <w:tcW w:w="3300" w:type="dxa"/>
            <w:tcMar>
              <w:top w:w="80" w:type="dxa"/>
              <w:left w:w="120" w:type="dxa"/>
              <w:bottom w:w="80" w:type="dxa"/>
              <w:right w:w="120" w:type="dxa"/>
            </w:tcMar>
            <w:vAlign w:val="center"/>
          </w:tcPr>
          <w:p w14:paraId="192E3AFD" w14:textId="77777777">
            <w:pPr>
              <w:spacing w:after="0" w:line="269" w:lineRule="auto"/>
            </w:pPr>
            <w:r>
              <w:rPr>
                <w:sz w:val="18"/>
              </w:rPr>
              <w:t>One user receives 403</w:t>
            </w:r>
          </w:p>
        </w:tc>
        <w:tc>
          <w:tcPr>
            <w:tcW w:w="6060" w:type="dxa"/>
            <w:tcMar>
              <w:top w:w="80" w:type="dxa"/>
              <w:left w:w="120" w:type="dxa"/>
              <w:bottom w:w="80" w:type="dxa"/>
              <w:right w:w="120" w:type="dxa"/>
            </w:tcMar>
            <w:vAlign w:val="center"/>
          </w:tcPr>
          <w:p w14:paraId="1D99BA67" w14:textId="77777777">
            <w:pPr>
              <w:spacing w:after="0" w:line="269" w:lineRule="auto"/>
            </w:pPr>
            <w:r>
              <w:rPr>
                <w:sz w:val="18"/>
              </w:rPr>
              <w:t>Authentication probably succeeded; inspect active staff record, role, access scope, leadership/membership and review assignment.</w:t>
            </w:r>
          </w:p>
        </w:tc>
      </w:tr>
      <w:tr w14:paraId="5498FEC3" w14:textId="77777777">
        <w:trPr>
          <w:cantSplit/>
        </w:trPr>
        <w:tc>
          <w:tcPr>
            <w:tcW w:w="3300" w:type="dxa"/>
            <w:tcMar>
              <w:top w:w="80" w:type="dxa"/>
              <w:left w:w="120" w:type="dxa"/>
              <w:bottom w:w="80" w:type="dxa"/>
              <w:right w:w="120" w:type="dxa"/>
            </w:tcMar>
            <w:vAlign w:val="center"/>
          </w:tcPr>
          <w:p w14:paraId="26472689" w14:textId="77777777">
            <w:pPr>
              <w:spacing w:after="0" w:line="269" w:lineRule="auto"/>
            </w:pPr>
            <w:r>
              <w:rPr>
                <w:sz w:val="18"/>
              </w:rPr>
              <w:t>Report contains unexpected faculty/team</w:t>
            </w:r>
          </w:p>
        </w:tc>
        <w:tc>
          <w:tcPr>
            <w:tcW w:w="6060" w:type="dxa"/>
            <w:tcMar>
              <w:top w:w="80" w:type="dxa"/>
              <w:left w:w="120" w:type="dxa"/>
              <w:bottom w:w="80" w:type="dxa"/>
              <w:right w:w="120" w:type="dxa"/>
            </w:tcMar>
            <w:vAlign w:val="center"/>
          </w:tcPr>
          <w:p w14:paraId="129E0E58" w14:textId="77777777">
            <w:pPr>
              <w:spacing w:after="0" w:line="269" w:lineRule="auto"/>
            </w:pPr>
            <w:r>
              <w:rPr>
                <w:sz w:val="18"/>
              </w:rPr>
              <w:t>Stop distribution, preserve the file securely, test direct API scope, engage product/security and treat as potential data incident.</w:t>
            </w:r>
          </w:p>
        </w:tc>
      </w:tr>
    </w:tbl>
    <w:p w14:paraId="0C7272E8" w14:textId="77777777">
      <w:pPr>
        <w:spacing w:after="20"/>
      </w:pPr>
    </w:p>
    <w:p w14:paraId="1DAEEF9F" w14:textId="2C4A6B6C">
      <w:pPr>
        <w:pStyle w:val="SmallNote"/>
      </w:pPr>
      <w:r>
        <w:rPr>
          <w:b/>
        </w:rPr>
        <w:t xml:space="preserve">Microsoft/GitHub reference: </w:t>
      </w:r>
      <w:hyperlink r:id="rId38">
        <w:r>
          <w:rPr>
            <w:color w:val="1F4D78"/>
            <w:u w:val="single"/>
          </w:rPr>
          <w:t>Restore Azure SQL from backups</w:t>
        </w:r>
      </w:hyperlink>
    </w:p>
    <w:p w14:paraId="5B2B6939" w14:textId="77777777">
      <w:pPr>
        <w:pStyle w:val="Heading1"/>
      </w:pPr>
      <w:bookmarkStart w:id="18" w:name="security"/>
      <w:r>
        <w:lastRenderedPageBreak/>
        <w:t>17. Security and privacy operating controls</w:t>
      </w:r>
      <w:bookmarkEnd w:id="18"/>
    </w:p>
    <w:p w14:paraId="2B708DF8" w14:textId="77777777">
      <w:pPr>
        <w:pStyle w:val="Heading2"/>
      </w:pPr>
      <w:r>
        <w:t>Access and identity</w:t>
      </w:r>
    </w:p>
    <w:p w14:paraId="180329E7" w14:textId="77777777">
      <w:pPr>
        <w:spacing w:after="80"/>
        <w:ind w:left="29"/>
      </w:pPr>
      <w:r>
        <w:rPr>
          <w:b/>
          <w:color w:val="2CB5A9"/>
        </w:rPr>
        <w:t>☐</w:t>
      </w:r>
      <w:r>
        <w:rPr>
          <w:b/>
          <w:color w:val="2CB5A9"/>
        </w:rPr>
        <w:t xml:space="preserve">  </w:t>
      </w:r>
      <w:r>
        <w:t>At least two controlled administrators exist; emergency access is governed and monitored.</w:t>
      </w:r>
    </w:p>
    <w:p w14:paraId="4C6B4F58" w14:textId="77777777">
      <w:pPr>
        <w:spacing w:after="80"/>
        <w:ind w:left="29"/>
      </w:pPr>
      <w:r>
        <w:rPr>
          <w:b/>
          <w:color w:val="2CB5A9"/>
        </w:rPr>
        <w:t>☐</w:t>
      </w:r>
      <w:r>
        <w:rPr>
          <w:b/>
          <w:color w:val="2CB5A9"/>
        </w:rPr>
        <w:t xml:space="preserve">  </w:t>
      </w:r>
      <w:r>
        <w:t>Entra app owners, assignments, administrator consent and Conditional Access are reviewed on schedule.</w:t>
      </w:r>
    </w:p>
    <w:p w14:paraId="4BCFC74C" w14:textId="77777777">
      <w:pPr>
        <w:spacing w:after="80"/>
        <w:ind w:left="29"/>
      </w:pPr>
      <w:r>
        <w:rPr>
          <w:b/>
          <w:color w:val="2CB5A9"/>
        </w:rPr>
        <w:t>☐</w:t>
      </w:r>
      <w:r>
        <w:rPr>
          <w:b/>
          <w:color w:val="2CB5A9"/>
        </w:rPr>
        <w:t xml:space="preserve">  </w:t>
      </w:r>
      <w:r>
        <w:t>Application roles, leadership mappings, faculty/team scopes and QA Staff access are reviewed termly and when staff change role.</w:t>
      </w:r>
    </w:p>
    <w:p w14:paraId="7D1D90C3" w14:textId="77777777">
      <w:pPr>
        <w:spacing w:after="80"/>
        <w:ind w:left="29"/>
      </w:pPr>
      <w:r>
        <w:rPr>
          <w:b/>
          <w:color w:val="2CB5A9"/>
        </w:rPr>
        <w:t>☐</w:t>
      </w:r>
      <w:r>
        <w:rPr>
          <w:b/>
          <w:color w:val="2CB5A9"/>
        </w:rPr>
        <w:t xml:space="preserve">  </w:t>
      </w:r>
      <w:r>
        <w:t>Leavers are disabled in Entra and archived/disabled in i-Elevate according to the agreed process.</w:t>
      </w:r>
    </w:p>
    <w:p w14:paraId="72478717" w14:textId="77777777">
      <w:pPr>
        <w:spacing w:after="80"/>
        <w:ind w:left="29"/>
      </w:pPr>
      <w:r>
        <w:rPr>
          <w:b/>
          <w:color w:val="2CB5A9"/>
        </w:rPr>
        <w:t>☐</w:t>
      </w:r>
      <w:r>
        <w:rPr>
          <w:b/>
          <w:color w:val="2CB5A9"/>
        </w:rPr>
        <w:t xml:space="preserve">  </w:t>
      </w:r>
      <w:r>
        <w:t>Azure RBAC, SQL administrators and GitHub organisation access use least privilege and named accounts/groups.</w:t>
      </w:r>
    </w:p>
    <w:p w14:paraId="3D16801B" w14:textId="77777777">
      <w:pPr>
        <w:pStyle w:val="Heading2"/>
      </w:pPr>
      <w:r>
        <w:t>Data handling</w:t>
      </w:r>
    </w:p>
    <w:p w14:paraId="233D644D" w14:textId="77777777">
      <w:pPr>
        <w:numPr>
          <w:ilvl w:val="0"/>
          <w:numId w:val="20"/>
        </w:numPr>
      </w:pPr>
      <w:r>
        <w:t>Treat staff profiles, performance/quality evidence, narrative comments, actions, audit history and exports as staff-confidential.</w:t>
      </w:r>
    </w:p>
    <w:p w14:paraId="053DA54F" w14:textId="77777777">
      <w:pPr>
        <w:numPr>
          <w:ilvl w:val="0"/>
          <w:numId w:val="20"/>
        </w:numPr>
      </w:pPr>
      <w:r>
        <w:t>Store production exports only in approved access-controlled locations. Delete working copies according to retention policy.</w:t>
      </w:r>
    </w:p>
    <w:p w14:paraId="28FB782E" w14:textId="77777777">
      <w:pPr>
        <w:numPr>
          <w:ilvl w:val="0"/>
          <w:numId w:val="20"/>
        </w:numPr>
      </w:pPr>
      <w:r>
        <w:t>Do not place screenshots, database exports or production logs containing personal data in GitHub issues, public tickets or this repository.</w:t>
      </w:r>
    </w:p>
    <w:p w14:paraId="523E4431" w14:textId="77777777">
      <w:pPr>
        <w:numPr>
          <w:ilvl w:val="0"/>
          <w:numId w:val="20"/>
        </w:numPr>
      </w:pPr>
      <w:r>
        <w:t>Do not enable general evidence attachments until an approved storage, access, malware-scanning and retention design exists.</w:t>
      </w:r>
    </w:p>
    <w:p w14:paraId="39CAF094" w14:textId="77777777">
      <w:pPr>
        <w:numPr>
          <w:ilvl w:val="0"/>
          <w:numId w:val="20"/>
        </w:numPr>
      </w:pPr>
      <w:r>
        <w:t>Review the legal basis, privacy notice, subject-access process, retention and deletion rules with information governance before staff launch.</w:t>
      </w:r>
    </w:p>
    <w:p w14:paraId="397C435E" w14:textId="77777777">
      <w:pPr>
        <w:pStyle w:val="Heading2"/>
      </w:pPr>
      <w:r>
        <w:t>Secrets and configuration</w:t>
      </w:r>
    </w:p>
    <w:p w14:paraId="6F3152AC" w14:textId="77777777">
      <w:pPr>
        <w:numPr>
          <w:ilvl w:val="0"/>
          <w:numId w:val="21"/>
        </w:numPr>
      </w:pPr>
      <w:r>
        <w:t>No client secret belongs in the SPA. The API validates user tokens; the app uses managed identity for Azure services.</w:t>
      </w:r>
    </w:p>
    <w:p w14:paraId="523D9568" w14:textId="77777777">
      <w:pPr>
        <w:numPr>
          <w:ilvl w:val="0"/>
          <w:numId w:val="21"/>
        </w:numPr>
      </w:pPr>
      <w:r>
        <w:t>Keep the SQL break-glass password in the approved enterprise secret/password vault and rotate it after setup and on personnel/process change.</w:t>
      </w:r>
    </w:p>
    <w:p w14:paraId="1F99999D" w14:textId="77777777">
      <w:pPr>
        <w:numPr>
          <w:ilvl w:val="0"/>
          <w:numId w:val="21"/>
        </w:numPr>
      </w:pPr>
      <w:r>
        <w:t>Never commit completed parameter/settings files, access tokens, certificates, database backups, release ZIPs or production reports.</w:t>
      </w:r>
    </w:p>
    <w:p w14:paraId="62A6E5EA" w14:textId="77777777">
      <w:pPr>
        <w:numPr>
          <w:ilvl w:val="0"/>
          <w:numId w:val="21"/>
        </w:numPr>
      </w:pPr>
      <w:r>
        <w:t>Review App Service settings access and activity logs. Treat environment configuration as production change-controlled data.</w:t>
      </w:r>
    </w:p>
    <w:p w14:paraId="37CF1F98" w14:textId="77777777">
      <w:pPr>
        <w:pStyle w:val="Heading2"/>
      </w:pPr>
      <w:r>
        <w:lastRenderedPageBreak/>
        <w:t>Logging standard</w:t>
      </w:r>
    </w:p>
    <w:p w14:paraId="1FFBDF0A" w14:textId="77777777">
      <w:pPr>
        <w:numPr>
          <w:ilvl w:val="0"/>
          <w:numId w:val="22"/>
        </w:numPr>
      </w:pPr>
      <w:r>
        <w:t>Collect request path, status, duration, dependency status, exception type, trace ID and operational user/account ID only where justified.</w:t>
      </w:r>
    </w:p>
    <w:p w14:paraId="1CA84DCA" w14:textId="77777777">
      <w:pPr>
        <w:numPr>
          <w:ilvl w:val="0"/>
          <w:numId w:val="22"/>
        </w:numPr>
      </w:pPr>
      <w:r>
        <w:t>Do not log bearer tokens, cookies, passwords, request/response bodies, staff reflections, QA narrative or exported report contents.</w:t>
      </w:r>
    </w:p>
    <w:p w14:paraId="7FBCF8F9" w14:textId="77777777">
      <w:pPr>
        <w:numPr>
          <w:ilvl w:val="0"/>
          <w:numId w:val="22"/>
        </w:numPr>
      </w:pPr>
      <w:r>
        <w:t>Restrict telemetry access, set retention, test deletion/subject handling where applicable and monitor unusual query/export access.</w:t>
      </w:r>
    </w:p>
    <w:tbl>
      <w:tblPr>
        <w:tblStyle w:val="TableGrid"/>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14:paraId="537A7808" w14:textId="77777777">
        <w:trPr>
          <w:cantSplit/>
          <w:tblHeader/>
        </w:trPr>
        <w:tc>
          <w:tcPr>
            <w:tcW w:w="9360" w:type="dxa"/>
            <w:shd w:val="clear" w:color="auto" w:fill="FDECEC"/>
            <w:tcMar>
              <w:top w:w="80" w:type="dxa"/>
              <w:left w:w="120" w:type="dxa"/>
              <w:bottom w:w="80" w:type="dxa"/>
              <w:right w:w="120" w:type="dxa"/>
            </w:tcMar>
            <w:vAlign w:val="center"/>
          </w:tcPr>
          <w:p w14:paraId="0FA86A50" w14:textId="77777777">
            <w:pPr>
              <w:spacing w:after="60"/>
            </w:pPr>
            <w:r>
              <w:rPr>
                <w:b/>
                <w:color w:val="9B1C1C"/>
              </w:rPr>
              <w:t>Network approval must be explicit</w:t>
            </w:r>
          </w:p>
          <w:p w14:paraId="4B032A4C" w14:textId="77777777">
            <w:pPr>
              <w:spacing w:after="0"/>
            </w:pPr>
            <w:r>
              <w:rPr>
                <w:sz w:val="20"/>
              </w:rPr>
              <w:t>The current Bicep uses public endpoints with authentication/RBAC and a permissive SQL Azure-services firewall rule. If this does not meet policy, change and review the infrastructure-as-code before go-live. A portal-only network workaround creates undocumented drift and a fragile recovery path.</w:t>
            </w:r>
          </w:p>
        </w:tc>
      </w:tr>
    </w:tbl>
    <w:p w14:paraId="1C5B9D41" w14:textId="77777777">
      <w:pPr>
        <w:spacing w:after="20"/>
      </w:pPr>
    </w:p>
    <w:p w14:paraId="01AC91FF" w14:textId="77777777">
      <w:pPr>
        <w:pStyle w:val="SmallNote"/>
      </w:pPr>
      <w:r>
        <w:rPr>
          <w:b/>
        </w:rPr>
        <w:t xml:space="preserve">Repository reference: </w:t>
      </w:r>
      <w:r>
        <w:rPr>
          <w:rFonts w:ascii="Consolas" w:eastAsia="Consolas" w:hAnsi="Consolas"/>
          <w:color w:val="1F4D78"/>
          <w:sz w:val="17"/>
        </w:rPr>
        <w:t>HANDOVER.md</w:t>
      </w:r>
      <w:r>
        <w:t xml:space="preserve">  •  </w:t>
      </w:r>
      <w:r>
        <w:rPr>
          <w:rFonts w:ascii="Consolas" w:eastAsia="Consolas" w:hAnsi="Consolas"/>
          <w:color w:val="1F4D78"/>
          <w:sz w:val="17"/>
        </w:rPr>
        <w:t>.gitignore</w:t>
      </w:r>
      <w:r>
        <w:t xml:space="preserve">  •  </w:t>
      </w:r>
      <w:r>
        <w:rPr>
          <w:rFonts w:ascii="Consolas" w:eastAsia="Consolas" w:hAnsi="Consolas"/>
          <w:color w:val="1F4D78"/>
          <w:sz w:val="17"/>
        </w:rPr>
        <w:t>docs/architecture/relationships-permissions-decisions.md</w:t>
      </w:r>
    </w:p>
    <w:p w14:paraId="54698CC5" w14:textId="77777777">
      <w:pPr>
        <w:pStyle w:val="Heading1"/>
      </w:pPr>
      <w:bookmarkStart w:id="19" w:name="troubleshooting"/>
      <w:r>
        <w:lastRenderedPageBreak/>
        <w:t>18. Troubleshooting guide</w:t>
      </w:r>
      <w:bookmarkEnd w:id="19"/>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700"/>
        <w:gridCol w:w="2150"/>
        <w:gridCol w:w="4510"/>
      </w:tblGrid>
      <w:tr w14:paraId="5C37FBB3" w14:textId="77777777">
        <w:trPr>
          <w:cantSplit/>
          <w:tblHeader/>
        </w:trPr>
        <w:tc>
          <w:tcPr>
            <w:tcW w:w="2700" w:type="dxa"/>
            <w:shd w:val="clear" w:color="auto" w:fill="E8EEF5"/>
            <w:tcMar>
              <w:top w:w="80" w:type="dxa"/>
              <w:left w:w="120" w:type="dxa"/>
              <w:bottom w:w="80" w:type="dxa"/>
              <w:right w:w="120" w:type="dxa"/>
            </w:tcMar>
            <w:vAlign w:val="center"/>
          </w:tcPr>
          <w:p w14:paraId="704A570E" w14:textId="77777777">
            <w:pPr>
              <w:spacing w:after="0"/>
            </w:pPr>
            <w:r>
              <w:rPr>
                <w:b/>
                <w:color w:val="0B2545"/>
                <w:sz w:val="19"/>
              </w:rPr>
              <w:t>Symptom</w:t>
            </w:r>
          </w:p>
        </w:tc>
        <w:tc>
          <w:tcPr>
            <w:tcW w:w="2150" w:type="dxa"/>
            <w:shd w:val="clear" w:color="auto" w:fill="E8EEF5"/>
            <w:tcMar>
              <w:top w:w="80" w:type="dxa"/>
              <w:left w:w="120" w:type="dxa"/>
              <w:bottom w:w="80" w:type="dxa"/>
              <w:right w:w="120" w:type="dxa"/>
            </w:tcMar>
            <w:vAlign w:val="center"/>
          </w:tcPr>
          <w:p w14:paraId="6EFA9DBB" w14:textId="77777777">
            <w:pPr>
              <w:spacing w:after="0"/>
            </w:pPr>
            <w:r>
              <w:rPr>
                <w:b/>
                <w:color w:val="0B2545"/>
                <w:sz w:val="19"/>
              </w:rPr>
              <w:t>Likely area</w:t>
            </w:r>
          </w:p>
        </w:tc>
        <w:tc>
          <w:tcPr>
            <w:tcW w:w="4510" w:type="dxa"/>
            <w:shd w:val="clear" w:color="auto" w:fill="E8EEF5"/>
            <w:tcMar>
              <w:top w:w="80" w:type="dxa"/>
              <w:left w:w="120" w:type="dxa"/>
              <w:bottom w:w="80" w:type="dxa"/>
              <w:right w:w="120" w:type="dxa"/>
            </w:tcMar>
            <w:vAlign w:val="center"/>
          </w:tcPr>
          <w:p w14:paraId="1F8213A2" w14:textId="77777777">
            <w:pPr>
              <w:spacing w:after="0"/>
            </w:pPr>
            <w:r>
              <w:rPr>
                <w:b/>
                <w:color w:val="0B2545"/>
                <w:sz w:val="19"/>
              </w:rPr>
              <w:t>Plain-English check</w:t>
            </w:r>
          </w:p>
        </w:tc>
      </w:tr>
      <w:tr w14:paraId="3744322A" w14:textId="77777777">
        <w:trPr>
          <w:cantSplit/>
        </w:trPr>
        <w:tc>
          <w:tcPr>
            <w:tcW w:w="2700" w:type="dxa"/>
            <w:tcMar>
              <w:top w:w="80" w:type="dxa"/>
              <w:left w:w="120" w:type="dxa"/>
              <w:bottom w:w="80" w:type="dxa"/>
              <w:right w:w="120" w:type="dxa"/>
            </w:tcMar>
            <w:vAlign w:val="center"/>
          </w:tcPr>
          <w:p w14:paraId="6ABFF7AA" w14:textId="77777777">
            <w:pPr>
              <w:spacing w:after="0" w:line="269" w:lineRule="auto"/>
            </w:pPr>
            <w:r>
              <w:rPr>
                <w:sz w:val="18"/>
              </w:rPr>
              <w:t>AADSTS50011 reply URL error</w:t>
            </w:r>
          </w:p>
        </w:tc>
        <w:tc>
          <w:tcPr>
            <w:tcW w:w="2150" w:type="dxa"/>
            <w:tcMar>
              <w:top w:w="80" w:type="dxa"/>
              <w:left w:w="120" w:type="dxa"/>
              <w:bottom w:w="80" w:type="dxa"/>
              <w:right w:w="120" w:type="dxa"/>
            </w:tcMar>
            <w:vAlign w:val="center"/>
          </w:tcPr>
          <w:p w14:paraId="618D1557" w14:textId="77777777">
            <w:pPr>
              <w:spacing w:after="0" w:line="269" w:lineRule="auto"/>
            </w:pPr>
            <w:r>
              <w:rPr>
                <w:sz w:val="18"/>
              </w:rPr>
              <w:t>SPA redirect</w:t>
            </w:r>
          </w:p>
        </w:tc>
        <w:tc>
          <w:tcPr>
            <w:tcW w:w="4510" w:type="dxa"/>
            <w:tcMar>
              <w:top w:w="80" w:type="dxa"/>
              <w:left w:w="120" w:type="dxa"/>
              <w:bottom w:w="80" w:type="dxa"/>
              <w:right w:w="120" w:type="dxa"/>
            </w:tcMar>
            <w:vAlign w:val="center"/>
          </w:tcPr>
          <w:p w14:paraId="7C78899C" w14:textId="77777777">
            <w:pPr>
              <w:spacing w:after="0" w:line="269" w:lineRule="auto"/>
            </w:pPr>
            <w:r>
              <w:rPr>
                <w:sz w:val="18"/>
              </w:rPr>
              <w:t>Register the exact window.location.origin value as an SPA redirect; remove typo/path/trailing-address mismatch.</w:t>
            </w:r>
          </w:p>
        </w:tc>
      </w:tr>
      <w:tr w14:paraId="188AA34B" w14:textId="77777777">
        <w:trPr>
          <w:cantSplit/>
        </w:trPr>
        <w:tc>
          <w:tcPr>
            <w:tcW w:w="2700" w:type="dxa"/>
            <w:tcMar>
              <w:top w:w="80" w:type="dxa"/>
              <w:left w:w="120" w:type="dxa"/>
              <w:bottom w:w="80" w:type="dxa"/>
              <w:right w:w="120" w:type="dxa"/>
            </w:tcMar>
            <w:vAlign w:val="center"/>
          </w:tcPr>
          <w:p w14:paraId="4E453EE9" w14:textId="77777777">
            <w:pPr>
              <w:spacing w:after="0" w:line="269" w:lineRule="auto"/>
            </w:pPr>
            <w:r>
              <w:rPr>
                <w:sz w:val="18"/>
              </w:rPr>
              <w:t>Consent button disabled</w:t>
            </w:r>
          </w:p>
        </w:tc>
        <w:tc>
          <w:tcPr>
            <w:tcW w:w="2150" w:type="dxa"/>
            <w:tcMar>
              <w:top w:w="80" w:type="dxa"/>
              <w:left w:w="120" w:type="dxa"/>
              <w:bottom w:w="80" w:type="dxa"/>
              <w:right w:w="120" w:type="dxa"/>
            </w:tcMar>
            <w:vAlign w:val="center"/>
          </w:tcPr>
          <w:p w14:paraId="518B5FB0" w14:textId="77777777">
            <w:pPr>
              <w:spacing w:after="0" w:line="269" w:lineRule="auto"/>
            </w:pPr>
            <w:r>
              <w:rPr>
                <w:sz w:val="18"/>
              </w:rPr>
              <w:t>Entra privilege</w:t>
            </w:r>
          </w:p>
        </w:tc>
        <w:tc>
          <w:tcPr>
            <w:tcW w:w="4510" w:type="dxa"/>
            <w:tcMar>
              <w:top w:w="80" w:type="dxa"/>
              <w:left w:w="120" w:type="dxa"/>
              <w:bottom w:w="80" w:type="dxa"/>
              <w:right w:w="120" w:type="dxa"/>
            </w:tcMar>
            <w:vAlign w:val="center"/>
          </w:tcPr>
          <w:p w14:paraId="6AE2C41E" w14:textId="77777777">
            <w:pPr>
              <w:spacing w:after="0" w:line="269" w:lineRule="auto"/>
            </w:pPr>
            <w:r>
              <w:rPr>
                <w:sz w:val="18"/>
              </w:rPr>
              <w:t>Use an authorised Cloud/Application Administrator or Privileged Role Administrator through college PAM; do not create a duplicate app.</w:t>
            </w:r>
          </w:p>
        </w:tc>
      </w:tr>
      <w:tr w14:paraId="614E7A11" w14:textId="77777777">
        <w:trPr>
          <w:cantSplit/>
        </w:trPr>
        <w:tc>
          <w:tcPr>
            <w:tcW w:w="2700" w:type="dxa"/>
            <w:tcMar>
              <w:top w:w="80" w:type="dxa"/>
              <w:left w:w="120" w:type="dxa"/>
              <w:bottom w:w="80" w:type="dxa"/>
              <w:right w:w="120" w:type="dxa"/>
            </w:tcMar>
            <w:vAlign w:val="center"/>
          </w:tcPr>
          <w:p w14:paraId="19A73968" w14:textId="77777777">
            <w:pPr>
              <w:spacing w:after="0" w:line="269" w:lineRule="auto"/>
            </w:pPr>
            <w:r>
              <w:rPr>
                <w:sz w:val="18"/>
              </w:rPr>
              <w:t>401 from API</w:t>
            </w:r>
          </w:p>
        </w:tc>
        <w:tc>
          <w:tcPr>
            <w:tcW w:w="2150" w:type="dxa"/>
            <w:tcMar>
              <w:top w:w="80" w:type="dxa"/>
              <w:left w:w="120" w:type="dxa"/>
              <w:bottom w:w="80" w:type="dxa"/>
              <w:right w:w="120" w:type="dxa"/>
            </w:tcMar>
            <w:vAlign w:val="center"/>
          </w:tcPr>
          <w:p w14:paraId="3F52175C" w14:textId="77777777">
            <w:pPr>
              <w:spacing w:after="0" w:line="269" w:lineRule="auto"/>
            </w:pPr>
            <w:r>
              <w:rPr>
                <w:sz w:val="18"/>
              </w:rPr>
              <w:t>Token/registration</w:t>
            </w:r>
          </w:p>
        </w:tc>
        <w:tc>
          <w:tcPr>
            <w:tcW w:w="4510" w:type="dxa"/>
            <w:tcMar>
              <w:top w:w="80" w:type="dxa"/>
              <w:left w:w="120" w:type="dxa"/>
              <w:bottom w:w="80" w:type="dxa"/>
              <w:right w:w="120" w:type="dxa"/>
            </w:tcMar>
            <w:vAlign w:val="center"/>
          </w:tcPr>
          <w:p w14:paraId="4B56F053" w14:textId="77777777">
            <w:pPr>
              <w:spacing w:after="0" w:line="269" w:lineRule="auto"/>
            </w:pPr>
            <w:r>
              <w:rPr>
                <w:sz w:val="18"/>
              </w:rPr>
              <w:t>Check browser requested the exact access_as_user scope and API validates the expected tenant/audience.</w:t>
            </w:r>
          </w:p>
        </w:tc>
      </w:tr>
      <w:tr w14:paraId="39DBF06F" w14:textId="77777777">
        <w:trPr>
          <w:cantSplit/>
        </w:trPr>
        <w:tc>
          <w:tcPr>
            <w:tcW w:w="2700" w:type="dxa"/>
            <w:tcMar>
              <w:top w:w="80" w:type="dxa"/>
              <w:left w:w="120" w:type="dxa"/>
              <w:bottom w:w="80" w:type="dxa"/>
              <w:right w:w="120" w:type="dxa"/>
            </w:tcMar>
            <w:vAlign w:val="center"/>
          </w:tcPr>
          <w:p w14:paraId="1AADB6D2" w14:textId="77777777">
            <w:pPr>
              <w:spacing w:after="0" w:line="269" w:lineRule="auto"/>
            </w:pPr>
            <w:r>
              <w:rPr>
                <w:sz w:val="18"/>
              </w:rPr>
              <w:t>403 from API</w:t>
            </w:r>
          </w:p>
        </w:tc>
        <w:tc>
          <w:tcPr>
            <w:tcW w:w="2150" w:type="dxa"/>
            <w:tcMar>
              <w:top w:w="80" w:type="dxa"/>
              <w:left w:w="120" w:type="dxa"/>
              <w:bottom w:w="80" w:type="dxa"/>
              <w:right w:w="120" w:type="dxa"/>
            </w:tcMar>
            <w:vAlign w:val="center"/>
          </w:tcPr>
          <w:p w14:paraId="154B4532" w14:textId="77777777">
            <w:pPr>
              <w:spacing w:after="0" w:line="269" w:lineRule="auto"/>
            </w:pPr>
            <w:r>
              <w:rPr>
                <w:sz w:val="18"/>
              </w:rPr>
              <w:t>Application permission/scope</w:t>
            </w:r>
          </w:p>
        </w:tc>
        <w:tc>
          <w:tcPr>
            <w:tcW w:w="4510" w:type="dxa"/>
            <w:tcMar>
              <w:top w:w="80" w:type="dxa"/>
              <w:left w:w="120" w:type="dxa"/>
              <w:bottom w:w="80" w:type="dxa"/>
              <w:right w:w="120" w:type="dxa"/>
            </w:tcMar>
            <w:vAlign w:val="center"/>
          </w:tcPr>
          <w:p w14:paraId="03AA5DC5" w14:textId="77777777">
            <w:pPr>
              <w:spacing w:after="0" w:line="269" w:lineRule="auto"/>
            </w:pPr>
            <w:r>
              <w:rPr>
                <w:sz w:val="18"/>
              </w:rPr>
              <w:t>Check active staff record, role, faculty/team scope, leadership and review assignment. UI visibility is not proof.</w:t>
            </w:r>
          </w:p>
        </w:tc>
      </w:tr>
      <w:tr w14:paraId="1AFEB2F8" w14:textId="77777777">
        <w:trPr>
          <w:cantSplit/>
        </w:trPr>
        <w:tc>
          <w:tcPr>
            <w:tcW w:w="2700" w:type="dxa"/>
            <w:tcMar>
              <w:top w:w="80" w:type="dxa"/>
              <w:left w:w="120" w:type="dxa"/>
              <w:bottom w:w="80" w:type="dxa"/>
              <w:right w:w="120" w:type="dxa"/>
            </w:tcMar>
            <w:vAlign w:val="center"/>
          </w:tcPr>
          <w:p w14:paraId="45A3B00F" w14:textId="77777777">
            <w:pPr>
              <w:spacing w:after="0" w:line="269" w:lineRule="auto"/>
            </w:pPr>
            <w:r>
              <w:rPr>
                <w:sz w:val="18"/>
              </w:rPr>
              <w:t>/health/live 200, /health/ready 503</w:t>
            </w:r>
          </w:p>
        </w:tc>
        <w:tc>
          <w:tcPr>
            <w:tcW w:w="2150" w:type="dxa"/>
            <w:tcMar>
              <w:top w:w="80" w:type="dxa"/>
              <w:left w:w="120" w:type="dxa"/>
              <w:bottom w:w="80" w:type="dxa"/>
              <w:right w:w="120" w:type="dxa"/>
            </w:tcMar>
            <w:vAlign w:val="center"/>
          </w:tcPr>
          <w:p w14:paraId="33A61235" w14:textId="77777777">
            <w:pPr>
              <w:spacing w:after="0" w:line="269" w:lineRule="auto"/>
            </w:pPr>
            <w:r>
              <w:rPr>
                <w:sz w:val="18"/>
              </w:rPr>
              <w:t>Database</w:t>
            </w:r>
          </w:p>
        </w:tc>
        <w:tc>
          <w:tcPr>
            <w:tcW w:w="4510" w:type="dxa"/>
            <w:tcMar>
              <w:top w:w="80" w:type="dxa"/>
              <w:left w:w="120" w:type="dxa"/>
              <w:bottom w:w="80" w:type="dxa"/>
              <w:right w:w="120" w:type="dxa"/>
            </w:tcMar>
            <w:vAlign w:val="center"/>
          </w:tcPr>
          <w:p w14:paraId="05153E2B" w14:textId="77777777">
            <w:pPr>
              <w:spacing w:after="0" w:line="269" w:lineRule="auto"/>
            </w:pPr>
            <w:r>
              <w:rPr>
                <w:sz w:val="18"/>
              </w:rPr>
              <w:t>Check SQL networking, managed identity contained user, reader/writer/EXECUTE and connection settings.</w:t>
            </w:r>
          </w:p>
        </w:tc>
      </w:tr>
      <w:tr w14:paraId="20AD62EE" w14:textId="77777777">
        <w:trPr>
          <w:cantSplit/>
        </w:trPr>
        <w:tc>
          <w:tcPr>
            <w:tcW w:w="2700" w:type="dxa"/>
            <w:tcMar>
              <w:top w:w="80" w:type="dxa"/>
              <w:left w:w="120" w:type="dxa"/>
              <w:bottom w:w="80" w:type="dxa"/>
              <w:right w:w="120" w:type="dxa"/>
            </w:tcMar>
            <w:vAlign w:val="center"/>
          </w:tcPr>
          <w:p w14:paraId="3824822D" w14:textId="77777777">
            <w:pPr>
              <w:spacing w:after="0" w:line="269" w:lineRule="auto"/>
            </w:pPr>
            <w:r>
              <w:rPr>
                <w:sz w:val="18"/>
              </w:rPr>
              <w:t>App will not start</w:t>
            </w:r>
          </w:p>
        </w:tc>
        <w:tc>
          <w:tcPr>
            <w:tcW w:w="2150" w:type="dxa"/>
            <w:tcMar>
              <w:top w:w="80" w:type="dxa"/>
              <w:left w:w="120" w:type="dxa"/>
              <w:bottom w:w="80" w:type="dxa"/>
              <w:right w:w="120" w:type="dxa"/>
            </w:tcMar>
            <w:vAlign w:val="center"/>
          </w:tcPr>
          <w:p w14:paraId="6BA2C705" w14:textId="77777777">
            <w:pPr>
              <w:spacing w:after="0" w:line="269" w:lineRule="auto"/>
            </w:pPr>
            <w:r>
              <w:rPr>
                <w:sz w:val="18"/>
              </w:rPr>
              <w:t>Production configuration</w:t>
            </w:r>
          </w:p>
        </w:tc>
        <w:tc>
          <w:tcPr>
            <w:tcW w:w="4510" w:type="dxa"/>
            <w:tcMar>
              <w:top w:w="80" w:type="dxa"/>
              <w:left w:w="120" w:type="dxa"/>
              <w:bottom w:w="80" w:type="dxa"/>
              <w:right w:w="120" w:type="dxa"/>
            </w:tcMar>
            <w:vAlign w:val="center"/>
          </w:tcPr>
          <w:p w14:paraId="5EBA0061" w14:textId="77777777">
            <w:pPr>
              <w:spacing w:after="0" w:line="269" w:lineRule="auto"/>
            </w:pPr>
            <w:r>
              <w:rPr>
                <w:sz w:val="18"/>
              </w:rPr>
              <w:t>Check tenant, audience, SQL string and both data-protection settings. Production deliberately refuses incomplete protection.</w:t>
            </w:r>
          </w:p>
        </w:tc>
      </w:tr>
      <w:tr w14:paraId="4FFD8F70" w14:textId="77777777">
        <w:trPr>
          <w:cantSplit/>
        </w:trPr>
        <w:tc>
          <w:tcPr>
            <w:tcW w:w="2700" w:type="dxa"/>
            <w:tcMar>
              <w:top w:w="80" w:type="dxa"/>
              <w:left w:w="120" w:type="dxa"/>
              <w:bottom w:w="80" w:type="dxa"/>
              <w:right w:w="120" w:type="dxa"/>
            </w:tcMar>
            <w:vAlign w:val="center"/>
          </w:tcPr>
          <w:p w14:paraId="36B90832" w14:textId="77777777">
            <w:pPr>
              <w:spacing w:after="0" w:line="269" w:lineRule="auto"/>
            </w:pPr>
            <w:r>
              <w:rPr>
                <w:sz w:val="18"/>
              </w:rPr>
              <w:t>Key Vault or Blob 403</w:t>
            </w:r>
          </w:p>
        </w:tc>
        <w:tc>
          <w:tcPr>
            <w:tcW w:w="2150" w:type="dxa"/>
            <w:tcMar>
              <w:top w:w="80" w:type="dxa"/>
              <w:left w:w="120" w:type="dxa"/>
              <w:bottom w:w="80" w:type="dxa"/>
              <w:right w:w="120" w:type="dxa"/>
            </w:tcMar>
            <w:vAlign w:val="center"/>
          </w:tcPr>
          <w:p w14:paraId="737C47CB" w14:textId="77777777">
            <w:pPr>
              <w:spacing w:after="0" w:line="269" w:lineRule="auto"/>
            </w:pPr>
            <w:r>
              <w:rPr>
                <w:sz w:val="18"/>
              </w:rPr>
              <w:t>Managed identity/RBAC/network</w:t>
            </w:r>
          </w:p>
        </w:tc>
        <w:tc>
          <w:tcPr>
            <w:tcW w:w="4510" w:type="dxa"/>
            <w:tcMar>
              <w:top w:w="80" w:type="dxa"/>
              <w:left w:w="120" w:type="dxa"/>
              <w:bottom w:w="80" w:type="dxa"/>
              <w:right w:w="120" w:type="dxa"/>
            </w:tcMar>
            <w:vAlign w:val="center"/>
          </w:tcPr>
          <w:p w14:paraId="01DB2A97" w14:textId="77777777">
            <w:pPr>
              <w:spacing w:after="0" w:line="269" w:lineRule="auto"/>
            </w:pPr>
            <w:r>
              <w:rPr>
                <w:sz w:val="18"/>
              </w:rPr>
              <w:t>Compare current web app principal with role assignments; check private DNS/firewall and allow RBAC propagation time.</w:t>
            </w:r>
          </w:p>
        </w:tc>
      </w:tr>
      <w:tr w14:paraId="3F9BD394" w14:textId="77777777">
        <w:trPr>
          <w:cantSplit/>
        </w:trPr>
        <w:tc>
          <w:tcPr>
            <w:tcW w:w="2700" w:type="dxa"/>
            <w:tcMar>
              <w:top w:w="80" w:type="dxa"/>
              <w:left w:w="120" w:type="dxa"/>
              <w:bottom w:w="80" w:type="dxa"/>
              <w:right w:w="120" w:type="dxa"/>
            </w:tcMar>
            <w:vAlign w:val="center"/>
          </w:tcPr>
          <w:p w14:paraId="4D749873" w14:textId="77777777">
            <w:pPr>
              <w:spacing w:after="0" w:line="269" w:lineRule="auto"/>
            </w:pPr>
            <w:r>
              <w:rPr>
                <w:sz w:val="18"/>
              </w:rPr>
              <w:t>ZIP deploy succeeds, site unhealthy</w:t>
            </w:r>
          </w:p>
        </w:tc>
        <w:tc>
          <w:tcPr>
            <w:tcW w:w="2150" w:type="dxa"/>
            <w:tcMar>
              <w:top w:w="80" w:type="dxa"/>
              <w:left w:w="120" w:type="dxa"/>
              <w:bottom w:w="80" w:type="dxa"/>
              <w:right w:w="120" w:type="dxa"/>
            </w:tcMar>
            <w:vAlign w:val="center"/>
          </w:tcPr>
          <w:p w14:paraId="0D095FAD" w14:textId="77777777">
            <w:pPr>
              <w:spacing w:after="0" w:line="269" w:lineRule="auto"/>
            </w:pPr>
            <w:r>
              <w:rPr>
                <w:sz w:val="18"/>
              </w:rPr>
              <w:t>Package/runtime/startup</w:t>
            </w:r>
          </w:p>
        </w:tc>
        <w:tc>
          <w:tcPr>
            <w:tcW w:w="4510" w:type="dxa"/>
            <w:tcMar>
              <w:top w:w="80" w:type="dxa"/>
              <w:left w:w="120" w:type="dxa"/>
              <w:bottom w:w="80" w:type="dxa"/>
              <w:right w:w="120" w:type="dxa"/>
            </w:tcMar>
            <w:vAlign w:val="center"/>
          </w:tcPr>
          <w:p w14:paraId="3BA838E7" w14:textId="77777777">
            <w:pPr>
              <w:spacing w:after="0" w:line="269" w:lineRule="auto"/>
            </w:pPr>
            <w:r>
              <w:rPr>
                <w:sz w:val="18"/>
              </w:rPr>
              <w:t>Check TLQS.Api.dll at ZIP root, linuxFxVersion .NET 10, startup command, logs and DB readiness.</w:t>
            </w:r>
          </w:p>
        </w:tc>
      </w:tr>
      <w:tr w14:paraId="1A6AE1E7" w14:textId="77777777">
        <w:trPr>
          <w:cantSplit/>
        </w:trPr>
        <w:tc>
          <w:tcPr>
            <w:tcW w:w="2700" w:type="dxa"/>
            <w:tcMar>
              <w:top w:w="80" w:type="dxa"/>
              <w:left w:w="120" w:type="dxa"/>
              <w:bottom w:w="80" w:type="dxa"/>
              <w:right w:w="120" w:type="dxa"/>
            </w:tcMar>
            <w:vAlign w:val="center"/>
          </w:tcPr>
          <w:p w14:paraId="5810B08D" w14:textId="77777777">
            <w:pPr>
              <w:spacing w:after="0" w:line="269" w:lineRule="auto"/>
            </w:pPr>
            <w:r>
              <w:rPr>
                <w:sz w:val="18"/>
              </w:rPr>
              <w:t>First request slow</w:t>
            </w:r>
          </w:p>
        </w:tc>
        <w:tc>
          <w:tcPr>
            <w:tcW w:w="2150" w:type="dxa"/>
            <w:tcMar>
              <w:top w:w="80" w:type="dxa"/>
              <w:left w:w="120" w:type="dxa"/>
              <w:bottom w:w="80" w:type="dxa"/>
              <w:right w:w="120" w:type="dxa"/>
            </w:tcMar>
            <w:vAlign w:val="center"/>
          </w:tcPr>
          <w:p w14:paraId="1351FE9F" w14:textId="77777777">
            <w:pPr>
              <w:spacing w:after="0" w:line="269" w:lineRule="auto"/>
            </w:pPr>
            <w:r>
              <w:rPr>
                <w:sz w:val="18"/>
              </w:rPr>
              <w:t>SQL serverless resume</w:t>
            </w:r>
          </w:p>
        </w:tc>
        <w:tc>
          <w:tcPr>
            <w:tcW w:w="4510" w:type="dxa"/>
            <w:tcMar>
              <w:top w:w="80" w:type="dxa"/>
              <w:left w:w="120" w:type="dxa"/>
              <w:bottom w:w="80" w:type="dxa"/>
              <w:right w:w="120" w:type="dxa"/>
            </w:tcMar>
            <w:vAlign w:val="center"/>
          </w:tcPr>
          <w:p w14:paraId="4BA1D4BB" w14:textId="77777777">
            <w:pPr>
              <w:spacing w:after="0" w:line="269" w:lineRule="auto"/>
            </w:pPr>
            <w:r>
              <w:rPr>
                <w:sz w:val="18"/>
              </w:rPr>
              <w:t>Check whether Azure SQL paused; use retry/monitoring and decide whether serverless is appropriate.</w:t>
            </w:r>
          </w:p>
        </w:tc>
      </w:tr>
      <w:tr w14:paraId="7947E51E" w14:textId="77777777">
        <w:trPr>
          <w:cantSplit/>
        </w:trPr>
        <w:tc>
          <w:tcPr>
            <w:tcW w:w="2700" w:type="dxa"/>
            <w:tcMar>
              <w:top w:w="80" w:type="dxa"/>
              <w:left w:w="120" w:type="dxa"/>
              <w:bottom w:w="80" w:type="dxa"/>
              <w:right w:w="120" w:type="dxa"/>
            </w:tcMar>
            <w:vAlign w:val="center"/>
          </w:tcPr>
          <w:p w14:paraId="116917D6" w14:textId="77777777">
            <w:pPr>
              <w:spacing w:after="0" w:line="269" w:lineRule="auto"/>
            </w:pPr>
            <w:r>
              <w:rPr>
                <w:sz w:val="18"/>
              </w:rPr>
              <w:t>SQL never pauses</w:t>
            </w:r>
          </w:p>
        </w:tc>
        <w:tc>
          <w:tcPr>
            <w:tcW w:w="2150" w:type="dxa"/>
            <w:tcMar>
              <w:top w:w="80" w:type="dxa"/>
              <w:left w:w="120" w:type="dxa"/>
              <w:bottom w:w="80" w:type="dxa"/>
              <w:right w:w="120" w:type="dxa"/>
            </w:tcMar>
            <w:vAlign w:val="center"/>
          </w:tcPr>
          <w:p w14:paraId="07C43A12" w14:textId="77777777">
            <w:pPr>
              <w:spacing w:after="0" w:line="269" w:lineRule="auto"/>
            </w:pPr>
            <w:r>
              <w:rPr>
                <w:sz w:val="18"/>
              </w:rPr>
              <w:t>Health traffic/session</w:t>
            </w:r>
          </w:p>
        </w:tc>
        <w:tc>
          <w:tcPr>
            <w:tcW w:w="4510" w:type="dxa"/>
            <w:tcMar>
              <w:top w:w="80" w:type="dxa"/>
              <w:left w:w="120" w:type="dxa"/>
              <w:bottom w:w="80" w:type="dxa"/>
              <w:right w:w="120" w:type="dxa"/>
            </w:tcMar>
            <w:vAlign w:val="center"/>
          </w:tcPr>
          <w:p w14:paraId="0DF48967" w14:textId="77777777">
            <w:pPr>
              <w:spacing w:after="0" w:line="269" w:lineRule="auto"/>
            </w:pPr>
            <w:r>
              <w:rPr>
                <w:sz w:val="18"/>
              </w:rPr>
              <w:t>Health check queries /health/ready every minute; inspect sessions and cost, then choose reliability vs pause intentionally.</w:t>
            </w:r>
          </w:p>
        </w:tc>
      </w:tr>
      <w:tr w14:paraId="727D0CE4" w14:textId="77777777">
        <w:trPr>
          <w:cantSplit/>
        </w:trPr>
        <w:tc>
          <w:tcPr>
            <w:tcW w:w="2700" w:type="dxa"/>
            <w:tcMar>
              <w:top w:w="80" w:type="dxa"/>
              <w:left w:w="120" w:type="dxa"/>
              <w:bottom w:w="80" w:type="dxa"/>
              <w:right w:w="120" w:type="dxa"/>
            </w:tcMar>
            <w:vAlign w:val="center"/>
          </w:tcPr>
          <w:p w14:paraId="562DB2A6" w14:textId="77777777">
            <w:pPr>
              <w:spacing w:after="0" w:line="269" w:lineRule="auto"/>
            </w:pPr>
            <w:r>
              <w:rPr>
                <w:sz w:val="18"/>
              </w:rPr>
              <w:t>New user sees onboarding</w:t>
            </w:r>
          </w:p>
        </w:tc>
        <w:tc>
          <w:tcPr>
            <w:tcW w:w="2150" w:type="dxa"/>
            <w:tcMar>
              <w:top w:w="80" w:type="dxa"/>
              <w:left w:w="120" w:type="dxa"/>
              <w:bottom w:w="80" w:type="dxa"/>
              <w:right w:w="120" w:type="dxa"/>
            </w:tcMar>
            <w:vAlign w:val="center"/>
          </w:tcPr>
          <w:p w14:paraId="322B62CC" w14:textId="77777777">
            <w:pPr>
              <w:spacing w:after="0" w:line="269" w:lineRule="auto"/>
            </w:pPr>
            <w:r>
              <w:rPr>
                <w:sz w:val="18"/>
              </w:rPr>
              <w:t>Expected first-use path</w:t>
            </w:r>
          </w:p>
        </w:tc>
        <w:tc>
          <w:tcPr>
            <w:tcW w:w="4510" w:type="dxa"/>
            <w:tcMar>
              <w:top w:w="80" w:type="dxa"/>
              <w:left w:w="120" w:type="dxa"/>
              <w:bottom w:w="80" w:type="dxa"/>
              <w:right w:w="120" w:type="dxa"/>
            </w:tcMar>
            <w:vAlign w:val="center"/>
          </w:tcPr>
          <w:p w14:paraId="4579F371" w14:textId="77777777">
            <w:pPr>
              <w:spacing w:after="0" w:line="269" w:lineRule="auto"/>
            </w:pPr>
            <w:r>
              <w:rPr>
                <w:sz w:val="18"/>
              </w:rPr>
              <w:t>Confirm the tenant user is approved, selects the correct faculty/team/category and receives staff role; admin assigns leadership later.</w:t>
            </w:r>
          </w:p>
        </w:tc>
      </w:tr>
      <w:tr w14:paraId="0BBE30DD" w14:textId="77777777">
        <w:trPr>
          <w:cantSplit/>
        </w:trPr>
        <w:tc>
          <w:tcPr>
            <w:tcW w:w="2700" w:type="dxa"/>
            <w:tcMar>
              <w:top w:w="80" w:type="dxa"/>
              <w:left w:w="120" w:type="dxa"/>
              <w:bottom w:w="80" w:type="dxa"/>
              <w:right w:w="120" w:type="dxa"/>
            </w:tcMar>
            <w:vAlign w:val="center"/>
          </w:tcPr>
          <w:p w14:paraId="426474AC" w14:textId="77777777">
            <w:pPr>
              <w:spacing w:after="0" w:line="269" w:lineRule="auto"/>
            </w:pPr>
            <w:r>
              <w:rPr>
                <w:sz w:val="18"/>
              </w:rPr>
              <w:t>Report is empty</w:t>
            </w:r>
          </w:p>
        </w:tc>
        <w:tc>
          <w:tcPr>
            <w:tcW w:w="2150" w:type="dxa"/>
            <w:tcMar>
              <w:top w:w="80" w:type="dxa"/>
              <w:left w:w="120" w:type="dxa"/>
              <w:bottom w:w="80" w:type="dxa"/>
              <w:right w:w="120" w:type="dxa"/>
            </w:tcMar>
            <w:vAlign w:val="center"/>
          </w:tcPr>
          <w:p w14:paraId="22DCCF6A" w14:textId="77777777">
            <w:pPr>
              <w:spacing w:after="0" w:line="269" w:lineRule="auto"/>
            </w:pPr>
            <w:r>
              <w:rPr>
                <w:sz w:val="18"/>
              </w:rPr>
              <w:t>Academic year/filter/scope</w:t>
            </w:r>
          </w:p>
        </w:tc>
        <w:tc>
          <w:tcPr>
            <w:tcW w:w="4510" w:type="dxa"/>
            <w:tcMar>
              <w:top w:w="80" w:type="dxa"/>
              <w:left w:w="120" w:type="dxa"/>
              <w:bottom w:w="80" w:type="dxa"/>
              <w:right w:w="120" w:type="dxa"/>
            </w:tcMar>
            <w:vAlign w:val="center"/>
          </w:tcPr>
          <w:p w14:paraId="0C0DE2B0" w14:textId="77777777">
            <w:pPr>
              <w:spacing w:after="0" w:line="269" w:lineRule="auto"/>
            </w:pPr>
            <w:r>
              <w:rPr>
                <w:sz w:val="18"/>
              </w:rPr>
              <w:t>Check selected year, review state, faculty/team filters and server-calculated access; do not broaden scope just to make data appear.</w:t>
            </w:r>
          </w:p>
        </w:tc>
      </w:tr>
      <w:tr w14:paraId="3E03BB36" w14:textId="77777777">
        <w:trPr>
          <w:cantSplit/>
        </w:trPr>
        <w:tc>
          <w:tcPr>
            <w:tcW w:w="2700" w:type="dxa"/>
            <w:tcMar>
              <w:top w:w="80" w:type="dxa"/>
              <w:left w:w="120" w:type="dxa"/>
              <w:bottom w:w="80" w:type="dxa"/>
              <w:right w:w="120" w:type="dxa"/>
            </w:tcMar>
            <w:vAlign w:val="center"/>
          </w:tcPr>
          <w:p w14:paraId="1A65473C" w14:textId="77777777">
            <w:pPr>
              <w:spacing w:after="0" w:line="269" w:lineRule="auto"/>
            </w:pPr>
            <w:r>
              <w:rPr>
                <w:sz w:val="18"/>
              </w:rPr>
              <w:t>Migration checksum error</w:t>
            </w:r>
          </w:p>
        </w:tc>
        <w:tc>
          <w:tcPr>
            <w:tcW w:w="2150" w:type="dxa"/>
            <w:tcMar>
              <w:top w:w="80" w:type="dxa"/>
              <w:left w:w="120" w:type="dxa"/>
              <w:bottom w:w="80" w:type="dxa"/>
              <w:right w:w="120" w:type="dxa"/>
            </w:tcMar>
            <w:vAlign w:val="center"/>
          </w:tcPr>
          <w:p w14:paraId="3A6A7E12" w14:textId="77777777">
            <w:pPr>
              <w:spacing w:after="0" w:line="269" w:lineRule="auto"/>
            </w:pPr>
            <w:r>
              <w:rPr>
                <w:sz w:val="18"/>
              </w:rPr>
              <w:t>Edited history</w:t>
            </w:r>
          </w:p>
        </w:tc>
        <w:tc>
          <w:tcPr>
            <w:tcW w:w="4510" w:type="dxa"/>
            <w:tcMar>
              <w:top w:w="80" w:type="dxa"/>
              <w:left w:w="120" w:type="dxa"/>
              <w:bottom w:w="80" w:type="dxa"/>
              <w:right w:w="120" w:type="dxa"/>
            </w:tcMar>
            <w:vAlign w:val="center"/>
          </w:tcPr>
          <w:p w14:paraId="22735800" w14:textId="77777777">
            <w:pPr>
              <w:spacing w:after="0" w:line="269" w:lineRule="auto"/>
            </w:pPr>
            <w:r>
              <w:rPr>
                <w:sz w:val="18"/>
              </w:rPr>
              <w:t>Stop. Restore the migration file from the accepted source and add a new forward-only migration for any new change.</w:t>
            </w:r>
          </w:p>
        </w:tc>
      </w:tr>
    </w:tbl>
    <w:p w14:paraId="3031DDD6" w14:textId="77777777">
      <w:pPr>
        <w:spacing w:after="20"/>
      </w:pPr>
    </w:p>
    <w:p w14:paraId="04181EB5" w14:textId="77777777">
      <w:pPr>
        <w:pStyle w:val="Heading2"/>
      </w:pPr>
      <w:r>
        <w:lastRenderedPageBreak/>
        <w:t>Fast evidence commands</w:t>
      </w:r>
    </w:p>
    <w:p w14:paraId="2C5EAF91" w14:textId="77777777">
      <w:pPr>
        <w:pStyle w:val="CodeBlock"/>
        <w:shd w:val="clear" w:color="auto" w:fill="F2F4F7"/>
      </w:pPr>
      <w:r>
        <w:t>az webapp show -g rg-ielevate-prod-uks -n '&lt;web-app&gt;' `</w:t>
      </w:r>
      <w:r>
        <w:br/>
        <w:t xml:space="preserve">  --query "{state:state,host:defaultHostName,identity:identity.principalId}"</w:t>
      </w:r>
      <w:r>
        <w:br/>
      </w:r>
      <w:r>
        <w:br/>
      </w:r>
      <w:r>
        <w:t>az webapp config show -g rg-ielevate-prod-uks -n '&lt;web-app&gt;' `</w:t>
      </w:r>
      <w:r>
        <w:br/>
        <w:t xml:space="preserve">  --query "{runtime:linuxFxVersion,health:healthCheckPath,alwaysOn:alwaysOn}"</w:t>
      </w:r>
      <w:r>
        <w:br/>
      </w:r>
      <w:r>
        <w:br/>
        <w:t>Invoke-RestMethod 'https://&lt;host&gt;/health/live'</w:t>
      </w:r>
      <w:r>
        <w:br/>
        <w:t>Invoke-RestMethod 'https://&lt;host&gt;/health/ready'</w:t>
      </w:r>
    </w:p>
    <w:tbl>
      <w:tblPr>
        <w:tblStyle w:val="TableGrid"/>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14:paraId="7AE98798" w14:textId="77777777">
        <w:trPr>
          <w:cantSplit/>
          <w:tblHeader/>
        </w:trPr>
        <w:tc>
          <w:tcPr>
            <w:tcW w:w="9360" w:type="dxa"/>
            <w:shd w:val="clear" w:color="auto" w:fill="FFF4CC"/>
            <w:tcMar>
              <w:top w:w="80" w:type="dxa"/>
              <w:left w:w="120" w:type="dxa"/>
              <w:bottom w:w="80" w:type="dxa"/>
              <w:right w:w="120" w:type="dxa"/>
            </w:tcMar>
            <w:vAlign w:val="center"/>
          </w:tcPr>
          <w:p w14:paraId="47820ECA" w14:textId="77777777">
            <w:pPr>
              <w:spacing w:after="60"/>
            </w:pPr>
            <w:r>
              <w:rPr>
                <w:b/>
                <w:color w:val="7A5A00"/>
              </w:rPr>
              <w:t>Protect troubleshooting output</w:t>
            </w:r>
          </w:p>
          <w:p w14:paraId="637E2F4D" w14:textId="77777777">
            <w:pPr>
              <w:spacing w:after="0"/>
            </w:pPr>
            <w:r>
              <w:rPr>
                <w:sz w:val="20"/>
              </w:rPr>
              <w:t>App settings, SQL results and logs can reveal environment details or staff information. Store diagnostic evidence only in the controlled incident/change record, redact it before sharing and never paste access tokens or passwords.</w:t>
            </w:r>
          </w:p>
        </w:tc>
      </w:tr>
    </w:tbl>
    <w:p w14:paraId="6C03BE43" w14:textId="77777777">
      <w:pPr>
        <w:spacing w:after="20"/>
      </w:pPr>
    </w:p>
    <w:p w14:paraId="66A70DD8" w14:textId="77777777">
      <w:pPr>
        <w:pStyle w:val="Heading1"/>
      </w:pPr>
      <w:bookmarkStart w:id="20" w:name="handover_pack"/>
      <w:r>
        <w:lastRenderedPageBreak/>
        <w:t>19. Formal handover pack</w:t>
      </w:r>
      <w:bookmarkEnd w:id="20"/>
    </w:p>
    <w:p w14:paraId="31CAFAE6" w14:textId="77777777">
      <w:r>
        <w:t>The handover is complete only when another authorised college team can build, deploy, operate and recover the service without the original developer's personal account or memory.</w:t>
      </w:r>
    </w:p>
    <w:p w14:paraId="530824D1" w14:textId="77777777">
      <w:pPr>
        <w:pStyle w:val="Heading2"/>
      </w:pPr>
      <w:r>
        <w:t>Deliver together</w:t>
      </w:r>
    </w:p>
    <w:p w14:paraId="7A7948E7" w14:textId="77777777">
      <w:pPr>
        <w:spacing w:after="80"/>
        <w:ind w:left="29"/>
      </w:pPr>
      <w:r>
        <w:rPr>
          <w:b/>
          <w:color w:val="2CB5A9"/>
        </w:rPr>
        <w:t>☐</w:t>
      </w:r>
      <w:r>
        <w:rPr>
          <w:b/>
          <w:color w:val="2CB5A9"/>
        </w:rPr>
        <w:t xml:space="preserve">  </w:t>
      </w:r>
      <w:r>
        <w:t>College-owned private GitHub repository with full history, protected main branch, at least two administrators and an accepted tagged release.</w:t>
      </w:r>
    </w:p>
    <w:p w14:paraId="19EEC41A" w14:textId="77777777">
      <w:pPr>
        <w:spacing w:after="80"/>
        <w:ind w:left="29"/>
      </w:pPr>
      <w:r>
        <w:rPr>
          <w:b/>
          <w:color w:val="2CB5A9"/>
        </w:rPr>
        <w:t>☐</w:t>
      </w:r>
      <w:r>
        <w:rPr>
          <w:b/>
          <w:color w:val="2CB5A9"/>
        </w:rPr>
        <w:t xml:space="preserve">  </w:t>
      </w:r>
      <w:r>
        <w:t>Release ZIP, release.json, manifest.json and SHA-256 in the approved immutable release store/GitHub Release.</w:t>
      </w:r>
    </w:p>
    <w:p w14:paraId="77E5C86C" w14:textId="77777777">
      <w:pPr>
        <w:spacing w:after="80"/>
        <w:ind w:left="29"/>
      </w:pPr>
      <w:r>
        <w:rPr>
          <w:b/>
          <w:color w:val="2CB5A9"/>
        </w:rPr>
        <w:t>☐</w:t>
      </w:r>
      <w:r>
        <w:rPr>
          <w:b/>
          <w:color w:val="2CB5A9"/>
        </w:rPr>
        <w:t xml:space="preserve">  </w:t>
      </w:r>
      <w:r>
        <w:t>This implementation guide plus the accepted production-readiness checklist and change record.</w:t>
      </w:r>
    </w:p>
    <w:p w14:paraId="4546D32A" w14:textId="77777777">
      <w:pPr>
        <w:spacing w:after="80"/>
        <w:ind w:left="29"/>
      </w:pPr>
      <w:r>
        <w:rPr>
          <w:b/>
          <w:color w:val="2CB5A9"/>
        </w:rPr>
        <w:t>☐</w:t>
      </w:r>
      <w:r>
        <w:rPr>
          <w:b/>
          <w:color w:val="2CB5A9"/>
        </w:rPr>
        <w:t xml:space="preserve">  </w:t>
      </w:r>
      <w:r>
        <w:t>Controlled environment register: tenant, subscription, resource group, resource names, URLs, Entra app/service-principal IDs, DNS, owners, support and escalation.</w:t>
      </w:r>
    </w:p>
    <w:p w14:paraId="491FDCE1" w14:textId="77777777">
      <w:pPr>
        <w:spacing w:after="80"/>
        <w:ind w:left="29"/>
      </w:pPr>
      <w:r>
        <w:rPr>
          <w:b/>
          <w:color w:val="2CB5A9"/>
        </w:rPr>
        <w:t>☐</w:t>
      </w:r>
      <w:r>
        <w:rPr>
          <w:b/>
          <w:color w:val="2CB5A9"/>
        </w:rPr>
        <w:t xml:space="preserve">  </w:t>
      </w:r>
      <w:r>
        <w:t>Secret locations and recovery access—not secret values—including SQL break-glass credential custody and privileged access procedure.</w:t>
      </w:r>
    </w:p>
    <w:p w14:paraId="66698FC8" w14:textId="77777777">
      <w:pPr>
        <w:spacing w:after="80"/>
        <w:ind w:left="29"/>
      </w:pPr>
      <w:r>
        <w:rPr>
          <w:b/>
          <w:color w:val="2CB5A9"/>
        </w:rPr>
        <w:t>☐</w:t>
      </w:r>
      <w:r>
        <w:rPr>
          <w:b/>
          <w:color w:val="2CB5A9"/>
        </w:rPr>
        <w:t xml:space="preserve">  </w:t>
      </w:r>
      <w:r>
        <w:t>Database migration ledger, backup/retention policy, RPO/RTO, latest restore-test evidence and recovery owner/deputy.</w:t>
      </w:r>
    </w:p>
    <w:p w14:paraId="7ABDE902" w14:textId="77777777">
      <w:pPr>
        <w:spacing w:after="80"/>
        <w:ind w:left="29"/>
      </w:pPr>
      <w:r>
        <w:rPr>
          <w:b/>
          <w:color w:val="2CB5A9"/>
        </w:rPr>
        <w:t>☐</w:t>
      </w:r>
      <w:r>
        <w:rPr>
          <w:b/>
          <w:color w:val="2CB5A9"/>
        </w:rPr>
        <w:t xml:space="preserve">  </w:t>
      </w:r>
      <w:r>
        <w:t>Monitoring dashboard, alert/action-group destinations, budget thresholds, service-health alerts and service-desk knowledge article.</w:t>
      </w:r>
    </w:p>
    <w:p w14:paraId="62A0ED82" w14:textId="77777777">
      <w:pPr>
        <w:spacing w:after="80"/>
        <w:ind w:left="29"/>
      </w:pPr>
      <w:r>
        <w:rPr>
          <w:b/>
          <w:color w:val="2CB5A9"/>
        </w:rPr>
        <w:t>☐</w:t>
      </w:r>
      <w:r>
        <w:rPr>
          <w:b/>
          <w:color w:val="2CB5A9"/>
        </w:rPr>
        <w:t xml:space="preserve">  </w:t>
      </w:r>
      <w:r>
        <w:t>Accepted role/scope test evidence, pilot results, known issues, out-of-scope items and roadmap decisions.</w:t>
      </w:r>
    </w:p>
    <w:p w14:paraId="52C470C3" w14:textId="77777777">
      <w:pPr>
        <w:pStyle w:val="Heading2"/>
      </w:pPr>
      <w:r>
        <w:t>Handover demonstration</w:t>
      </w:r>
    </w:p>
    <w:p w14:paraId="5526CF31" w14:textId="77777777">
      <w:pPr>
        <w:numPr>
          <w:ilvl w:val="0"/>
          <w:numId w:val="23"/>
        </w:numPr>
      </w:pPr>
      <w:r>
        <w:t>A receiving maintainer checks out the tag on a clean machine and runs the release verification successfully.</w:t>
      </w:r>
    </w:p>
    <w:p w14:paraId="4CE76949" w14:textId="77777777">
      <w:pPr>
        <w:numPr>
          <w:ilvl w:val="0"/>
          <w:numId w:val="23"/>
        </w:numPr>
      </w:pPr>
      <w:r>
        <w:t>A receiving platform engineer explains the Bicep resources, costs, managed identity, public/private network decision and deployment outputs.</w:t>
      </w:r>
    </w:p>
    <w:p w14:paraId="64BEF13B" w14:textId="77777777">
      <w:pPr>
        <w:numPr>
          <w:ilvl w:val="0"/>
          <w:numId w:val="23"/>
        </w:numPr>
      </w:pPr>
      <w:r>
        <w:t>A receiving DBA proves migration history, runtime permissions and a restore to a separate database.</w:t>
      </w:r>
    </w:p>
    <w:p w14:paraId="0C394ADD" w14:textId="77777777">
      <w:pPr>
        <w:numPr>
          <w:ilvl w:val="0"/>
          <w:numId w:val="23"/>
        </w:numPr>
      </w:pPr>
      <w:r>
        <w:t>A receiving identity engineer demonstrates app ownership, permission consent, assignment, redirect URIs and Conditional Access.</w:t>
      </w:r>
    </w:p>
    <w:p w14:paraId="0CF9BF61" w14:textId="77777777">
      <w:pPr>
        <w:numPr>
          <w:ilvl w:val="0"/>
          <w:numId w:val="23"/>
        </w:numPr>
      </w:pPr>
      <w:r>
        <w:t>A receiving support analyst locates health, telemetry, alerts, trace IDs, rollback package and escalation contacts.</w:t>
      </w:r>
    </w:p>
    <w:p w14:paraId="642F9D77" w14:textId="77777777">
      <w:pPr>
        <w:numPr>
          <w:ilvl w:val="0"/>
          <w:numId w:val="23"/>
        </w:numPr>
      </w:pPr>
      <w:r>
        <w:lastRenderedPageBreak/>
        <w:t>The product owner signs that key user journeys and scope boundaries are accepted.</w:t>
      </w:r>
    </w:p>
    <w:tbl>
      <w:tblPr>
        <w:tblStyle w:val="TableGrid"/>
        <w:tblW w:w="9360" w:type="dxa"/>
        <w:tblInd w:w="120" w:type="dxa"/>
        <w:tblBorders>
          <w:top w:val="single" w:sz="8" w:space="0" w:color="236B49"/>
          <w:left w:val="single" w:sz="8" w:space="0" w:color="236B49"/>
          <w:bottom w:val="single" w:sz="8" w:space="0" w:color="236B49"/>
          <w:right w:val="single" w:sz="8" w:space="0" w:color="236B49"/>
          <w:insideH w:val="single" w:sz="8" w:space="0" w:color="236B49"/>
          <w:insideV w:val="single" w:sz="8" w:space="0" w:color="236B49"/>
        </w:tblBorders>
        <w:tblLayout w:type="fixed"/>
        <w:tblLook w:val="04A0" w:firstRow="1" w:lastRow="0" w:firstColumn="1" w:lastColumn="0" w:noHBand="0" w:noVBand="1"/>
      </w:tblPr>
      <w:tblGrid>
        <w:gridCol w:w="9360"/>
      </w:tblGrid>
      <w:tr w14:paraId="54C5EC17" w14:textId="77777777">
        <w:trPr>
          <w:cantSplit/>
          <w:tblHeader/>
        </w:trPr>
        <w:tc>
          <w:tcPr>
            <w:tcW w:w="9360" w:type="dxa"/>
            <w:shd w:val="clear" w:color="auto" w:fill="EAF5EE"/>
            <w:tcMar>
              <w:top w:w="80" w:type="dxa"/>
              <w:left w:w="120" w:type="dxa"/>
              <w:bottom w:w="80" w:type="dxa"/>
              <w:right w:w="120" w:type="dxa"/>
            </w:tcMar>
            <w:vAlign w:val="center"/>
          </w:tcPr>
          <w:p w14:paraId="11B8C509" w14:textId="77777777">
            <w:pPr>
              <w:spacing w:after="60"/>
            </w:pPr>
            <w:r>
              <w:rPr>
                <w:b/>
                <w:color w:val="236B49"/>
              </w:rPr>
              <w:t>Avoid single-person dependency</w:t>
            </w:r>
          </w:p>
          <w:p w14:paraId="786BA5D6" w14:textId="77777777">
            <w:pPr>
              <w:spacing w:after="0"/>
            </w:pPr>
            <w:r>
              <w:rPr>
                <w:sz w:val="20"/>
              </w:rPr>
              <w:t>At least two permanent college staff should be able to administer GitHub, Azure, Entra and recovery. Named deputies must be able to activate the required access without relying on a personal account owned by the original developer.</w:t>
            </w:r>
          </w:p>
        </w:tc>
      </w:tr>
    </w:tbl>
    <w:p w14:paraId="47FF172E" w14:textId="77777777">
      <w:pPr>
        <w:spacing w:after="20"/>
      </w:pPr>
    </w:p>
    <w:p w14:paraId="20291DF9" w14:textId="77777777">
      <w:pPr>
        <w:pStyle w:val="SmallNote"/>
      </w:pPr>
      <w:r>
        <w:rPr>
          <w:b/>
        </w:rPr>
        <w:t xml:space="preserve">Repository reference: </w:t>
      </w:r>
      <w:r>
        <w:rPr>
          <w:rFonts w:ascii="Consolas" w:eastAsia="Consolas" w:hAnsi="Consolas"/>
          <w:color w:val="1F4D78"/>
          <w:sz w:val="17"/>
        </w:rPr>
        <w:t>HANDOVER.md</w:t>
      </w:r>
      <w:r>
        <w:t xml:space="preserve">  •  </w:t>
      </w:r>
      <w:r>
        <w:rPr>
          <w:rFonts w:ascii="Consolas" w:eastAsia="Consolas" w:hAnsi="Consolas"/>
          <w:color w:val="1F4D78"/>
          <w:sz w:val="17"/>
        </w:rPr>
        <w:t>DEPLOYMENT-START-HERE.md</w:t>
      </w:r>
      <w:r>
        <w:t xml:space="preserve">  •  </w:t>
      </w:r>
      <w:r>
        <w:rPr>
          <w:rFonts w:ascii="Consolas" w:eastAsia="Consolas" w:hAnsi="Consolas"/>
          <w:color w:val="1F4D78"/>
          <w:sz w:val="17"/>
        </w:rPr>
        <w:t>docs/deployment/v1-readiness.md</w:t>
      </w:r>
    </w:p>
    <w:p w14:paraId="646FA043" w14:textId="77777777">
      <w:pPr>
        <w:pStyle w:val="Heading1"/>
      </w:pPr>
      <w:bookmarkStart w:id="21" w:name="annex_a"/>
      <w:r>
        <w:lastRenderedPageBreak/>
        <w:t>Annex A. Known environment record</w:t>
      </w:r>
      <w:bookmarkEnd w:id="21"/>
    </w:p>
    <w:p w14:paraId="29641D22" w14:textId="77777777">
      <w:r>
        <w:t>These identifiers were known when this guide was prepared. They are not secrets, but the controlled production environment register must verify them in Azure/Entra and add the generated resource names and owners.</w:t>
      </w:r>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3000"/>
        <w:gridCol w:w="6360"/>
      </w:tblGrid>
      <w:tr w14:paraId="2C939406" w14:textId="77777777">
        <w:trPr>
          <w:cantSplit/>
          <w:tblHeader/>
        </w:trPr>
        <w:tc>
          <w:tcPr>
            <w:tcW w:w="3000" w:type="dxa"/>
            <w:shd w:val="clear" w:color="auto" w:fill="E8EEF5"/>
            <w:tcMar>
              <w:top w:w="80" w:type="dxa"/>
              <w:left w:w="120" w:type="dxa"/>
              <w:bottom w:w="80" w:type="dxa"/>
              <w:right w:w="120" w:type="dxa"/>
            </w:tcMar>
            <w:vAlign w:val="center"/>
          </w:tcPr>
          <w:p w14:paraId="00BE5F52" w14:textId="77777777">
            <w:pPr>
              <w:spacing w:after="0"/>
            </w:pPr>
            <w:r>
              <w:rPr>
                <w:b/>
                <w:color w:val="0B2545"/>
                <w:sz w:val="19"/>
              </w:rPr>
              <w:t>Item</w:t>
            </w:r>
          </w:p>
        </w:tc>
        <w:tc>
          <w:tcPr>
            <w:tcW w:w="6360" w:type="dxa"/>
            <w:shd w:val="clear" w:color="auto" w:fill="E8EEF5"/>
            <w:tcMar>
              <w:top w:w="80" w:type="dxa"/>
              <w:left w:w="120" w:type="dxa"/>
              <w:bottom w:w="80" w:type="dxa"/>
              <w:right w:w="120" w:type="dxa"/>
            </w:tcMar>
            <w:vAlign w:val="center"/>
          </w:tcPr>
          <w:p w14:paraId="225B8895" w14:textId="77777777">
            <w:pPr>
              <w:spacing w:after="0"/>
            </w:pPr>
            <w:r>
              <w:rPr>
                <w:b/>
                <w:color w:val="0B2545"/>
                <w:sz w:val="19"/>
              </w:rPr>
              <w:t>Known value / state</w:t>
            </w:r>
          </w:p>
        </w:tc>
      </w:tr>
      <w:tr w14:paraId="07194264" w14:textId="77777777">
        <w:trPr>
          <w:cantSplit/>
        </w:trPr>
        <w:tc>
          <w:tcPr>
            <w:tcW w:w="3000" w:type="dxa"/>
            <w:tcMar>
              <w:top w:w="80" w:type="dxa"/>
              <w:left w:w="120" w:type="dxa"/>
              <w:bottom w:w="80" w:type="dxa"/>
              <w:right w:w="120" w:type="dxa"/>
            </w:tcMar>
            <w:vAlign w:val="center"/>
          </w:tcPr>
          <w:p w14:paraId="34A26BA1" w14:textId="77777777">
            <w:pPr>
              <w:spacing w:after="0" w:line="269" w:lineRule="auto"/>
            </w:pPr>
            <w:r>
              <w:rPr>
                <w:b/>
                <w:sz w:val="18"/>
              </w:rPr>
              <w:t>Tenant ID</w:t>
            </w:r>
          </w:p>
        </w:tc>
        <w:tc>
          <w:tcPr>
            <w:tcW w:w="6360" w:type="dxa"/>
            <w:tcMar>
              <w:top w:w="80" w:type="dxa"/>
              <w:left w:w="120" w:type="dxa"/>
              <w:bottom w:w="80" w:type="dxa"/>
              <w:right w:w="120" w:type="dxa"/>
            </w:tcMar>
            <w:vAlign w:val="center"/>
          </w:tcPr>
          <w:p w14:paraId="5607DF95" w14:textId="77777777">
            <w:pPr>
              <w:spacing w:after="0" w:line="269" w:lineRule="auto"/>
            </w:pPr>
            <w:r>
              <w:rPr>
                <w:sz w:val="18"/>
              </w:rPr>
              <w:t>2ff33ca4-e942-419c-b5ca-e224a5167498</w:t>
            </w:r>
          </w:p>
        </w:tc>
      </w:tr>
      <w:tr w14:paraId="2C0092B8" w14:textId="77777777">
        <w:trPr>
          <w:cantSplit/>
        </w:trPr>
        <w:tc>
          <w:tcPr>
            <w:tcW w:w="3000" w:type="dxa"/>
            <w:tcMar>
              <w:top w:w="80" w:type="dxa"/>
              <w:left w:w="120" w:type="dxa"/>
              <w:bottom w:w="80" w:type="dxa"/>
              <w:right w:w="120" w:type="dxa"/>
            </w:tcMar>
            <w:vAlign w:val="center"/>
          </w:tcPr>
          <w:p w14:paraId="6F14BDA8" w14:textId="77777777">
            <w:pPr>
              <w:spacing w:after="0" w:line="269" w:lineRule="auto"/>
            </w:pPr>
            <w:r>
              <w:rPr>
                <w:b/>
                <w:sz w:val="18"/>
              </w:rPr>
              <w:t>Azure subscription ID</w:t>
            </w:r>
          </w:p>
        </w:tc>
        <w:tc>
          <w:tcPr>
            <w:tcW w:w="6360" w:type="dxa"/>
            <w:tcMar>
              <w:top w:w="80" w:type="dxa"/>
              <w:left w:w="120" w:type="dxa"/>
              <w:bottom w:w="80" w:type="dxa"/>
              <w:right w:w="120" w:type="dxa"/>
            </w:tcMar>
            <w:vAlign w:val="center"/>
          </w:tcPr>
          <w:p w14:paraId="09BCD33D" w14:textId="77777777">
            <w:pPr>
              <w:spacing w:after="0" w:line="269" w:lineRule="auto"/>
            </w:pPr>
            <w:r>
              <w:rPr>
                <w:sz w:val="18"/>
              </w:rPr>
              <w:t>acd523b9-54eb-4bbe-8776-fb761860c362</w:t>
            </w:r>
          </w:p>
        </w:tc>
      </w:tr>
      <w:tr w14:paraId="0D5C0321" w14:textId="77777777">
        <w:trPr>
          <w:cantSplit/>
        </w:trPr>
        <w:tc>
          <w:tcPr>
            <w:tcW w:w="3000" w:type="dxa"/>
            <w:tcMar>
              <w:top w:w="80" w:type="dxa"/>
              <w:left w:w="120" w:type="dxa"/>
              <w:bottom w:w="80" w:type="dxa"/>
              <w:right w:w="120" w:type="dxa"/>
            </w:tcMar>
            <w:vAlign w:val="center"/>
          </w:tcPr>
          <w:p w14:paraId="2D09623B" w14:textId="77777777">
            <w:pPr>
              <w:spacing w:after="0" w:line="269" w:lineRule="auto"/>
            </w:pPr>
            <w:r>
              <w:rPr>
                <w:b/>
                <w:sz w:val="18"/>
              </w:rPr>
              <w:t>Resource group</w:t>
            </w:r>
          </w:p>
        </w:tc>
        <w:tc>
          <w:tcPr>
            <w:tcW w:w="6360" w:type="dxa"/>
            <w:tcMar>
              <w:top w:w="80" w:type="dxa"/>
              <w:left w:w="120" w:type="dxa"/>
              <w:bottom w:w="80" w:type="dxa"/>
              <w:right w:w="120" w:type="dxa"/>
            </w:tcMar>
            <w:vAlign w:val="center"/>
          </w:tcPr>
          <w:p w14:paraId="5C0A2C8D" w14:textId="77777777">
            <w:pPr>
              <w:spacing w:after="0" w:line="269" w:lineRule="auto"/>
            </w:pPr>
            <w:r>
              <w:rPr>
                <w:sz w:val="18"/>
              </w:rPr>
              <w:t>rg-ielevate-prod-uks — exists and was empty before provisioning</w:t>
            </w:r>
          </w:p>
        </w:tc>
      </w:tr>
      <w:tr w14:paraId="672BFF8E" w14:textId="77777777">
        <w:trPr>
          <w:cantSplit/>
        </w:trPr>
        <w:tc>
          <w:tcPr>
            <w:tcW w:w="3000" w:type="dxa"/>
            <w:tcMar>
              <w:top w:w="80" w:type="dxa"/>
              <w:left w:w="120" w:type="dxa"/>
              <w:bottom w:w="80" w:type="dxa"/>
              <w:right w:w="120" w:type="dxa"/>
            </w:tcMar>
            <w:vAlign w:val="center"/>
          </w:tcPr>
          <w:p w14:paraId="1DF0BDAA" w14:textId="77777777">
            <w:pPr>
              <w:spacing w:after="0" w:line="269" w:lineRule="auto"/>
            </w:pPr>
            <w:r>
              <w:rPr>
                <w:b/>
                <w:sz w:val="18"/>
              </w:rPr>
              <w:t>Region</w:t>
            </w:r>
          </w:p>
        </w:tc>
        <w:tc>
          <w:tcPr>
            <w:tcW w:w="6360" w:type="dxa"/>
            <w:tcMar>
              <w:top w:w="80" w:type="dxa"/>
              <w:left w:w="120" w:type="dxa"/>
              <w:bottom w:w="80" w:type="dxa"/>
              <w:right w:w="120" w:type="dxa"/>
            </w:tcMar>
            <w:vAlign w:val="center"/>
          </w:tcPr>
          <w:p w14:paraId="37A8F0D5" w14:textId="77777777">
            <w:pPr>
              <w:spacing w:after="0" w:line="269" w:lineRule="auto"/>
            </w:pPr>
            <w:r>
              <w:rPr>
                <w:sz w:val="18"/>
              </w:rPr>
              <w:t>UK South / uksouth</w:t>
            </w:r>
          </w:p>
        </w:tc>
      </w:tr>
      <w:tr w14:paraId="35E801AD" w14:textId="77777777">
        <w:trPr>
          <w:cantSplit/>
        </w:trPr>
        <w:tc>
          <w:tcPr>
            <w:tcW w:w="3000" w:type="dxa"/>
            <w:tcMar>
              <w:top w:w="80" w:type="dxa"/>
              <w:left w:w="120" w:type="dxa"/>
              <w:bottom w:w="80" w:type="dxa"/>
              <w:right w:w="120" w:type="dxa"/>
            </w:tcMar>
            <w:vAlign w:val="center"/>
          </w:tcPr>
          <w:p w14:paraId="1DF7E52C" w14:textId="77777777">
            <w:pPr>
              <w:spacing w:after="0" w:line="269" w:lineRule="auto"/>
            </w:pPr>
            <w:r>
              <w:rPr>
                <w:b/>
                <w:sz w:val="18"/>
              </w:rPr>
              <w:t>API app client ID</w:t>
            </w:r>
          </w:p>
        </w:tc>
        <w:tc>
          <w:tcPr>
            <w:tcW w:w="6360" w:type="dxa"/>
            <w:tcMar>
              <w:top w:w="80" w:type="dxa"/>
              <w:left w:w="120" w:type="dxa"/>
              <w:bottom w:w="80" w:type="dxa"/>
              <w:right w:w="120" w:type="dxa"/>
            </w:tcMar>
            <w:vAlign w:val="center"/>
          </w:tcPr>
          <w:p w14:paraId="4A1F82C1" w14:textId="77777777">
            <w:pPr>
              <w:spacing w:after="0" w:line="269" w:lineRule="auto"/>
            </w:pPr>
            <w:r>
              <w:rPr>
                <w:sz w:val="18"/>
              </w:rPr>
              <w:t>f6d35a24-dc89-40b0-819a-69400ed2491d</w:t>
            </w:r>
          </w:p>
        </w:tc>
      </w:tr>
      <w:tr w14:paraId="55A31007" w14:textId="77777777">
        <w:trPr>
          <w:cantSplit/>
        </w:trPr>
        <w:tc>
          <w:tcPr>
            <w:tcW w:w="3000" w:type="dxa"/>
            <w:tcMar>
              <w:top w:w="80" w:type="dxa"/>
              <w:left w:w="120" w:type="dxa"/>
              <w:bottom w:w="80" w:type="dxa"/>
              <w:right w:w="120" w:type="dxa"/>
            </w:tcMar>
            <w:vAlign w:val="center"/>
          </w:tcPr>
          <w:p w14:paraId="20952257" w14:textId="77777777">
            <w:pPr>
              <w:spacing w:after="0" w:line="269" w:lineRule="auto"/>
            </w:pPr>
            <w:r>
              <w:rPr>
                <w:b/>
                <w:sz w:val="18"/>
              </w:rPr>
              <w:t>Web SPA client ID</w:t>
            </w:r>
          </w:p>
        </w:tc>
        <w:tc>
          <w:tcPr>
            <w:tcW w:w="6360" w:type="dxa"/>
            <w:tcMar>
              <w:top w:w="80" w:type="dxa"/>
              <w:left w:w="120" w:type="dxa"/>
              <w:bottom w:w="80" w:type="dxa"/>
              <w:right w:w="120" w:type="dxa"/>
            </w:tcMar>
            <w:vAlign w:val="center"/>
          </w:tcPr>
          <w:p w14:paraId="14532AF1" w14:textId="77777777">
            <w:pPr>
              <w:spacing w:after="0" w:line="269" w:lineRule="auto"/>
            </w:pPr>
            <w:r>
              <w:rPr>
                <w:sz w:val="18"/>
              </w:rPr>
              <w:t>40b00b7a-32b3-4a89-bac0-f016fd431d95</w:t>
            </w:r>
          </w:p>
        </w:tc>
      </w:tr>
      <w:tr w14:paraId="68128AB3" w14:textId="77777777">
        <w:trPr>
          <w:cantSplit/>
        </w:trPr>
        <w:tc>
          <w:tcPr>
            <w:tcW w:w="3000" w:type="dxa"/>
            <w:tcMar>
              <w:top w:w="80" w:type="dxa"/>
              <w:left w:w="120" w:type="dxa"/>
              <w:bottom w:w="80" w:type="dxa"/>
              <w:right w:w="120" w:type="dxa"/>
            </w:tcMar>
            <w:vAlign w:val="center"/>
          </w:tcPr>
          <w:p w14:paraId="6BAACA63" w14:textId="77777777">
            <w:pPr>
              <w:spacing w:after="0" w:line="269" w:lineRule="auto"/>
            </w:pPr>
            <w:r>
              <w:rPr>
                <w:b/>
                <w:sz w:val="18"/>
              </w:rPr>
              <w:t>Delegated API scope</w:t>
            </w:r>
          </w:p>
        </w:tc>
        <w:tc>
          <w:tcPr>
            <w:tcW w:w="6360" w:type="dxa"/>
            <w:tcMar>
              <w:top w:w="80" w:type="dxa"/>
              <w:left w:w="120" w:type="dxa"/>
              <w:bottom w:w="80" w:type="dxa"/>
              <w:right w:w="120" w:type="dxa"/>
            </w:tcMar>
            <w:vAlign w:val="center"/>
          </w:tcPr>
          <w:p w14:paraId="12231CBF" w14:textId="77777777">
            <w:pPr>
              <w:spacing w:after="0" w:line="269" w:lineRule="auto"/>
            </w:pPr>
            <w:r>
              <w:rPr>
                <w:sz w:val="18"/>
              </w:rPr>
              <w:t>api://f6d35a24-dc89-40b0-819a-69400ed2491d/access_as_user</w:t>
            </w:r>
          </w:p>
        </w:tc>
      </w:tr>
      <w:tr w14:paraId="46E6DDF4" w14:textId="77777777">
        <w:trPr>
          <w:cantSplit/>
        </w:trPr>
        <w:tc>
          <w:tcPr>
            <w:tcW w:w="3000" w:type="dxa"/>
            <w:tcMar>
              <w:top w:w="80" w:type="dxa"/>
              <w:left w:w="120" w:type="dxa"/>
              <w:bottom w:w="80" w:type="dxa"/>
              <w:right w:w="120" w:type="dxa"/>
            </w:tcMar>
            <w:vAlign w:val="center"/>
          </w:tcPr>
          <w:p w14:paraId="2A5FE186" w14:textId="77777777">
            <w:pPr>
              <w:spacing w:after="0" w:line="269" w:lineRule="auto"/>
            </w:pPr>
            <w:r>
              <w:rPr>
                <w:b/>
                <w:sz w:val="18"/>
              </w:rPr>
              <w:t>Current source remote</w:t>
            </w:r>
          </w:p>
        </w:tc>
        <w:tc>
          <w:tcPr>
            <w:tcW w:w="6360" w:type="dxa"/>
            <w:tcMar>
              <w:top w:w="80" w:type="dxa"/>
              <w:left w:w="120" w:type="dxa"/>
              <w:bottom w:w="80" w:type="dxa"/>
              <w:right w:w="120" w:type="dxa"/>
            </w:tcMar>
            <w:vAlign w:val="center"/>
          </w:tcPr>
          <w:p w14:paraId="3B5BAC1E" w14:textId="77777777">
            <w:pPr>
              <w:spacing w:after="0" w:line="269" w:lineRule="auto"/>
            </w:pPr>
            <w:r>
              <w:rPr>
                <w:sz w:val="18"/>
              </w:rPr>
              <w:t>https://github.com/HBentley21299/teaching-learning-quality-system.git — transfer to college-owned private organisation</w:t>
            </w:r>
          </w:p>
        </w:tc>
      </w:tr>
      <w:tr w14:paraId="5854943B" w14:textId="77777777">
        <w:trPr>
          <w:cantSplit/>
        </w:trPr>
        <w:tc>
          <w:tcPr>
            <w:tcW w:w="3000" w:type="dxa"/>
            <w:tcMar>
              <w:top w:w="80" w:type="dxa"/>
              <w:left w:w="120" w:type="dxa"/>
              <w:bottom w:w="80" w:type="dxa"/>
              <w:right w:w="120" w:type="dxa"/>
            </w:tcMar>
            <w:vAlign w:val="center"/>
          </w:tcPr>
          <w:p w14:paraId="21DDB86D" w14:textId="77777777">
            <w:pPr>
              <w:spacing w:after="0" w:line="269" w:lineRule="auto"/>
            </w:pPr>
            <w:r>
              <w:rPr>
                <w:b/>
                <w:sz w:val="18"/>
              </w:rPr>
              <w:t>Inspected source commit</w:t>
            </w:r>
          </w:p>
        </w:tc>
        <w:tc>
          <w:tcPr>
            <w:tcW w:w="6360" w:type="dxa"/>
            <w:tcMar>
              <w:top w:w="80" w:type="dxa"/>
              <w:left w:w="120" w:type="dxa"/>
              <w:bottom w:w="80" w:type="dxa"/>
              <w:right w:w="120" w:type="dxa"/>
            </w:tcMar>
            <w:vAlign w:val="center"/>
          </w:tcPr>
          <w:p w14:paraId="51F8FED2" w14:textId="77777777">
            <w:pPr>
              <w:spacing w:after="0" w:line="269" w:lineRule="auto"/>
            </w:pPr>
            <w:r>
              <w:rPr>
                <w:sz w:val="18"/>
              </w:rPr>
              <w:t>a4b0d0b9f747d2e31e2cf1a4888132928a369812 (a4b0d0b9), main, clean at inspection</w:t>
            </w:r>
          </w:p>
        </w:tc>
      </w:tr>
      <w:tr w14:paraId="6A60B1B3" w14:textId="77777777">
        <w:trPr>
          <w:cantSplit/>
        </w:trPr>
        <w:tc>
          <w:tcPr>
            <w:tcW w:w="3000" w:type="dxa"/>
            <w:tcMar>
              <w:top w:w="80" w:type="dxa"/>
              <w:left w:w="120" w:type="dxa"/>
              <w:bottom w:w="80" w:type="dxa"/>
              <w:right w:w="120" w:type="dxa"/>
            </w:tcMar>
            <w:vAlign w:val="center"/>
          </w:tcPr>
          <w:p w14:paraId="3FC78263" w14:textId="77777777">
            <w:pPr>
              <w:spacing w:after="0" w:line="269" w:lineRule="auto"/>
            </w:pPr>
            <w:r>
              <w:rPr>
                <w:b/>
                <w:sz w:val="18"/>
              </w:rPr>
              <w:t>Candidate bootstrap email</w:t>
            </w:r>
          </w:p>
        </w:tc>
        <w:tc>
          <w:tcPr>
            <w:tcW w:w="6360" w:type="dxa"/>
            <w:tcMar>
              <w:top w:w="80" w:type="dxa"/>
              <w:left w:w="120" w:type="dxa"/>
              <w:bottom w:w="80" w:type="dxa"/>
              <w:right w:w="120" w:type="dxa"/>
            </w:tcMar>
            <w:vAlign w:val="center"/>
          </w:tcPr>
          <w:p w14:paraId="63E1D978" w14:textId="77777777">
            <w:pPr>
              <w:spacing w:after="0" w:line="269" w:lineRule="auto"/>
            </w:pPr>
            <w:r>
              <w:rPr>
                <w:sz w:val="18"/>
              </w:rPr>
              <w:t>harrybentley@oldham.ac.uk — confirm production owner and obtain person's Entra Object ID</w:t>
            </w:r>
          </w:p>
        </w:tc>
      </w:tr>
      <w:tr w14:paraId="5C9EAB6F" w14:textId="77777777">
        <w:trPr>
          <w:cantSplit/>
        </w:trPr>
        <w:tc>
          <w:tcPr>
            <w:tcW w:w="3000" w:type="dxa"/>
            <w:tcMar>
              <w:top w:w="80" w:type="dxa"/>
              <w:left w:w="120" w:type="dxa"/>
              <w:bottom w:w="80" w:type="dxa"/>
              <w:right w:w="120" w:type="dxa"/>
            </w:tcMar>
            <w:vAlign w:val="center"/>
          </w:tcPr>
          <w:p w14:paraId="1A8E0974" w14:textId="77777777">
            <w:pPr>
              <w:spacing w:after="0" w:line="269" w:lineRule="auto"/>
            </w:pPr>
            <w:r>
              <w:rPr>
                <w:b/>
                <w:sz w:val="18"/>
              </w:rPr>
              <w:t>Final production hostname</w:t>
            </w:r>
          </w:p>
        </w:tc>
        <w:tc>
          <w:tcPr>
            <w:tcW w:w="6360" w:type="dxa"/>
            <w:tcMar>
              <w:top w:w="80" w:type="dxa"/>
              <w:left w:w="120" w:type="dxa"/>
              <w:bottom w:w="80" w:type="dxa"/>
              <w:right w:w="120" w:type="dxa"/>
            </w:tcMar>
            <w:vAlign w:val="center"/>
          </w:tcPr>
          <w:p w14:paraId="560D706B" w14:textId="77777777">
            <w:pPr>
              <w:spacing w:after="0" w:line="269" w:lineRule="auto"/>
            </w:pPr>
            <w:r>
              <w:rPr>
                <w:sz w:val="18"/>
              </w:rPr>
              <w:t>Outstanding — agree with DNS/service owner before final SPA redirect</w:t>
            </w:r>
          </w:p>
        </w:tc>
      </w:tr>
      <w:tr w14:paraId="3C45AC11" w14:textId="77777777">
        <w:trPr>
          <w:cantSplit/>
        </w:trPr>
        <w:tc>
          <w:tcPr>
            <w:tcW w:w="3000" w:type="dxa"/>
            <w:tcMar>
              <w:top w:w="80" w:type="dxa"/>
              <w:left w:w="120" w:type="dxa"/>
              <w:bottom w:w="80" w:type="dxa"/>
              <w:right w:w="120" w:type="dxa"/>
            </w:tcMar>
            <w:vAlign w:val="center"/>
          </w:tcPr>
          <w:p w14:paraId="4E23B71C" w14:textId="77777777">
            <w:pPr>
              <w:spacing w:after="0" w:line="269" w:lineRule="auto"/>
            </w:pPr>
            <w:r>
              <w:rPr>
                <w:b/>
                <w:sz w:val="18"/>
              </w:rPr>
              <w:t>Tenant-wide consent</w:t>
            </w:r>
          </w:p>
        </w:tc>
        <w:tc>
          <w:tcPr>
            <w:tcW w:w="6360" w:type="dxa"/>
            <w:tcMar>
              <w:top w:w="80" w:type="dxa"/>
              <w:left w:w="120" w:type="dxa"/>
              <w:bottom w:w="80" w:type="dxa"/>
              <w:right w:w="120" w:type="dxa"/>
            </w:tcMar>
            <w:vAlign w:val="center"/>
          </w:tcPr>
          <w:p w14:paraId="4B349BB1" w14:textId="77777777">
            <w:pPr>
              <w:spacing w:after="0" w:line="269" w:lineRule="auto"/>
            </w:pPr>
            <w:r>
              <w:rPr>
                <w:sz w:val="18"/>
              </w:rPr>
              <w:t>Outstanding at preparation; requires authorised Entra administrator</w:t>
            </w:r>
          </w:p>
        </w:tc>
      </w:tr>
      <w:tr w14:paraId="77D0EEFD" w14:textId="77777777">
        <w:trPr>
          <w:cantSplit/>
        </w:trPr>
        <w:tc>
          <w:tcPr>
            <w:tcW w:w="3000" w:type="dxa"/>
            <w:tcMar>
              <w:top w:w="80" w:type="dxa"/>
              <w:left w:w="120" w:type="dxa"/>
              <w:bottom w:w="80" w:type="dxa"/>
              <w:right w:w="120" w:type="dxa"/>
            </w:tcMar>
            <w:vAlign w:val="center"/>
          </w:tcPr>
          <w:p w14:paraId="57E6EF0D" w14:textId="77777777">
            <w:pPr>
              <w:spacing w:after="0" w:line="269" w:lineRule="auto"/>
            </w:pPr>
            <w:r>
              <w:rPr>
                <w:b/>
                <w:sz w:val="18"/>
              </w:rPr>
              <w:t>Azure resources</w:t>
            </w:r>
          </w:p>
        </w:tc>
        <w:tc>
          <w:tcPr>
            <w:tcW w:w="6360" w:type="dxa"/>
            <w:tcMar>
              <w:top w:w="80" w:type="dxa"/>
              <w:left w:w="120" w:type="dxa"/>
              <w:bottom w:w="80" w:type="dxa"/>
              <w:right w:w="120" w:type="dxa"/>
            </w:tcMar>
            <w:vAlign w:val="center"/>
          </w:tcPr>
          <w:p w14:paraId="516DAE9F" w14:textId="77777777">
            <w:pPr>
              <w:spacing w:after="0" w:line="269" w:lineRule="auto"/>
            </w:pPr>
            <w:r>
              <w:rPr>
                <w:sz w:val="18"/>
              </w:rPr>
              <w:t>Not provisioned at preparation; Bicep deployment creates billable resources</w:t>
            </w:r>
          </w:p>
        </w:tc>
      </w:tr>
      <w:tr w14:paraId="24555C2C" w14:textId="77777777">
        <w:trPr>
          <w:cantSplit/>
        </w:trPr>
        <w:tc>
          <w:tcPr>
            <w:tcW w:w="3000" w:type="dxa"/>
            <w:tcMar>
              <w:top w:w="80" w:type="dxa"/>
              <w:left w:w="120" w:type="dxa"/>
              <w:bottom w:w="80" w:type="dxa"/>
              <w:right w:w="120" w:type="dxa"/>
            </w:tcMar>
            <w:vAlign w:val="center"/>
          </w:tcPr>
          <w:p w14:paraId="256D48F6" w14:textId="77777777">
            <w:pPr>
              <w:spacing w:after="0" w:line="269" w:lineRule="auto"/>
            </w:pPr>
            <w:r>
              <w:rPr>
                <w:b/>
                <w:sz w:val="18"/>
              </w:rPr>
              <w:t>Existing local Azure ZIP</w:t>
            </w:r>
          </w:p>
        </w:tc>
        <w:tc>
          <w:tcPr>
            <w:tcW w:w="6360" w:type="dxa"/>
            <w:tcMar>
              <w:top w:w="80" w:type="dxa"/>
              <w:left w:w="120" w:type="dxa"/>
              <w:bottom w:w="80" w:type="dxa"/>
              <w:right w:w="120" w:type="dxa"/>
            </w:tcMar>
            <w:vAlign w:val="center"/>
          </w:tcPr>
          <w:p w14:paraId="6C94D251" w14:textId="77777777">
            <w:pPr>
              <w:spacing w:after="0" w:line="269" w:lineRule="auto"/>
            </w:pPr>
            <w:r>
              <w:rPr>
                <w:sz w:val="18"/>
              </w:rPr>
              <w:t>Rejected for production: generated from earlier dirty commit 993a4dde; rebuild from clean approved tag</w:t>
            </w:r>
          </w:p>
        </w:tc>
      </w:tr>
    </w:tbl>
    <w:p w14:paraId="79BDC971" w14:textId="77777777">
      <w:pPr>
        <w:spacing w:after="20"/>
      </w:pPr>
    </w:p>
    <w:p w14:paraId="00E5DC81" w14:textId="77777777">
      <w:pPr>
        <w:pStyle w:val="Heading2"/>
      </w:pPr>
      <w:r>
        <w:t>Fields to add after provisioning</w:t>
      </w:r>
    </w:p>
    <w:p w14:paraId="0D48FC6F" w14:textId="77777777">
      <w:pPr>
        <w:spacing w:after="80"/>
        <w:ind w:left="29"/>
      </w:pPr>
      <w:r>
        <w:rPr>
          <w:b/>
          <w:color w:val="2CB5A9"/>
        </w:rPr>
        <w:t>☐</w:t>
      </w:r>
      <w:r>
        <w:rPr>
          <w:b/>
          <w:color w:val="2CB5A9"/>
        </w:rPr>
        <w:t xml:space="preserve">  </w:t>
      </w:r>
      <w:r>
        <w:t>Subscription display name, billing scope/cost centre and budget amount/recipients.</w:t>
      </w:r>
    </w:p>
    <w:p w14:paraId="4408F150" w14:textId="77777777">
      <w:pPr>
        <w:spacing w:after="80"/>
        <w:ind w:left="29"/>
      </w:pPr>
      <w:r>
        <w:rPr>
          <w:b/>
          <w:color w:val="2CB5A9"/>
        </w:rPr>
        <w:t>☐</w:t>
      </w:r>
      <w:r>
        <w:rPr>
          <w:b/>
          <w:color w:val="2CB5A9"/>
        </w:rPr>
        <w:t xml:space="preserve">  </w:t>
      </w:r>
      <w:r>
        <w:t>Subscription deployment name and timestamp.</w:t>
      </w:r>
    </w:p>
    <w:p w14:paraId="261E57E1" w14:textId="77777777">
      <w:pPr>
        <w:spacing w:after="80"/>
        <w:ind w:left="29"/>
      </w:pPr>
      <w:r>
        <w:rPr>
          <w:b/>
          <w:color w:val="2CB5A9"/>
        </w:rPr>
        <w:t>☐</w:t>
      </w:r>
      <w:r>
        <w:rPr>
          <w:b/>
          <w:color w:val="2CB5A9"/>
        </w:rPr>
        <w:t xml:space="preserve">  </w:t>
      </w:r>
      <w:r>
        <w:t>Generated Web App, App Service plan, SQL server, Storage, Key Vault, Application Insights and Log Analytics names/resource IDs.</w:t>
      </w:r>
    </w:p>
    <w:p w14:paraId="751E0B62" w14:textId="77777777">
      <w:pPr>
        <w:spacing w:after="80"/>
        <w:ind w:left="29"/>
      </w:pPr>
      <w:r>
        <w:rPr>
          <w:b/>
          <w:color w:val="2CB5A9"/>
        </w:rPr>
        <w:t>☐</w:t>
      </w:r>
      <w:r>
        <w:rPr>
          <w:b/>
          <w:color w:val="2CB5A9"/>
        </w:rPr>
        <w:t xml:space="preserve">  </w:t>
      </w:r>
      <w:r>
        <w:t>Web app managed-identity object ID, SQL contained user and RBAC evidence.</w:t>
      </w:r>
    </w:p>
    <w:p w14:paraId="1CA794BB" w14:textId="77777777">
      <w:pPr>
        <w:spacing w:after="80"/>
        <w:ind w:left="29"/>
      </w:pPr>
      <w:r>
        <w:rPr>
          <w:b/>
          <w:color w:val="2CB5A9"/>
        </w:rPr>
        <w:lastRenderedPageBreak/>
        <w:t>☐</w:t>
      </w:r>
      <w:r>
        <w:rPr>
          <w:b/>
          <w:color w:val="2CB5A9"/>
        </w:rPr>
        <w:t xml:space="preserve">  </w:t>
      </w:r>
      <w:r>
        <w:t>Azure default URL, final custom URL, DNS records and certificate owner/renewal method.</w:t>
      </w:r>
    </w:p>
    <w:p w14:paraId="64019396" w14:textId="77777777">
      <w:pPr>
        <w:spacing w:after="80"/>
        <w:ind w:left="29"/>
      </w:pPr>
      <w:r>
        <w:rPr>
          <w:b/>
          <w:color w:val="2CB5A9"/>
        </w:rPr>
        <w:t>☐</w:t>
      </w:r>
      <w:r>
        <w:rPr>
          <w:b/>
          <w:color w:val="2CB5A9"/>
        </w:rPr>
        <w:t xml:space="preserve">  </w:t>
      </w:r>
      <w:r>
        <w:t>Entra app owners, enterprise application assignment groups, consent approver and Conditional Access policy names.</w:t>
      </w:r>
    </w:p>
    <w:p w14:paraId="2B87D08A" w14:textId="77777777">
      <w:pPr>
        <w:spacing w:after="80"/>
        <w:ind w:left="29"/>
      </w:pPr>
      <w:r>
        <w:rPr>
          <w:b/>
          <w:color w:val="2CB5A9"/>
        </w:rPr>
        <w:t>☐</w:t>
      </w:r>
      <w:r>
        <w:rPr>
          <w:b/>
          <w:color w:val="2CB5A9"/>
        </w:rPr>
        <w:t xml:space="preserve">  </w:t>
      </w:r>
      <w:r>
        <w:t>SQL administrator, backup retention/redundancy/LTR, RPO/RTO and restore-test date.</w:t>
      </w:r>
    </w:p>
    <w:p w14:paraId="1457F8F4" w14:textId="77777777">
      <w:pPr>
        <w:spacing w:after="80"/>
        <w:ind w:left="29"/>
      </w:pPr>
      <w:r>
        <w:rPr>
          <w:b/>
          <w:color w:val="2CB5A9"/>
        </w:rPr>
        <w:t>☐</w:t>
      </w:r>
      <w:r>
        <w:rPr>
          <w:b/>
          <w:color w:val="2CB5A9"/>
        </w:rPr>
        <w:t xml:space="preserve">  </w:t>
      </w:r>
      <w:r>
        <w:t>Service owner/deputy, product owner, support queue, escalation contacts and maintenance window.</w:t>
      </w:r>
    </w:p>
    <w:p w14:paraId="0DF672AC" w14:textId="77777777">
      <w:pPr>
        <w:pStyle w:val="Heading1"/>
      </w:pPr>
      <w:bookmarkStart w:id="22" w:name="annex_b"/>
      <w:r>
        <w:lastRenderedPageBreak/>
        <w:t>Annex B. Azure command sheet</w:t>
      </w:r>
      <w:bookmarkEnd w:id="22"/>
    </w:p>
    <w:p w14:paraId="4299F5A5" w14:textId="77777777">
      <w:r>
        <w:t>Replace angle-bracket placeholders. Run from the repository root in PowerShell. Read each command before execution and keep secret-bearing values out of command history where the college's approved tooling supports a safer method.</w:t>
      </w:r>
    </w:p>
    <w:p w14:paraId="27718785" w14:textId="77777777">
      <w:pPr>
        <w:pStyle w:val="Heading2"/>
      </w:pPr>
      <w:r>
        <w:t>1 — Login and verify context</w:t>
      </w:r>
    </w:p>
    <w:p w14:paraId="4968C538" w14:textId="77777777">
      <w:pPr>
        <w:pStyle w:val="CodeBlock"/>
        <w:shd w:val="clear" w:color="auto" w:fill="F2F4F7"/>
      </w:pPr>
      <w:r>
        <w:t>az login --tenant 2ff33ca4-e942-419c-b5ca-e224a5167498</w:t>
      </w:r>
      <w:r>
        <w:br/>
        <w:t>az account set --subscription acd523b9-54eb-4bbe-8776-fb761860c362</w:t>
      </w:r>
      <w:r>
        <w:br/>
        <w:t>az account show -o table</w:t>
      </w:r>
    </w:p>
    <w:p w14:paraId="5362CF42" w14:textId="77777777">
      <w:pPr>
        <w:pStyle w:val="Heading2"/>
      </w:pPr>
      <w:r>
        <w:t>2 — Compile, validate, preview and create</w:t>
      </w:r>
    </w:p>
    <w:p w14:paraId="10B5EF9F" w14:textId="77777777">
      <w:pPr>
        <w:pStyle w:val="CodeBlock"/>
        <w:shd w:val="clear" w:color="auto" w:fill="F2F4F7"/>
      </w:pPr>
      <w:r>
        <w:t>az bicep build --file .\infrastructure\azure\subscription.bicep</w:t>
      </w:r>
      <w:r>
        <w:br/>
        <w:t>az deployment sub validate --name ielevate-prod-validate-&lt;date&gt; `</w:t>
      </w:r>
      <w:r>
        <w:br/>
        <w:t xml:space="preserve">  --location uksouth --template-file .\infrastructure\azure\subscription.bicep `</w:t>
      </w:r>
      <w:r>
        <w:br/>
        <w:t xml:space="preserve">  --parameters "@C:\Secure\i-elevate\subscription.parameters.prod.json"</w:t>
      </w:r>
      <w:r>
        <w:br/>
        <w:t>az deployment sub what-if --name ielevate-prod-whatif-&lt;date&gt; `</w:t>
      </w:r>
      <w:r>
        <w:br/>
        <w:t xml:space="preserve">  --location uksouth --template-file .\infrastructure\azure\subscription.bicep `</w:t>
      </w:r>
      <w:r>
        <w:br/>
        <w:t xml:space="preserve">  --parameters "@C:\Secure\i-elevate\subscription.parameters.prod.json"</w:t>
      </w:r>
      <w:r>
        <w:br/>
        <w:t>az deployment sub create --name ielevate-prod-&lt;date&gt; `</w:t>
      </w:r>
      <w:r>
        <w:br/>
      </w:r>
      <w:r>
        <w:t xml:space="preserve">  --location uksouth --template-file .\infrastructure\azure\subscription.bicep `</w:t>
      </w:r>
      <w:r>
        <w:br/>
        <w:t xml:space="preserve">  --parameters "@C:\Secure\i-elevate\subscription.parameters.prod.json"</w:t>
      </w:r>
    </w:p>
    <w:p w14:paraId="2EB655AB" w14:textId="77777777">
      <w:pPr>
        <w:pStyle w:val="Heading2"/>
      </w:pPr>
      <w:r>
        <w:t>3 — Database migrations and bootstrap</w:t>
      </w:r>
    </w:p>
    <w:p w14:paraId="24014FB9" w14:textId="77777777">
      <w:pPr>
        <w:pStyle w:val="CodeBlock"/>
        <w:shd w:val="clear" w:color="auto" w:fill="F2F4F7"/>
      </w:pPr>
      <w:r>
        <w:t>.\scripts\apply-database.ps1 -Server '&lt;server&gt;.database.windows.net' `</w:t>
      </w:r>
      <w:r>
        <w:br/>
        <w:t xml:space="preserve">  -Database ielevate -Authentication Entra -ExcludeOfficialStaffData</w:t>
      </w:r>
      <w:r>
        <w:br/>
        <w:t>.\scripts\set-bootstrap-admin.ps1 -Server '&lt;server&gt;.database.windows.net' `</w:t>
      </w:r>
      <w:r>
        <w:br/>
        <w:t xml:space="preserve">  -Database ielevate -Email '&lt;approved-admin@oldham.ac.uk&gt;' `</w:t>
      </w:r>
      <w:r>
        <w:br/>
      </w:r>
      <w:r>
        <w:t xml:space="preserve">  -TenantId '2ff33ca4-e942-419c-b5ca-e224a5167498' `</w:t>
      </w:r>
      <w:r>
        <w:br/>
        <w:t xml:space="preserve">  -ObjectId '&lt;person-object-id&gt;' -Authentication Entra</w:t>
      </w:r>
    </w:p>
    <w:p w14:paraId="615C3470" w14:textId="77777777">
      <w:pPr>
        <w:pStyle w:val="Heading2"/>
      </w:pPr>
      <w:r>
        <w:t>4 — Build and deploy</w:t>
      </w:r>
    </w:p>
    <w:p w14:paraId="29548A6D" w14:textId="77777777">
      <w:pPr>
        <w:pStyle w:val="CodeBlock"/>
        <w:shd w:val="clear" w:color="auto" w:fill="F2F4F7"/>
      </w:pPr>
      <w:r>
        <w:t>.\scripts\new-azure-release.ps1 `</w:t>
      </w:r>
      <w:r>
        <w:br/>
        <w:t xml:space="preserve">  -EntraTenantId '2ff33ca4-e942-419c-b5ca-e224a5167498' `</w:t>
      </w:r>
      <w:r>
        <w:br/>
        <w:t xml:space="preserve">  -EntraApiAudience 'f6d35a24-dc89-40b0-819a-69400ed2491d' `</w:t>
      </w:r>
      <w:r>
        <w:br/>
        <w:t xml:space="preserve">  -EntraSpaClientId '40b00b7a-32b3-4a89-bac0-f016fd431d95' `</w:t>
      </w:r>
      <w:r>
        <w:br/>
        <w:t xml:space="preserve">  -EntraApiScope 'api://f6d35a24-dc89-40b0-819a-69400ed2491d/access_as_user'</w:t>
      </w:r>
      <w:r>
        <w:br/>
        <w:t>.\scripts\deploy-azure.ps1 -ResourceGroupName rg-ielevate-prod-uks `</w:t>
      </w:r>
      <w:r>
        <w:br/>
      </w:r>
      <w:r>
        <w:t xml:space="preserve">  -WebAppName '&lt;web-app&gt;' -ExpectedSubscriptionId `</w:t>
      </w:r>
      <w:r>
        <w:br/>
        <w:t xml:space="preserve">  'acd523b9-54eb-4bbe-8776-fb761860c362'</w:t>
      </w:r>
    </w:p>
    <w:p w14:paraId="2B4F33FE" w14:textId="77777777">
      <w:pPr>
        <w:pStyle w:val="Heading2"/>
      </w:pPr>
      <w:r>
        <w:t>5 — Verify</w:t>
      </w:r>
    </w:p>
    <w:p w14:paraId="188A5A30" w14:textId="77777777">
      <w:pPr>
        <w:pStyle w:val="CodeBlock"/>
        <w:shd w:val="clear" w:color="auto" w:fill="F2F4F7"/>
      </w:pPr>
      <w:r>
        <w:t>Invoke-RestMethod 'https://&lt;host&gt;/health/live'</w:t>
      </w:r>
      <w:r>
        <w:br/>
        <w:t>Invoke-RestMethod 'https://&lt;host&gt;/health/ready'</w:t>
      </w:r>
      <w:r>
        <w:br/>
        <w:t>az webapp show -g rg-ielevate-prod-uks -n '&lt;web-app&gt;' -o table</w:t>
      </w:r>
      <w:r>
        <w:br/>
        <w:t>az webapp log tail -g rg-ielevate-prod-uks -n '&lt;web-app&gt;'</w:t>
      </w:r>
    </w:p>
    <w:p w14:paraId="0EB29EC9" w14:textId="77777777">
      <w:pPr>
        <w:pStyle w:val="Heading2"/>
      </w:pPr>
      <w:r>
        <w:lastRenderedPageBreak/>
        <w:t>6 — Remove temporary SQL migration access</w:t>
      </w:r>
    </w:p>
    <w:p w14:paraId="75823319" w14:textId="77777777">
      <w:pPr>
        <w:pStyle w:val="CodeBlock"/>
        <w:shd w:val="clear" w:color="auto" w:fill="F2F4F7"/>
      </w:pPr>
      <w:r>
        <w:t>az sql server firewall-rule delete -g rg-ielevate-prod-uks `</w:t>
      </w:r>
      <w:r>
        <w:br/>
        <w:t xml:space="preserve">  -s '&lt;sql-server-name&gt;' -n TemporaryDeploymentAddress</w:t>
      </w:r>
    </w:p>
    <w:p w14:paraId="1EEF3B1F" w14:textId="77777777">
      <w:pPr>
        <w:pStyle w:val="Heading1"/>
      </w:pPr>
      <w:bookmarkStart w:id="23" w:name="annex_c"/>
      <w:r>
        <w:lastRenderedPageBreak/>
        <w:t>Annex C. Repository reference map</w:t>
      </w:r>
      <w:bookmarkEnd w:id="23"/>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4100"/>
        <w:gridCol w:w="5260"/>
      </w:tblGrid>
      <w:tr w14:paraId="2B0FC899" w14:textId="77777777">
        <w:trPr>
          <w:cantSplit/>
          <w:tblHeader/>
        </w:trPr>
        <w:tc>
          <w:tcPr>
            <w:tcW w:w="4100" w:type="dxa"/>
            <w:shd w:val="clear" w:color="auto" w:fill="E8EEF5"/>
            <w:tcMar>
              <w:top w:w="80" w:type="dxa"/>
              <w:left w:w="120" w:type="dxa"/>
              <w:bottom w:w="80" w:type="dxa"/>
              <w:right w:w="120" w:type="dxa"/>
            </w:tcMar>
            <w:vAlign w:val="center"/>
          </w:tcPr>
          <w:p w14:paraId="5ABBE39C" w14:textId="77777777">
            <w:pPr>
              <w:spacing w:after="0"/>
            </w:pPr>
            <w:r>
              <w:rPr>
                <w:b/>
                <w:color w:val="0B2545"/>
                <w:sz w:val="19"/>
              </w:rPr>
              <w:t>Path</w:t>
            </w:r>
          </w:p>
        </w:tc>
        <w:tc>
          <w:tcPr>
            <w:tcW w:w="5260" w:type="dxa"/>
            <w:shd w:val="clear" w:color="auto" w:fill="E8EEF5"/>
            <w:tcMar>
              <w:top w:w="80" w:type="dxa"/>
              <w:left w:w="120" w:type="dxa"/>
              <w:bottom w:w="80" w:type="dxa"/>
              <w:right w:w="120" w:type="dxa"/>
            </w:tcMar>
            <w:vAlign w:val="center"/>
          </w:tcPr>
          <w:p w14:paraId="7517BF38" w14:textId="77777777">
            <w:pPr>
              <w:spacing w:after="0"/>
            </w:pPr>
            <w:r>
              <w:rPr>
                <w:b/>
                <w:color w:val="0B2545"/>
                <w:sz w:val="19"/>
              </w:rPr>
              <w:t>Why the implementer needs it</w:t>
            </w:r>
          </w:p>
        </w:tc>
      </w:tr>
      <w:tr w14:paraId="26384E11" w14:textId="77777777">
        <w:trPr>
          <w:cantSplit/>
        </w:trPr>
        <w:tc>
          <w:tcPr>
            <w:tcW w:w="4100" w:type="dxa"/>
            <w:tcMar>
              <w:top w:w="80" w:type="dxa"/>
              <w:left w:w="120" w:type="dxa"/>
              <w:bottom w:w="80" w:type="dxa"/>
              <w:right w:w="120" w:type="dxa"/>
            </w:tcMar>
            <w:vAlign w:val="center"/>
          </w:tcPr>
          <w:p w14:paraId="178F55CC" w14:textId="77777777">
            <w:pPr>
              <w:spacing w:after="0" w:line="269" w:lineRule="auto"/>
            </w:pPr>
            <w:r>
              <w:rPr>
                <w:sz w:val="18"/>
              </w:rPr>
              <w:t>DEPLOYMENT-START-HERE.md</w:t>
            </w:r>
          </w:p>
        </w:tc>
        <w:tc>
          <w:tcPr>
            <w:tcW w:w="5260" w:type="dxa"/>
            <w:tcMar>
              <w:top w:w="80" w:type="dxa"/>
              <w:left w:w="120" w:type="dxa"/>
              <w:bottom w:w="80" w:type="dxa"/>
              <w:right w:w="120" w:type="dxa"/>
            </w:tcMar>
            <w:vAlign w:val="center"/>
          </w:tcPr>
          <w:p w14:paraId="70DB4022" w14:textId="77777777">
            <w:pPr>
              <w:spacing w:after="0" w:line="269" w:lineRule="auto"/>
            </w:pPr>
            <w:r>
              <w:rPr>
                <w:sz w:val="18"/>
              </w:rPr>
              <w:t>Short production sequence and entry point.</w:t>
            </w:r>
          </w:p>
        </w:tc>
      </w:tr>
      <w:tr w14:paraId="600A73E0" w14:textId="77777777">
        <w:trPr>
          <w:cantSplit/>
        </w:trPr>
        <w:tc>
          <w:tcPr>
            <w:tcW w:w="4100" w:type="dxa"/>
            <w:tcMar>
              <w:top w:w="80" w:type="dxa"/>
              <w:left w:w="120" w:type="dxa"/>
              <w:bottom w:w="80" w:type="dxa"/>
              <w:right w:w="120" w:type="dxa"/>
            </w:tcMar>
            <w:vAlign w:val="center"/>
          </w:tcPr>
          <w:p w14:paraId="5917A370" w14:textId="77777777">
            <w:pPr>
              <w:spacing w:after="0" w:line="269" w:lineRule="auto"/>
            </w:pPr>
            <w:r>
              <w:rPr>
                <w:sz w:val="18"/>
              </w:rPr>
              <w:t>HANDOVER.md</w:t>
            </w:r>
          </w:p>
        </w:tc>
        <w:tc>
          <w:tcPr>
            <w:tcW w:w="5260" w:type="dxa"/>
            <w:tcMar>
              <w:top w:w="80" w:type="dxa"/>
              <w:left w:w="120" w:type="dxa"/>
              <w:bottom w:w="80" w:type="dxa"/>
              <w:right w:w="120" w:type="dxa"/>
            </w:tcMar>
            <w:vAlign w:val="center"/>
          </w:tcPr>
          <w:p w14:paraId="7AE5E18A" w14:textId="77777777">
            <w:pPr>
              <w:spacing w:after="0" w:line="269" w:lineRule="auto"/>
            </w:pPr>
            <w:r>
              <w:rPr>
                <w:sz w:val="18"/>
              </w:rPr>
              <w:t>Ownership, transfer, deliverables and known-state record.</w:t>
            </w:r>
          </w:p>
        </w:tc>
      </w:tr>
      <w:tr w14:paraId="4060A549" w14:textId="77777777">
        <w:trPr>
          <w:cantSplit/>
        </w:trPr>
        <w:tc>
          <w:tcPr>
            <w:tcW w:w="4100" w:type="dxa"/>
            <w:tcMar>
              <w:top w:w="80" w:type="dxa"/>
              <w:left w:w="120" w:type="dxa"/>
              <w:bottom w:w="80" w:type="dxa"/>
              <w:right w:w="120" w:type="dxa"/>
            </w:tcMar>
            <w:vAlign w:val="center"/>
          </w:tcPr>
          <w:p w14:paraId="0C0C4540" w14:textId="77777777">
            <w:pPr>
              <w:spacing w:after="0" w:line="269" w:lineRule="auto"/>
            </w:pPr>
            <w:r>
              <w:rPr>
                <w:sz w:val="18"/>
              </w:rPr>
              <w:t>infrastructure/azure/subscription.bicep</w:t>
            </w:r>
          </w:p>
        </w:tc>
        <w:tc>
          <w:tcPr>
            <w:tcW w:w="5260" w:type="dxa"/>
            <w:tcMar>
              <w:top w:w="80" w:type="dxa"/>
              <w:left w:w="120" w:type="dxa"/>
              <w:bottom w:w="80" w:type="dxa"/>
              <w:right w:w="120" w:type="dxa"/>
            </w:tcMar>
            <w:vAlign w:val="center"/>
          </w:tcPr>
          <w:p w14:paraId="4DC958CE" w14:textId="77777777">
            <w:pPr>
              <w:spacing w:after="0" w:line="269" w:lineRule="auto"/>
            </w:pPr>
            <w:r>
              <w:rPr>
                <w:sz w:val="18"/>
              </w:rPr>
              <w:t>Subscription-level resource-group creation and main module invocation.</w:t>
            </w:r>
          </w:p>
        </w:tc>
      </w:tr>
      <w:tr w14:paraId="675F3828" w14:textId="77777777">
        <w:trPr>
          <w:cantSplit/>
        </w:trPr>
        <w:tc>
          <w:tcPr>
            <w:tcW w:w="4100" w:type="dxa"/>
            <w:tcMar>
              <w:top w:w="80" w:type="dxa"/>
              <w:left w:w="120" w:type="dxa"/>
              <w:bottom w:w="80" w:type="dxa"/>
              <w:right w:w="120" w:type="dxa"/>
            </w:tcMar>
            <w:vAlign w:val="center"/>
          </w:tcPr>
          <w:p w14:paraId="56B1C22D" w14:textId="77777777">
            <w:pPr>
              <w:spacing w:after="0" w:line="269" w:lineRule="auto"/>
            </w:pPr>
            <w:r>
              <w:rPr>
                <w:sz w:val="18"/>
              </w:rPr>
              <w:t>infrastructure/azure/main.bicep</w:t>
            </w:r>
          </w:p>
        </w:tc>
        <w:tc>
          <w:tcPr>
            <w:tcW w:w="5260" w:type="dxa"/>
            <w:tcMar>
              <w:top w:w="80" w:type="dxa"/>
              <w:left w:w="120" w:type="dxa"/>
              <w:bottom w:w="80" w:type="dxa"/>
              <w:right w:w="120" w:type="dxa"/>
            </w:tcMar>
            <w:vAlign w:val="center"/>
          </w:tcPr>
          <w:p w14:paraId="7C731E52" w14:textId="77777777">
            <w:pPr>
              <w:spacing w:after="0" w:line="269" w:lineRule="auto"/>
            </w:pPr>
            <w:r>
              <w:rPr>
                <w:sz w:val="18"/>
              </w:rPr>
              <w:t>Exact App Service, SQL, Storage, Key Vault, telemetry, settings, identity and RBAC definition.</w:t>
            </w:r>
          </w:p>
        </w:tc>
      </w:tr>
      <w:tr w14:paraId="165FC1AA" w14:textId="77777777">
        <w:trPr>
          <w:cantSplit/>
        </w:trPr>
        <w:tc>
          <w:tcPr>
            <w:tcW w:w="4100" w:type="dxa"/>
            <w:tcMar>
              <w:top w:w="80" w:type="dxa"/>
              <w:left w:w="120" w:type="dxa"/>
              <w:bottom w:w="80" w:type="dxa"/>
              <w:right w:w="120" w:type="dxa"/>
            </w:tcMar>
            <w:vAlign w:val="center"/>
          </w:tcPr>
          <w:p w14:paraId="4AFA46D9" w14:textId="77777777">
            <w:pPr>
              <w:spacing w:after="0" w:line="269" w:lineRule="auto"/>
            </w:pPr>
            <w:r>
              <w:rPr>
                <w:sz w:val="18"/>
              </w:rPr>
              <w:t>infrastructure/azure/subscription.parameters.example.json</w:t>
            </w:r>
          </w:p>
        </w:tc>
        <w:tc>
          <w:tcPr>
            <w:tcW w:w="5260" w:type="dxa"/>
            <w:tcMar>
              <w:top w:w="80" w:type="dxa"/>
              <w:left w:w="120" w:type="dxa"/>
              <w:bottom w:w="80" w:type="dxa"/>
              <w:right w:w="120" w:type="dxa"/>
            </w:tcMar>
            <w:vAlign w:val="center"/>
          </w:tcPr>
          <w:p w14:paraId="7E7CD762" w14:textId="77777777">
            <w:pPr>
              <w:spacing w:after="0" w:line="269" w:lineRule="auto"/>
            </w:pPr>
            <w:r>
              <w:rPr>
                <w:sz w:val="18"/>
              </w:rPr>
              <w:t>Placeholder-only parameter schema; copy outside source control.</w:t>
            </w:r>
          </w:p>
        </w:tc>
      </w:tr>
      <w:tr w14:paraId="482F52C7" w14:textId="77777777">
        <w:trPr>
          <w:cantSplit/>
        </w:trPr>
        <w:tc>
          <w:tcPr>
            <w:tcW w:w="4100" w:type="dxa"/>
            <w:tcMar>
              <w:top w:w="80" w:type="dxa"/>
              <w:left w:w="120" w:type="dxa"/>
              <w:bottom w:w="80" w:type="dxa"/>
              <w:right w:w="120" w:type="dxa"/>
            </w:tcMar>
            <w:vAlign w:val="center"/>
          </w:tcPr>
          <w:p w14:paraId="7295625C" w14:textId="77777777">
            <w:pPr>
              <w:spacing w:after="0" w:line="269" w:lineRule="auto"/>
            </w:pPr>
            <w:r>
              <w:rPr>
                <w:sz w:val="18"/>
              </w:rPr>
              <w:t>scripts/verify-v1.ps1</w:t>
            </w:r>
          </w:p>
        </w:tc>
        <w:tc>
          <w:tcPr>
            <w:tcW w:w="5260" w:type="dxa"/>
            <w:tcMar>
              <w:top w:w="80" w:type="dxa"/>
              <w:left w:w="120" w:type="dxa"/>
              <w:bottom w:w="80" w:type="dxa"/>
              <w:right w:w="120" w:type="dxa"/>
            </w:tcMar>
            <w:vAlign w:val="center"/>
          </w:tcPr>
          <w:p w14:paraId="67EB47D3" w14:textId="77777777">
            <w:pPr>
              <w:spacing w:after="0" w:line="269" w:lineRule="auto"/>
            </w:pPr>
            <w:r>
              <w:rPr>
                <w:sz w:val="18"/>
              </w:rPr>
              <w:t>Full release gate: clean tree, builds, tests, audits, metadata and manifests.</w:t>
            </w:r>
          </w:p>
        </w:tc>
      </w:tr>
      <w:tr w14:paraId="557DE66D" w14:textId="77777777">
        <w:trPr>
          <w:cantSplit/>
        </w:trPr>
        <w:tc>
          <w:tcPr>
            <w:tcW w:w="4100" w:type="dxa"/>
            <w:tcMar>
              <w:top w:w="80" w:type="dxa"/>
              <w:left w:w="120" w:type="dxa"/>
              <w:bottom w:w="80" w:type="dxa"/>
              <w:right w:w="120" w:type="dxa"/>
            </w:tcMar>
            <w:vAlign w:val="center"/>
          </w:tcPr>
          <w:p w14:paraId="5A877010" w14:textId="77777777">
            <w:pPr>
              <w:spacing w:after="0" w:line="269" w:lineRule="auto"/>
            </w:pPr>
            <w:r>
              <w:rPr>
                <w:sz w:val="18"/>
              </w:rPr>
              <w:t>scripts/new-azure-release.ps1</w:t>
            </w:r>
          </w:p>
        </w:tc>
        <w:tc>
          <w:tcPr>
            <w:tcW w:w="5260" w:type="dxa"/>
            <w:tcMar>
              <w:top w:w="80" w:type="dxa"/>
              <w:left w:w="120" w:type="dxa"/>
              <w:bottom w:w="80" w:type="dxa"/>
              <w:right w:w="120" w:type="dxa"/>
            </w:tcMar>
            <w:vAlign w:val="center"/>
          </w:tcPr>
          <w:p w14:paraId="18E2F280" w14:textId="77777777">
            <w:pPr>
              <w:spacing w:after="0" w:line="269" w:lineRule="auto"/>
            </w:pPr>
            <w:r>
              <w:rPr>
                <w:sz w:val="18"/>
              </w:rPr>
              <w:t>Builds the same-origin Linux production ZIP with Entra identifiers embedded in the SPA.</w:t>
            </w:r>
          </w:p>
        </w:tc>
      </w:tr>
      <w:tr w14:paraId="2C461F10" w14:textId="77777777">
        <w:trPr>
          <w:cantSplit/>
        </w:trPr>
        <w:tc>
          <w:tcPr>
            <w:tcW w:w="4100" w:type="dxa"/>
            <w:tcMar>
              <w:top w:w="80" w:type="dxa"/>
              <w:left w:w="120" w:type="dxa"/>
              <w:bottom w:w="80" w:type="dxa"/>
              <w:right w:w="120" w:type="dxa"/>
            </w:tcMar>
            <w:vAlign w:val="center"/>
          </w:tcPr>
          <w:p w14:paraId="59FDB9D7" w14:textId="77777777">
            <w:pPr>
              <w:spacing w:after="0" w:line="269" w:lineRule="auto"/>
            </w:pPr>
            <w:r>
              <w:rPr>
                <w:sz w:val="18"/>
              </w:rPr>
              <w:t>scripts/deploy-azure.ps1</w:t>
            </w:r>
          </w:p>
        </w:tc>
        <w:tc>
          <w:tcPr>
            <w:tcW w:w="5260" w:type="dxa"/>
            <w:tcMar>
              <w:top w:w="80" w:type="dxa"/>
              <w:left w:w="120" w:type="dxa"/>
              <w:bottom w:w="80" w:type="dxa"/>
              <w:right w:w="120" w:type="dxa"/>
            </w:tcMar>
            <w:vAlign w:val="center"/>
          </w:tcPr>
          <w:p w14:paraId="75CF4990" w14:textId="77777777">
            <w:pPr>
              <w:spacing w:after="0" w:line="269" w:lineRule="auto"/>
            </w:pPr>
            <w:r>
              <w:rPr>
                <w:sz w:val="18"/>
              </w:rPr>
              <w:t>Checks subscription, ZIP deploys, restarts and polls readiness.</w:t>
            </w:r>
          </w:p>
        </w:tc>
      </w:tr>
      <w:tr w14:paraId="119C7414" w14:textId="77777777">
        <w:trPr>
          <w:cantSplit/>
        </w:trPr>
        <w:tc>
          <w:tcPr>
            <w:tcW w:w="4100" w:type="dxa"/>
            <w:tcMar>
              <w:top w:w="80" w:type="dxa"/>
              <w:left w:w="120" w:type="dxa"/>
              <w:bottom w:w="80" w:type="dxa"/>
              <w:right w:w="120" w:type="dxa"/>
            </w:tcMar>
            <w:vAlign w:val="center"/>
          </w:tcPr>
          <w:p w14:paraId="19226522" w14:textId="77777777">
            <w:pPr>
              <w:spacing w:after="0" w:line="269" w:lineRule="auto"/>
            </w:pPr>
            <w:r>
              <w:rPr>
                <w:sz w:val="18"/>
              </w:rPr>
              <w:t>scripts/apply-database.ps1</w:t>
            </w:r>
          </w:p>
        </w:tc>
        <w:tc>
          <w:tcPr>
            <w:tcW w:w="5260" w:type="dxa"/>
            <w:tcMar>
              <w:top w:w="80" w:type="dxa"/>
              <w:left w:w="120" w:type="dxa"/>
              <w:bottom w:w="80" w:type="dxa"/>
              <w:right w:w="120" w:type="dxa"/>
            </w:tcMar>
            <w:vAlign w:val="center"/>
          </w:tcPr>
          <w:p w14:paraId="578E854B" w14:textId="77777777">
            <w:pPr>
              <w:spacing w:after="0" w:line="269" w:lineRule="auto"/>
            </w:pPr>
            <w:r>
              <w:rPr>
                <w:sz w:val="18"/>
              </w:rPr>
              <w:t>Explicit ordered deployment list through migration 070 with checksum ledger.</w:t>
            </w:r>
          </w:p>
        </w:tc>
      </w:tr>
      <w:tr w14:paraId="41609479" w14:textId="77777777">
        <w:trPr>
          <w:cantSplit/>
        </w:trPr>
        <w:tc>
          <w:tcPr>
            <w:tcW w:w="4100" w:type="dxa"/>
            <w:tcMar>
              <w:top w:w="80" w:type="dxa"/>
              <w:left w:w="120" w:type="dxa"/>
              <w:bottom w:w="80" w:type="dxa"/>
              <w:right w:w="120" w:type="dxa"/>
            </w:tcMar>
            <w:vAlign w:val="center"/>
          </w:tcPr>
          <w:p w14:paraId="3A1DD0F9" w14:textId="77777777">
            <w:pPr>
              <w:spacing w:after="0" w:line="269" w:lineRule="auto"/>
            </w:pPr>
            <w:r>
              <w:rPr>
                <w:sz w:val="18"/>
              </w:rPr>
              <w:t>scripts/set-bootstrap-admin.ps1</w:t>
            </w:r>
          </w:p>
        </w:tc>
        <w:tc>
          <w:tcPr>
            <w:tcW w:w="5260" w:type="dxa"/>
            <w:tcMar>
              <w:top w:w="80" w:type="dxa"/>
              <w:left w:w="120" w:type="dxa"/>
              <w:bottom w:w="80" w:type="dxa"/>
              <w:right w:w="120" w:type="dxa"/>
            </w:tcMar>
            <w:vAlign w:val="center"/>
          </w:tcPr>
          <w:p w14:paraId="24E6B2A8" w14:textId="77777777">
            <w:pPr>
              <w:spacing w:after="0" w:line="269" w:lineRule="auto"/>
            </w:pPr>
            <w:r>
              <w:rPr>
                <w:sz w:val="18"/>
              </w:rPr>
              <w:t>Links the first Entra identity to an active staff record and grants audited super-admin/global access.</w:t>
            </w:r>
          </w:p>
        </w:tc>
      </w:tr>
      <w:tr w14:paraId="01112B1C" w14:textId="77777777">
        <w:trPr>
          <w:cantSplit/>
        </w:trPr>
        <w:tc>
          <w:tcPr>
            <w:tcW w:w="4100" w:type="dxa"/>
            <w:tcMar>
              <w:top w:w="80" w:type="dxa"/>
              <w:left w:w="120" w:type="dxa"/>
              <w:bottom w:w="80" w:type="dxa"/>
              <w:right w:w="120" w:type="dxa"/>
            </w:tcMar>
            <w:vAlign w:val="center"/>
          </w:tcPr>
          <w:p w14:paraId="312CBDB3" w14:textId="77777777">
            <w:pPr>
              <w:spacing w:after="0" w:line="269" w:lineRule="auto"/>
            </w:pPr>
            <w:r>
              <w:rPr>
                <w:sz w:val="18"/>
              </w:rPr>
              <w:t>database/migrations</w:t>
            </w:r>
          </w:p>
        </w:tc>
        <w:tc>
          <w:tcPr>
            <w:tcW w:w="5260" w:type="dxa"/>
            <w:tcMar>
              <w:top w:w="80" w:type="dxa"/>
              <w:left w:w="120" w:type="dxa"/>
              <w:bottom w:w="80" w:type="dxa"/>
              <w:right w:w="120" w:type="dxa"/>
            </w:tcMar>
            <w:vAlign w:val="center"/>
          </w:tcPr>
          <w:p w14:paraId="1C764A68" w14:textId="77777777">
            <w:pPr>
              <w:spacing w:after="0" w:line="269" w:lineRule="auto"/>
            </w:pPr>
            <w:r>
              <w:rPr>
                <w:sz w:val="18"/>
              </w:rPr>
              <w:t>Forward-only schema and feature history. Never edit an applied file.</w:t>
            </w:r>
          </w:p>
        </w:tc>
      </w:tr>
      <w:tr w14:paraId="7E1C0EFB" w14:textId="77777777">
        <w:trPr>
          <w:cantSplit/>
        </w:trPr>
        <w:tc>
          <w:tcPr>
            <w:tcW w:w="4100" w:type="dxa"/>
            <w:tcMar>
              <w:top w:w="80" w:type="dxa"/>
              <w:left w:w="120" w:type="dxa"/>
              <w:bottom w:w="80" w:type="dxa"/>
              <w:right w:w="120" w:type="dxa"/>
            </w:tcMar>
            <w:vAlign w:val="center"/>
          </w:tcPr>
          <w:p w14:paraId="0AAF94E9" w14:textId="77777777">
            <w:pPr>
              <w:spacing w:after="0" w:line="269" w:lineRule="auto"/>
            </w:pPr>
            <w:r>
              <w:rPr>
                <w:sz w:val="18"/>
              </w:rPr>
              <w:t>database/seed/001_seed_foundation.sql</w:t>
            </w:r>
          </w:p>
        </w:tc>
        <w:tc>
          <w:tcPr>
            <w:tcW w:w="5260" w:type="dxa"/>
            <w:tcMar>
              <w:top w:w="80" w:type="dxa"/>
              <w:left w:w="120" w:type="dxa"/>
              <w:bottom w:w="80" w:type="dxa"/>
              <w:right w:w="120" w:type="dxa"/>
            </w:tcMar>
            <w:vAlign w:val="center"/>
          </w:tcPr>
          <w:p w14:paraId="0CF069EB" w14:textId="77777777">
            <w:pPr>
              <w:spacing w:after="0" w:line="269" w:lineRule="auto"/>
            </w:pPr>
            <w:r>
              <w:rPr>
                <w:sz w:val="18"/>
              </w:rPr>
              <w:t>Required platform configuration/reference foundation.</w:t>
            </w:r>
          </w:p>
        </w:tc>
      </w:tr>
      <w:tr w14:paraId="0F0CC851" w14:textId="77777777">
        <w:trPr>
          <w:cantSplit/>
        </w:trPr>
        <w:tc>
          <w:tcPr>
            <w:tcW w:w="4100" w:type="dxa"/>
            <w:tcMar>
              <w:top w:w="80" w:type="dxa"/>
              <w:left w:w="120" w:type="dxa"/>
              <w:bottom w:w="80" w:type="dxa"/>
              <w:right w:w="120" w:type="dxa"/>
            </w:tcMar>
            <w:vAlign w:val="center"/>
          </w:tcPr>
          <w:p w14:paraId="1577BAFE" w14:textId="77777777">
            <w:pPr>
              <w:spacing w:after="0" w:line="269" w:lineRule="auto"/>
            </w:pPr>
            <w:r>
              <w:rPr>
                <w:sz w:val="18"/>
              </w:rPr>
              <w:t>database/seed/005_seed_official_curriculum_staff.sql</w:t>
            </w:r>
          </w:p>
        </w:tc>
        <w:tc>
          <w:tcPr>
            <w:tcW w:w="5260" w:type="dxa"/>
            <w:tcMar>
              <w:top w:w="80" w:type="dxa"/>
              <w:left w:w="120" w:type="dxa"/>
              <w:bottom w:w="80" w:type="dxa"/>
              <w:right w:w="120" w:type="dxa"/>
            </w:tcMar>
            <w:vAlign w:val="center"/>
          </w:tcPr>
          <w:p w14:paraId="2D4D71A0" w14:textId="77777777">
            <w:pPr>
              <w:spacing w:after="0" w:line="269" w:lineRule="auto"/>
            </w:pPr>
            <w:r>
              <w:rPr>
                <w:sz w:val="18"/>
              </w:rPr>
              <w:t>Optional production staff starting dataset; include only when approved/current.</w:t>
            </w:r>
          </w:p>
        </w:tc>
      </w:tr>
      <w:tr w14:paraId="73B085B6" w14:textId="77777777">
        <w:trPr>
          <w:cantSplit/>
        </w:trPr>
        <w:tc>
          <w:tcPr>
            <w:tcW w:w="4100" w:type="dxa"/>
            <w:tcMar>
              <w:top w:w="80" w:type="dxa"/>
              <w:left w:w="120" w:type="dxa"/>
              <w:bottom w:w="80" w:type="dxa"/>
              <w:right w:w="120" w:type="dxa"/>
            </w:tcMar>
            <w:vAlign w:val="center"/>
          </w:tcPr>
          <w:p w14:paraId="786D7FF3" w14:textId="77777777">
            <w:pPr>
              <w:spacing w:after="0" w:line="269" w:lineRule="auto"/>
            </w:pPr>
            <w:r>
              <w:rPr>
                <w:sz w:val="18"/>
              </w:rPr>
              <w:t>database/seed/002_seed_demo.sql</w:t>
            </w:r>
          </w:p>
        </w:tc>
        <w:tc>
          <w:tcPr>
            <w:tcW w:w="5260" w:type="dxa"/>
            <w:tcMar>
              <w:top w:w="80" w:type="dxa"/>
              <w:left w:w="120" w:type="dxa"/>
              <w:bottom w:w="80" w:type="dxa"/>
              <w:right w:w="120" w:type="dxa"/>
            </w:tcMar>
            <w:vAlign w:val="center"/>
          </w:tcPr>
          <w:p w14:paraId="1BD273C8" w14:textId="77777777">
            <w:pPr>
              <w:spacing w:after="0" w:line="269" w:lineRule="auto"/>
            </w:pPr>
            <w:r>
              <w:rPr>
                <w:sz w:val="18"/>
              </w:rPr>
              <w:t>Demo data; never run in production.</w:t>
            </w:r>
          </w:p>
        </w:tc>
      </w:tr>
      <w:tr w14:paraId="218B7D4B" w14:textId="77777777">
        <w:trPr>
          <w:cantSplit/>
        </w:trPr>
        <w:tc>
          <w:tcPr>
            <w:tcW w:w="4100" w:type="dxa"/>
            <w:tcMar>
              <w:top w:w="80" w:type="dxa"/>
              <w:left w:w="120" w:type="dxa"/>
              <w:bottom w:w="80" w:type="dxa"/>
              <w:right w:w="120" w:type="dxa"/>
            </w:tcMar>
            <w:vAlign w:val="center"/>
          </w:tcPr>
          <w:p w14:paraId="560690F3" w14:textId="77777777">
            <w:pPr>
              <w:spacing w:after="0" w:line="269" w:lineRule="auto"/>
            </w:pPr>
            <w:r>
              <w:rPr>
                <w:sz w:val="18"/>
              </w:rPr>
              <w:t>.github/workflows/ci.yml</w:t>
            </w:r>
          </w:p>
        </w:tc>
        <w:tc>
          <w:tcPr>
            <w:tcW w:w="5260" w:type="dxa"/>
            <w:tcMar>
              <w:top w:w="80" w:type="dxa"/>
              <w:left w:w="120" w:type="dxa"/>
              <w:bottom w:w="80" w:type="dxa"/>
              <w:right w:w="120" w:type="dxa"/>
            </w:tcMar>
            <w:vAlign w:val="center"/>
          </w:tcPr>
          <w:p w14:paraId="54F3A19A" w14:textId="77777777">
            <w:pPr>
              <w:spacing w:after="0" w:line="269" w:lineRule="auto"/>
            </w:pPr>
            <w:r>
              <w:rPr>
                <w:sz w:val="18"/>
              </w:rPr>
              <w:t>Build/test/audit/compile checks on main and pull requests.</w:t>
            </w:r>
          </w:p>
        </w:tc>
      </w:tr>
      <w:tr w14:paraId="079FBB9D" w14:textId="77777777">
        <w:trPr>
          <w:cantSplit/>
        </w:trPr>
        <w:tc>
          <w:tcPr>
            <w:tcW w:w="4100" w:type="dxa"/>
            <w:tcMar>
              <w:top w:w="80" w:type="dxa"/>
              <w:left w:w="120" w:type="dxa"/>
              <w:bottom w:w="80" w:type="dxa"/>
              <w:right w:w="120" w:type="dxa"/>
            </w:tcMar>
            <w:vAlign w:val="center"/>
          </w:tcPr>
          <w:p w14:paraId="7F5272BF" w14:textId="77777777">
            <w:pPr>
              <w:spacing w:after="0" w:line="269" w:lineRule="auto"/>
            </w:pPr>
            <w:r>
              <w:rPr>
                <w:sz w:val="18"/>
              </w:rPr>
              <w:t>.github/workflows/release-azure.yml</w:t>
            </w:r>
          </w:p>
        </w:tc>
        <w:tc>
          <w:tcPr>
            <w:tcW w:w="5260" w:type="dxa"/>
            <w:tcMar>
              <w:top w:w="80" w:type="dxa"/>
              <w:left w:w="120" w:type="dxa"/>
              <w:bottom w:w="80" w:type="dxa"/>
              <w:right w:w="120" w:type="dxa"/>
            </w:tcMar>
            <w:vAlign w:val="center"/>
          </w:tcPr>
          <w:p w14:paraId="1908F4B0" w14:textId="77777777">
            <w:pPr>
              <w:spacing w:after="0" w:line="269" w:lineRule="auto"/>
            </w:pPr>
            <w:r>
              <w:rPr>
                <w:sz w:val="18"/>
              </w:rPr>
              <w:t>Manual reproducible Linux release artifact workflow.</w:t>
            </w:r>
          </w:p>
        </w:tc>
      </w:tr>
      <w:tr w14:paraId="20A62C07" w14:textId="77777777">
        <w:trPr>
          <w:cantSplit/>
        </w:trPr>
        <w:tc>
          <w:tcPr>
            <w:tcW w:w="4100" w:type="dxa"/>
            <w:tcMar>
              <w:top w:w="80" w:type="dxa"/>
              <w:left w:w="120" w:type="dxa"/>
              <w:bottom w:w="80" w:type="dxa"/>
              <w:right w:w="120" w:type="dxa"/>
            </w:tcMar>
            <w:vAlign w:val="center"/>
          </w:tcPr>
          <w:p w14:paraId="15ED27F1" w14:textId="77777777">
            <w:pPr>
              <w:spacing w:after="0" w:line="269" w:lineRule="auto"/>
            </w:pPr>
            <w:r>
              <w:rPr>
                <w:sz w:val="18"/>
              </w:rPr>
              <w:t>docs/deployment/v1-readiness.md</w:t>
            </w:r>
          </w:p>
        </w:tc>
        <w:tc>
          <w:tcPr>
            <w:tcW w:w="5260" w:type="dxa"/>
            <w:tcMar>
              <w:top w:w="80" w:type="dxa"/>
              <w:left w:w="120" w:type="dxa"/>
              <w:bottom w:w="80" w:type="dxa"/>
              <w:right w:w="120" w:type="dxa"/>
            </w:tcMar>
            <w:vAlign w:val="center"/>
          </w:tcPr>
          <w:p w14:paraId="4621FAFA" w14:textId="77777777">
            <w:pPr>
              <w:spacing w:after="0" w:line="269" w:lineRule="auto"/>
            </w:pPr>
            <w:r>
              <w:rPr>
                <w:sz w:val="18"/>
              </w:rPr>
              <w:t>Mandatory acceptance checklist.</w:t>
            </w:r>
          </w:p>
        </w:tc>
      </w:tr>
      <w:tr w14:paraId="5E0E1A3F" w14:textId="77777777">
        <w:trPr>
          <w:cantSplit/>
        </w:trPr>
        <w:tc>
          <w:tcPr>
            <w:tcW w:w="4100" w:type="dxa"/>
            <w:tcMar>
              <w:top w:w="80" w:type="dxa"/>
              <w:left w:w="120" w:type="dxa"/>
              <w:bottom w:w="80" w:type="dxa"/>
              <w:right w:w="120" w:type="dxa"/>
            </w:tcMar>
            <w:vAlign w:val="center"/>
          </w:tcPr>
          <w:p w14:paraId="21F3CEE7" w14:textId="77777777">
            <w:pPr>
              <w:spacing w:after="0" w:line="269" w:lineRule="auto"/>
            </w:pPr>
            <w:r>
              <w:rPr>
                <w:sz w:val="18"/>
              </w:rPr>
              <w:t>docs/deployment/on-premises-operations.md</w:t>
            </w:r>
          </w:p>
        </w:tc>
        <w:tc>
          <w:tcPr>
            <w:tcW w:w="5260" w:type="dxa"/>
            <w:tcMar>
              <w:top w:w="80" w:type="dxa"/>
              <w:left w:w="120" w:type="dxa"/>
              <w:bottom w:w="80" w:type="dxa"/>
              <w:right w:w="120" w:type="dxa"/>
            </w:tcMar>
            <w:vAlign w:val="center"/>
          </w:tcPr>
          <w:p w14:paraId="21553CE6" w14:textId="77777777">
            <w:pPr>
              <w:spacing w:after="0" w:line="269" w:lineRule="auto"/>
            </w:pPr>
            <w:r>
              <w:rPr>
                <w:sz w:val="18"/>
              </w:rPr>
              <w:t>Windows/IIS and on-campus SQL contingency operations.</w:t>
            </w:r>
          </w:p>
        </w:tc>
      </w:tr>
      <w:tr w14:paraId="1F248E0F" w14:textId="77777777">
        <w:trPr>
          <w:cantSplit/>
        </w:trPr>
        <w:tc>
          <w:tcPr>
            <w:tcW w:w="4100" w:type="dxa"/>
            <w:tcMar>
              <w:top w:w="80" w:type="dxa"/>
              <w:left w:w="120" w:type="dxa"/>
              <w:bottom w:w="80" w:type="dxa"/>
              <w:right w:w="120" w:type="dxa"/>
            </w:tcMar>
            <w:vAlign w:val="center"/>
          </w:tcPr>
          <w:p w14:paraId="5E11C2CB" w14:textId="77777777">
            <w:pPr>
              <w:spacing w:after="0" w:line="269" w:lineRule="auto"/>
            </w:pPr>
            <w:r>
              <w:rPr>
                <w:sz w:val="18"/>
              </w:rPr>
              <w:t>docs/architecture/overview.md</w:t>
            </w:r>
          </w:p>
        </w:tc>
        <w:tc>
          <w:tcPr>
            <w:tcW w:w="5260" w:type="dxa"/>
            <w:tcMar>
              <w:top w:w="80" w:type="dxa"/>
              <w:left w:w="120" w:type="dxa"/>
              <w:bottom w:w="80" w:type="dxa"/>
              <w:right w:w="120" w:type="dxa"/>
            </w:tcMar>
            <w:vAlign w:val="center"/>
          </w:tcPr>
          <w:p w14:paraId="6A6AD2C4" w14:textId="77777777">
            <w:pPr>
              <w:spacing w:after="0" w:line="269" w:lineRule="auto"/>
            </w:pPr>
            <w:r>
              <w:rPr>
                <w:sz w:val="18"/>
              </w:rPr>
              <w:t>System architecture and module boundaries.</w:t>
            </w:r>
          </w:p>
        </w:tc>
      </w:tr>
      <w:tr w14:paraId="6327709F" w14:textId="77777777">
        <w:trPr>
          <w:cantSplit/>
        </w:trPr>
        <w:tc>
          <w:tcPr>
            <w:tcW w:w="4100" w:type="dxa"/>
            <w:tcMar>
              <w:top w:w="80" w:type="dxa"/>
              <w:left w:w="120" w:type="dxa"/>
              <w:bottom w:w="80" w:type="dxa"/>
              <w:right w:w="120" w:type="dxa"/>
            </w:tcMar>
            <w:vAlign w:val="center"/>
          </w:tcPr>
          <w:p w14:paraId="586A9BA8" w14:textId="77777777">
            <w:pPr>
              <w:spacing w:after="0" w:line="269" w:lineRule="auto"/>
            </w:pPr>
            <w:r>
              <w:rPr>
                <w:sz w:val="18"/>
              </w:rPr>
              <w:t>docs/architecture/relationships-permissions-decisions.md</w:t>
            </w:r>
          </w:p>
        </w:tc>
        <w:tc>
          <w:tcPr>
            <w:tcW w:w="5260" w:type="dxa"/>
            <w:tcMar>
              <w:top w:w="80" w:type="dxa"/>
              <w:left w:w="120" w:type="dxa"/>
              <w:bottom w:w="80" w:type="dxa"/>
              <w:right w:w="120" w:type="dxa"/>
            </w:tcMar>
            <w:vAlign w:val="center"/>
          </w:tcPr>
          <w:p w14:paraId="0CE25D71" w14:textId="77777777">
            <w:pPr>
              <w:spacing w:after="0" w:line="269" w:lineRule="auto"/>
            </w:pPr>
            <w:r>
              <w:rPr>
                <w:sz w:val="18"/>
              </w:rPr>
              <w:t>Role, relationship and scope design decisions.</w:t>
            </w:r>
          </w:p>
        </w:tc>
      </w:tr>
      <w:tr w14:paraId="667E1B19" w14:textId="77777777">
        <w:trPr>
          <w:cantSplit/>
        </w:trPr>
        <w:tc>
          <w:tcPr>
            <w:tcW w:w="4100" w:type="dxa"/>
            <w:tcMar>
              <w:top w:w="80" w:type="dxa"/>
              <w:left w:w="120" w:type="dxa"/>
              <w:bottom w:w="80" w:type="dxa"/>
              <w:right w:w="120" w:type="dxa"/>
            </w:tcMar>
            <w:vAlign w:val="center"/>
          </w:tcPr>
          <w:p w14:paraId="7B1862EB" w14:textId="77777777">
            <w:pPr>
              <w:spacing w:after="0" w:line="269" w:lineRule="auto"/>
            </w:pPr>
            <w:r>
              <w:rPr>
                <w:sz w:val="18"/>
              </w:rPr>
              <w:t>apps/web/src/services/auth.ts</w:t>
            </w:r>
          </w:p>
        </w:tc>
        <w:tc>
          <w:tcPr>
            <w:tcW w:w="5260" w:type="dxa"/>
            <w:tcMar>
              <w:top w:w="80" w:type="dxa"/>
              <w:left w:w="120" w:type="dxa"/>
              <w:bottom w:w="80" w:type="dxa"/>
              <w:right w:w="120" w:type="dxa"/>
            </w:tcMar>
            <w:vAlign w:val="center"/>
          </w:tcPr>
          <w:p w14:paraId="7197C56F" w14:textId="77777777">
            <w:pPr>
              <w:spacing w:after="0" w:line="269" w:lineRule="auto"/>
            </w:pPr>
            <w:r>
              <w:rPr>
                <w:sz w:val="18"/>
              </w:rPr>
              <w:t>MSAL SPA configuration; redirect uses window.location.origin and sessionStorage.</w:t>
            </w:r>
          </w:p>
        </w:tc>
      </w:tr>
      <w:tr w14:paraId="7642FD06" w14:textId="77777777">
        <w:trPr>
          <w:cantSplit/>
        </w:trPr>
        <w:tc>
          <w:tcPr>
            <w:tcW w:w="4100" w:type="dxa"/>
            <w:tcMar>
              <w:top w:w="80" w:type="dxa"/>
              <w:left w:w="120" w:type="dxa"/>
              <w:bottom w:w="80" w:type="dxa"/>
              <w:right w:w="120" w:type="dxa"/>
            </w:tcMar>
            <w:vAlign w:val="center"/>
          </w:tcPr>
          <w:p w14:paraId="0EE27DF4" w14:textId="77777777">
            <w:pPr>
              <w:spacing w:after="0" w:line="269" w:lineRule="auto"/>
            </w:pPr>
            <w:r>
              <w:rPr>
                <w:sz w:val="18"/>
              </w:rPr>
              <w:lastRenderedPageBreak/>
              <w:t>apps/api/src/TLQS.Api/Program.cs</w:t>
            </w:r>
          </w:p>
        </w:tc>
        <w:tc>
          <w:tcPr>
            <w:tcW w:w="5260" w:type="dxa"/>
            <w:tcMar>
              <w:top w:w="80" w:type="dxa"/>
              <w:left w:w="120" w:type="dxa"/>
              <w:bottom w:w="80" w:type="dxa"/>
              <w:right w:w="120" w:type="dxa"/>
            </w:tcMar>
            <w:vAlign w:val="center"/>
          </w:tcPr>
          <w:p w14:paraId="2206B463" w14:textId="77777777">
            <w:pPr>
              <w:spacing w:after="0" w:line="269" w:lineRule="auto"/>
            </w:pPr>
            <w:r>
              <w:rPr>
                <w:sz w:val="18"/>
              </w:rPr>
              <w:t>Production authentication, database, data protection, health and middleware wiring.</w:t>
            </w:r>
          </w:p>
        </w:tc>
      </w:tr>
    </w:tbl>
    <w:p w14:paraId="02F1BED4" w14:textId="77777777">
      <w:pPr>
        <w:spacing w:after="20"/>
      </w:pPr>
    </w:p>
    <w:p w14:paraId="0F327102" w14:textId="77777777">
      <w:pPr>
        <w:pStyle w:val="Heading1"/>
      </w:pPr>
      <w:bookmarkStart w:id="24" w:name="annex_d"/>
      <w:r>
        <w:lastRenderedPageBreak/>
        <w:t>Annex D. On-campus IIS and SQL Server hosting</w:t>
      </w:r>
      <w:bookmarkEnd w:id="24"/>
    </w:p>
    <w:tbl>
      <w:tblPr>
        <w:tblStyle w:val="TableGrid"/>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14:paraId="70A037DC" w14:textId="77777777">
        <w:trPr>
          <w:cantSplit/>
          <w:tblHeader/>
        </w:trPr>
        <w:tc>
          <w:tcPr>
            <w:tcW w:w="9360" w:type="dxa"/>
            <w:shd w:val="clear" w:color="auto" w:fill="FFF4CC"/>
            <w:tcMar>
              <w:top w:w="80" w:type="dxa"/>
              <w:left w:w="120" w:type="dxa"/>
              <w:bottom w:w="80" w:type="dxa"/>
              <w:right w:w="120" w:type="dxa"/>
            </w:tcMar>
            <w:vAlign w:val="center"/>
          </w:tcPr>
          <w:p w14:paraId="1D2610BB" w14:textId="77777777">
            <w:pPr>
              <w:spacing w:after="60"/>
            </w:pPr>
            <w:r>
              <w:rPr>
                <w:b/>
                <w:color w:val="7A5A00"/>
              </w:rPr>
              <w:t>Alternative, not a hybrid add-on</w:t>
            </w:r>
          </w:p>
          <w:p w14:paraId="585C867C" w14:textId="77777777">
            <w:pPr>
              <w:spacing w:after="0"/>
            </w:pPr>
            <w:r>
              <w:rPr>
                <w:sz w:val="20"/>
              </w:rPr>
              <w:t>Choose this route only through an explicit hosting decision. It replaces Azure App Service and Azure SQL with Windows IIS and on-campus SQL Server. Do not mix Azure Linux packages/settings with Windows/IIS packages/settings.</w:t>
            </w:r>
          </w:p>
        </w:tc>
      </w:tr>
    </w:tbl>
    <w:p w14:paraId="4D8BD394" w14:textId="77777777">
      <w:pPr>
        <w:spacing w:after="20"/>
      </w:pPr>
    </w:p>
    <w:p w14:paraId="0840BAE6" w14:textId="77777777">
      <w:pPr>
        <w:pStyle w:val="Heading2"/>
      </w:pPr>
      <w:r>
        <w:t>Supported production shape</w:t>
      </w:r>
    </w:p>
    <w:p w14:paraId="364EACC6" w14:textId="77777777">
      <w:pPr>
        <w:numPr>
          <w:ilvl w:val="0"/>
          <w:numId w:val="24"/>
        </w:numPr>
      </w:pPr>
      <w:r>
        <w:t>One supported Windows Server running IIS serves the React UI and ASP.NET Core API from one HTTPS hostname.</w:t>
      </w:r>
    </w:p>
    <w:p w14:paraId="0346E9A5" w14:textId="77777777">
      <w:pPr>
        <w:numPr>
          <w:ilvl w:val="0"/>
          <w:numId w:val="24"/>
        </w:numPr>
      </w:pPr>
      <w:r>
        <w:t>One on-campus Microsoft SQL Server 2017 or later database with compatibility level 140 or later stores all application data.</w:t>
      </w:r>
    </w:p>
    <w:p w14:paraId="527E1DE1" w14:textId="77777777">
      <w:pPr>
        <w:numPr>
          <w:ilvl w:val="0"/>
          <w:numId w:val="24"/>
        </w:numPr>
      </w:pPr>
      <w:r>
        <w:t>A group Managed Service Account (gMSA) runs the IIS application pool and uses Windows Integrated Security to SQL; no database password is stored in the app.</w:t>
      </w:r>
    </w:p>
    <w:p w14:paraId="4B4D30C2" w14:textId="77777777">
      <w:pPr>
        <w:numPr>
          <w:ilvl w:val="0"/>
          <w:numId w:val="24"/>
        </w:numPr>
      </w:pPr>
      <w:r>
        <w:t>Microsoft Entra app registrations remain required for staff browser sign-in. The production SPA must be built with the same tenant, API and Web IDs.</w:t>
      </w:r>
    </w:p>
    <w:p w14:paraId="6B546228" w14:textId="77777777">
      <w:pPr>
        <w:numPr>
          <w:ilvl w:val="0"/>
          <w:numId w:val="24"/>
        </w:numPr>
      </w:pPr>
      <w:r>
        <w:t>Versioned release folders under C:\inetpub\i-elevate\releases allow application-file rollback. Data-protection keys live outside releases and are protected by Windows DPAPI.</w:t>
      </w:r>
    </w:p>
    <w:p w14:paraId="1F469703" w14:textId="77777777">
      <w:pPr>
        <w:pStyle w:val="Heading2"/>
      </w:pPr>
      <w:r>
        <w:t>One-time server and SQL preparation</w:t>
      </w:r>
    </w:p>
    <w:p w14:paraId="721C18F1" w14:textId="77777777">
      <w:pPr>
        <w:spacing w:after="80"/>
        <w:ind w:left="29"/>
      </w:pPr>
      <w:r>
        <w:rPr>
          <w:b/>
          <w:color w:val="2CB5A9"/>
        </w:rPr>
        <w:t>☐</w:t>
      </w:r>
      <w:r>
        <w:rPr>
          <w:b/>
          <w:color w:val="2CB5A9"/>
        </w:rPr>
        <w:t xml:space="preserve">  </w:t>
      </w:r>
      <w:r>
        <w:t>Patch and harden supported Windows Server; install IIS Management Tools, required IIS modules and the current .NET 10 Hosting Bundle/ASP.NET Core Module. Restart IIS after installation.</w:t>
      </w:r>
    </w:p>
    <w:p w14:paraId="3AF5C100" w14:textId="77777777">
      <w:pPr>
        <w:spacing w:after="80"/>
        <w:ind w:left="29"/>
      </w:pPr>
      <w:r>
        <w:rPr>
          <w:b/>
          <w:color w:val="2CB5A9"/>
        </w:rPr>
        <w:t>☐</w:t>
      </w:r>
      <w:r>
        <w:rPr>
          <w:b/>
          <w:color w:val="2CB5A9"/>
        </w:rPr>
        <w:t xml:space="preserve">  </w:t>
      </w:r>
      <w:r>
        <w:t>Create internal/external DNS as approved, obtain a trusted server certificate, create the IIS HTTPS binding and require HTTPS.</w:t>
      </w:r>
    </w:p>
    <w:p w14:paraId="00F9E2C3" w14:textId="77777777">
      <w:pPr>
        <w:spacing w:after="80"/>
        <w:ind w:left="29"/>
      </w:pPr>
      <w:r>
        <w:rPr>
          <w:b/>
          <w:color w:val="2CB5A9"/>
        </w:rPr>
        <w:t>☐</w:t>
      </w:r>
      <w:r>
        <w:rPr>
          <w:b/>
          <w:color w:val="2CB5A9"/>
        </w:rPr>
        <w:t xml:space="preserve">  </w:t>
      </w:r>
      <w:r>
        <w:t>Create gMSA COLLEGE\iElevateServiceAccount$ (or approved name), permit the IIS server to retrieve its managed password and configure the i-Elevate application pool to run as that identity.</w:t>
      </w:r>
    </w:p>
    <w:p w14:paraId="0D7D0A71" w14:textId="77777777">
      <w:pPr>
        <w:spacing w:after="80"/>
        <w:ind w:left="29"/>
      </w:pPr>
      <w:r>
        <w:rPr>
          <w:b/>
          <w:color w:val="2CB5A9"/>
        </w:rPr>
        <w:t>☐</w:t>
      </w:r>
      <w:r>
        <w:rPr>
          <w:b/>
          <w:color w:val="2CB5A9"/>
        </w:rPr>
        <w:t xml:space="preserve">  </w:t>
      </w:r>
      <w:r>
        <w:t>Create SQL database iElevate, set compatibility level at least 140, configure encryption with a trusted SQL certificate and allow TCP connectivity from the IIS server.</w:t>
      </w:r>
    </w:p>
    <w:p w14:paraId="11063BFD" w14:textId="77777777">
      <w:pPr>
        <w:spacing w:after="80"/>
        <w:ind w:left="29"/>
      </w:pPr>
      <w:r>
        <w:rPr>
          <w:b/>
          <w:color w:val="2CB5A9"/>
        </w:rPr>
        <w:t>☐</w:t>
      </w:r>
      <w:r>
        <w:rPr>
          <w:b/>
          <w:color w:val="2CB5A9"/>
        </w:rPr>
        <w:t xml:space="preserve">  </w:t>
      </w:r>
      <w:r>
        <w:t>Create the Windows login for the gMSA on SQL Server. The repository grant script then creates the database user, adds datareader/datawriter and grants EXECUTE.</w:t>
      </w:r>
    </w:p>
    <w:p w14:paraId="37381AF6" w14:textId="77777777">
      <w:pPr>
        <w:spacing w:after="80"/>
        <w:ind w:left="29"/>
      </w:pPr>
      <w:r>
        <w:rPr>
          <w:b/>
          <w:color w:val="2CB5A9"/>
        </w:rPr>
        <w:t>☐</w:t>
      </w:r>
      <w:r>
        <w:rPr>
          <w:b/>
          <w:color w:val="2CB5A9"/>
        </w:rPr>
        <w:t xml:space="preserve">  </w:t>
      </w:r>
      <w:r>
        <w:t>Create IIS site and application pool named i-Elevate. The deployment script expects them to exist; it changes the site's physical path to the new versioned release.</w:t>
      </w:r>
    </w:p>
    <w:p w14:paraId="7E6F1A7B" w14:textId="77777777">
      <w:pPr>
        <w:spacing w:after="80"/>
        <w:ind w:left="29"/>
      </w:pPr>
      <w:r>
        <w:rPr>
          <w:b/>
          <w:color w:val="2CB5A9"/>
        </w:rPr>
        <w:lastRenderedPageBreak/>
        <w:t>☐</w:t>
      </w:r>
      <w:r>
        <w:rPr>
          <w:b/>
          <w:color w:val="2CB5A9"/>
        </w:rPr>
        <w:t xml:space="preserve">  </w:t>
      </w:r>
      <w:r>
        <w:t>Create C:\ProgramData\i-Elevate\DataProtection-Keys outside the release tree and include it in the protected server backup plan.</w:t>
      </w:r>
    </w:p>
    <w:p w14:paraId="0757D161" w14:textId="77777777">
      <w:pPr>
        <w:pStyle w:val="Heading2"/>
      </w:pPr>
      <w:r>
        <w:t>Grant database runtime access</w:t>
      </w:r>
    </w:p>
    <w:p w14:paraId="4F0830E8" w14:textId="77777777">
      <w:pPr>
        <w:pStyle w:val="CodeBlock"/>
        <w:shd w:val="clear" w:color="auto" w:fill="F2F4F7"/>
      </w:pPr>
      <w:r>
        <w:t>-- DBA runs once at server level if the login does not exist:</w:t>
      </w:r>
      <w:r>
        <w:br/>
        <w:t>CREATE LOGIN [COLLEGE\iElevateServiceAccount$] FROM WINDOWS;</w:t>
      </w:r>
      <w:r>
        <w:br/>
      </w:r>
      <w:r>
        <w:br/>
        <w:t># Then run from the repository root as an authorised Windows DBA:</w:t>
      </w:r>
      <w:r>
        <w:br/>
        <w:t>.\scripts\grant-on-premises-database-access.ps1 `</w:t>
      </w:r>
      <w:r>
        <w:br/>
        <w:t xml:space="preserve">  -Server '&lt;sql-server&gt;\&lt;instance&gt;' -Database 'iElevate' `</w:t>
      </w:r>
      <w:r>
        <w:br/>
        <w:t xml:space="preserve">  -RuntimePrincipal 'COLLEGE\iElevateServiceAccount$'</w:t>
      </w:r>
    </w:p>
    <w:p w14:paraId="084916BE" w14:textId="77777777">
      <w:pPr>
        <w:pStyle w:val="Heading2"/>
      </w:pPr>
      <w:r>
        <w:t>Create the protected settings file</w:t>
      </w:r>
    </w:p>
    <w:p w14:paraId="76FA1E0F" w14:textId="77777777">
      <w:pPr>
        <w:pStyle w:val="CodeBlock"/>
        <w:shd w:val="clear" w:color="auto" w:fill="F2F4F7"/>
      </w:pPr>
      <w:r>
        <w:t>Copy-Item .\deployment.settings.example.psd1 `</w:t>
      </w:r>
      <w:r>
        <w:br/>
        <w:t xml:space="preserve">  .\deployment.settings.psd1</w:t>
      </w:r>
    </w:p>
    <w:p w14:paraId="746017A3" w14:textId="77777777">
      <w:r>
        <w:t>Complete SiteName, AppPoolName, RuntimePrincipal, InstallRoot, ApplicationUrl, SQL server/database/encrypted Integrated Security connection string, DataProtectionKeyPath, the four Entra values, bootstrap admin email/object ID and IncludeOfficialStaffData. The completed file is Git-ignored; keep the operational copy under controlled access.</w:t>
      </w:r>
    </w:p>
    <w:p w14:paraId="2577C187" w14:textId="77777777">
      <w:pPr>
        <w:pStyle w:val="Heading2"/>
      </w:pPr>
      <w:r>
        <w:t>Build the Windows package</w:t>
      </w:r>
    </w:p>
    <w:p w14:paraId="7E480E83" w14:textId="77777777">
      <w:pPr>
        <w:pStyle w:val="CodeBlock"/>
        <w:shd w:val="clear" w:color="auto" w:fill="F2F4F7"/>
      </w:pPr>
      <w:r>
        <w:t>.\scripts\new-on-premises-release.ps1 `</w:t>
      </w:r>
      <w:r>
        <w:br/>
        <w:t xml:space="preserve">  -SettingsPath .\deployment.settings.psd1</w:t>
      </w:r>
    </w:p>
    <w:p w14:paraId="2D61B9D1" w14:textId="77777777">
      <w:r>
        <w:t>The output is a win-x64 i-elevate-&lt;commit&gt;-win-x64.zip. Build from a clean approved commit and retain its SHA-256, manifest and release metadata.</w:t>
      </w:r>
    </w:p>
    <w:p w14:paraId="19225514" w14:textId="77777777">
      <w:pPr>
        <w:pStyle w:val="Heading2"/>
      </w:pPr>
      <w:r>
        <w:t>Initial and later deployment</w:t>
      </w:r>
    </w:p>
    <w:p w14:paraId="5526A50D" w14:textId="77777777">
      <w:pPr>
        <w:pStyle w:val="CodeBlock"/>
        <w:shd w:val="clear" w:color="auto" w:fill="F2F4F7"/>
      </w:pPr>
      <w:r>
        <w:t># Initial deployment to a new empty database:</w:t>
      </w:r>
      <w:r>
        <w:br/>
        <w:t>.\scripts\deploy-on-premises.ps1 `</w:t>
      </w:r>
      <w:r>
        <w:br/>
        <w:t xml:space="preserve">  -SettingsPath .\deployment.settings.psd1 `</w:t>
      </w:r>
      <w:r>
        <w:br/>
        <w:t xml:space="preserve">  -PackagePath 'C:\ApprovedReleases\i-elevate-&lt;commit&gt;-win-x64.zip' `</w:t>
      </w:r>
      <w:r>
        <w:br/>
        <w:t xml:space="preserve">  -InitialDeployment</w:t>
      </w:r>
      <w:r>
        <w:br/>
      </w:r>
      <w:r>
        <w:br/>
        <w:t># Later release after the DBA confirms a restorable backup:</w:t>
      </w:r>
      <w:r>
        <w:br/>
        <w:t>.\scripts\deploy-on-premises.ps1 `</w:t>
      </w:r>
      <w:r>
        <w:br/>
      </w:r>
      <w:r>
        <w:t xml:space="preserve">  -SettingsPath .\deployment.settings.psd1 `</w:t>
      </w:r>
      <w:r>
        <w:br/>
        <w:t xml:space="preserve">  -PackagePath 'C:\ApprovedReleases\i-elevate-&lt;commit&gt;-win-x64.zip' `</w:t>
      </w:r>
      <w:r>
        <w:br/>
        <w:t xml:space="preserve">  -DatabaseBackupConfirmed</w:t>
      </w:r>
    </w:p>
    <w:p w14:paraId="4696B3D2" w14:textId="77777777">
      <w:r>
        <w:t>The script validates HTTPS and encrypted Integrated Security, applies migrations/bootstrap unless skipped, extracts a new release, writes appsettings.Production.json, grants filesystem ACLs, switches IIS and checks /health/ready. If startup fails it switches IIS back, but database migrations are never reversed.</w:t>
      </w:r>
    </w:p>
    <w:p w14:paraId="1E7D5FCD" w14:textId="77777777">
      <w:pPr>
        <w:pStyle w:val="Heading2"/>
      </w:pPr>
      <w:r>
        <w:lastRenderedPageBreak/>
        <w:t>Application rollback</w:t>
      </w:r>
    </w:p>
    <w:p w14:paraId="4AD0ED26" w14:textId="77777777">
      <w:pPr>
        <w:pStyle w:val="CodeBlock"/>
        <w:shd w:val="clear" w:color="auto" w:fill="F2F4F7"/>
      </w:pPr>
      <w:r>
        <w:t>.\scripts\rollback-on-premises.ps1 `</w:t>
      </w:r>
      <w:r>
        <w:br/>
        <w:t xml:space="preserve">  -SettingsPath .\deployment.settings.psd1 `</w:t>
      </w:r>
      <w:r>
        <w:br/>
        <w:t xml:space="preserve">  -ReleasePath 'C:\inetpub\i-elevate\releases\release-&lt;timestamp&gt;'</w:t>
      </w:r>
    </w:p>
    <w:p w14:paraId="4C26B50D" w14:textId="77777777">
      <w:pPr>
        <w:pStyle w:val="Heading2"/>
      </w:pPr>
      <w:r>
        <w:t>On-campus backup and recovery</w:t>
      </w:r>
    </w:p>
    <w:p w14:paraId="03FCA34B" w14:textId="77777777">
      <w:pPr>
        <w:numPr>
          <w:ilvl w:val="0"/>
          <w:numId w:val="25"/>
        </w:numPr>
      </w:pPr>
      <w:r>
        <w:t>Agree RPO/RTO. Use full, differential and—under full recovery model—transaction-log backups. Monitor every backup job and perform scheduled restores to another database/server.</w:t>
      </w:r>
    </w:p>
    <w:p w14:paraId="0E11397C" w14:textId="77777777">
      <w:pPr>
        <w:numPr>
          <w:ilvl w:val="0"/>
          <w:numId w:val="25"/>
        </w:numPr>
      </w:pPr>
      <w:r>
        <w:t>Back up IIS configuration/certificate information, controlled deployment settings, current/previous packages/manifests and the data-protection key directory.</w:t>
      </w:r>
    </w:p>
    <w:p w14:paraId="45D6F73B" w14:textId="77777777">
      <w:pPr>
        <w:numPr>
          <w:ilvl w:val="0"/>
          <w:numId w:val="25"/>
        </w:numPr>
      </w:pPr>
      <w:r>
        <w:t>Machine-scoped DPAPI is tied to the Windows server. A rebuild on another server can require re-entry of protected messaging secrets; rehearse the exact recovery path.</w:t>
      </w:r>
    </w:p>
    <w:p w14:paraId="62D75A37" w14:textId="77777777">
      <w:pPr>
        <w:numPr>
          <w:ilvl w:val="0"/>
          <w:numId w:val="25"/>
        </w:numPr>
      </w:pPr>
      <w:r>
        <w:t>Collect Windows Event Log, IIS access/error logs and application console logs. Alert on readiness, 500s, app-pool stops/recycles, SQL failures/blocking/deadlocks/capacity and missed backups.</w:t>
      </w:r>
    </w:p>
    <w:p w14:paraId="7AACCA44" w14:textId="77777777">
      <w:pPr>
        <w:pStyle w:val="Heading2"/>
      </w:pPr>
      <w:r>
        <w:t>Scale-out warning</w:t>
      </w:r>
    </w:p>
    <w:p w14:paraId="51D88E2F" w14:textId="77777777">
      <w:r>
        <w:t>A second IIS server cannot safely share machine-scoped DPAPI keys as supplied. Before scale-out, introduce a shared protected key repository using an approved certificate, place servers behind an approved load balancer and retest session/data protection and deployment switching.</w:t>
      </w:r>
    </w:p>
    <w:p w14:paraId="7BD38819" w14:textId="77777777">
      <w:pPr>
        <w:pStyle w:val="SmallNote"/>
      </w:pPr>
      <w:r>
        <w:rPr>
          <w:b/>
        </w:rPr>
        <w:t xml:space="preserve">Repository reference: </w:t>
      </w:r>
      <w:r>
        <w:rPr>
          <w:rFonts w:ascii="Consolas" w:eastAsia="Consolas" w:hAnsi="Consolas"/>
          <w:color w:val="1F4D78"/>
          <w:sz w:val="17"/>
        </w:rPr>
        <w:t>deployment.settings.example.psd1</w:t>
      </w:r>
      <w:r>
        <w:t xml:space="preserve">  •  </w:t>
      </w:r>
      <w:r>
        <w:rPr>
          <w:rFonts w:ascii="Consolas" w:eastAsia="Consolas" w:hAnsi="Consolas"/>
          <w:color w:val="1F4D78"/>
          <w:sz w:val="17"/>
        </w:rPr>
        <w:t>scripts/new-on-premises-release.ps1</w:t>
      </w:r>
      <w:r>
        <w:t xml:space="preserve">  •  </w:t>
      </w:r>
      <w:r>
        <w:rPr>
          <w:rFonts w:ascii="Consolas" w:eastAsia="Consolas" w:hAnsi="Consolas"/>
          <w:color w:val="1F4D78"/>
          <w:sz w:val="17"/>
        </w:rPr>
        <w:t>scripts/deploy-on-premises.ps1</w:t>
      </w:r>
      <w:r>
        <w:t xml:space="preserve">  •  </w:t>
      </w:r>
      <w:r>
        <w:rPr>
          <w:rFonts w:ascii="Consolas" w:eastAsia="Consolas" w:hAnsi="Consolas"/>
          <w:color w:val="1F4D78"/>
          <w:sz w:val="17"/>
        </w:rPr>
        <w:t>scripts/rollback-on-premises.ps1</w:t>
      </w:r>
      <w:r>
        <w:t xml:space="preserve">  •  </w:t>
      </w:r>
      <w:r>
        <w:rPr>
          <w:rFonts w:ascii="Consolas" w:eastAsia="Consolas" w:hAnsi="Consolas"/>
          <w:color w:val="1F4D78"/>
          <w:sz w:val="17"/>
        </w:rPr>
        <w:t>docs/deployment/on-premises-operations.md</w:t>
      </w:r>
    </w:p>
    <w:p w14:paraId="7D191DEA" w14:textId="7AD0B7E6">
      <w:pPr>
        <w:pStyle w:val="SmallNote"/>
      </w:pPr>
      <w:r>
        <w:rPr>
          <w:b/>
        </w:rPr>
        <w:t xml:space="preserve">Microsoft/GitHub reference: </w:t>
      </w:r>
      <w:hyperlink r:id="rId39">
        <w:r>
          <w:rPr>
            <w:color w:val="1F4D78"/>
            <w:u w:val="single"/>
          </w:rPr>
          <w:t>ASP.NET Core Module for IIS</w:t>
        </w:r>
      </w:hyperlink>
      <w:r>
        <w:t xml:space="preserve">  •  </w:t>
      </w:r>
      <w:hyperlink r:id="rId40">
        <w:r>
          <w:rPr>
            <w:color w:val="1F4D78"/>
            <w:u w:val="single"/>
          </w:rPr>
          <w:t>Secure gMSA guidance</w:t>
        </w:r>
      </w:hyperlink>
      <w:r>
        <w:t xml:space="preserve">  •  </w:t>
      </w:r>
      <w:hyperlink r:id="rId41">
        <w:r>
          <w:rPr>
            <w:color w:val="1F4D78"/>
            <w:u w:val="single"/>
          </w:rPr>
          <w:t>SQL Server full backups</w:t>
        </w:r>
      </w:hyperlink>
    </w:p>
    <w:p w14:paraId="479D9D82" w14:textId="77777777">
      <w:pPr>
        <w:pStyle w:val="Heading1"/>
      </w:pPr>
      <w:bookmarkStart w:id="25" w:name="annex_e"/>
      <w:r>
        <w:lastRenderedPageBreak/>
        <w:t>Annex E. Local development only</w:t>
      </w:r>
      <w:bookmarkEnd w:id="25"/>
    </w:p>
    <w:tbl>
      <w:tblPr>
        <w:tblStyle w:val="TableGrid"/>
        <w:tblW w:w="9360" w:type="dxa"/>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Layout w:type="fixed"/>
        <w:tblLook w:val="04A0" w:firstRow="1" w:lastRow="0" w:firstColumn="1" w:lastColumn="0" w:noHBand="0" w:noVBand="1"/>
      </w:tblPr>
      <w:tblGrid>
        <w:gridCol w:w="9360"/>
      </w:tblGrid>
      <w:tr w14:paraId="7EA1A177" w14:textId="77777777">
        <w:trPr>
          <w:cantSplit/>
          <w:tblHeader/>
        </w:trPr>
        <w:tc>
          <w:tcPr>
            <w:tcW w:w="9360" w:type="dxa"/>
            <w:shd w:val="clear" w:color="auto" w:fill="FDECEC"/>
            <w:tcMar>
              <w:top w:w="80" w:type="dxa"/>
              <w:left w:w="120" w:type="dxa"/>
              <w:bottom w:w="80" w:type="dxa"/>
              <w:right w:w="120" w:type="dxa"/>
            </w:tcMar>
            <w:vAlign w:val="center"/>
          </w:tcPr>
          <w:p w14:paraId="04B055AD" w14:textId="77777777">
            <w:pPr>
              <w:spacing w:after="60"/>
            </w:pPr>
            <w:r>
              <w:rPr>
                <w:b/>
                <w:color w:val="9B1C1C"/>
              </w:rPr>
              <w:t>Not a staff hosting option</w:t>
            </w:r>
          </w:p>
          <w:p w14:paraId="7BD39254" w14:textId="77777777">
            <w:pPr>
              <w:spacing w:after="0"/>
            </w:pPr>
            <w:r>
              <w:rPr>
                <w:sz w:val="20"/>
              </w:rPr>
              <w:t>SQL Server LocalDB and the Vite development server are for one developer workstation. They do not provide production identity, resilience, backup, support or multi-user hosting.</w:t>
            </w:r>
          </w:p>
        </w:tc>
      </w:tr>
    </w:tbl>
    <w:p w14:paraId="19BC434D" w14:textId="77777777">
      <w:pPr>
        <w:spacing w:after="20"/>
      </w:pPr>
    </w:p>
    <w:p w14:paraId="666E9831" w14:textId="77777777">
      <w:pPr>
        <w:pStyle w:val="Heading2"/>
      </w:pPr>
      <w:r>
        <w:t>Prerequisites and start</w:t>
      </w:r>
    </w:p>
    <w:p w14:paraId="3BD18AFC" w14:textId="77777777">
      <w:pPr>
        <w:pStyle w:val="CodeBlock"/>
        <w:shd w:val="clear" w:color="auto" w:fill="F2F4F7"/>
      </w:pPr>
      <w:r>
        <w:t>.\scripts\check-prerequisites.ps1</w:t>
      </w:r>
      <w:r>
        <w:br/>
        <w:t>.\scripts\start-local.ps1</w:t>
      </w:r>
      <w:r>
        <w:br/>
        <w:t># Browse http://127.0.0.1:5173</w:t>
      </w:r>
      <w:r>
        <w:br/>
        <w:t>.\scripts\stop-local.ps1</w:t>
      </w:r>
    </w:p>
    <w:p w14:paraId="70CDB0B3" w14:textId="77777777">
      <w:pPr>
        <w:numPr>
          <w:ilvl w:val="0"/>
          <w:numId w:val="26"/>
        </w:numPr>
      </w:pPr>
      <w:r>
        <w:t>Use -SkipDatabase only when the local database is already prepared.</w:t>
      </w:r>
    </w:p>
    <w:p w14:paraId="1E00A3FD" w14:textId="77777777">
      <w:pPr>
        <w:numPr>
          <w:ilvl w:val="0"/>
          <w:numId w:val="26"/>
        </w:numPr>
      </w:pPr>
      <w:r>
        <w:t>Use -ResetDatabase only when deliberately replacing local development data. It is destructive to that local database.</w:t>
      </w:r>
    </w:p>
    <w:p w14:paraId="199FD630" w14:textId="77777777">
      <w:pPr>
        <w:numPr>
          <w:ilvl w:val="0"/>
          <w:numId w:val="26"/>
        </w:numPr>
      </w:pPr>
      <w:r>
        <w:t>Development authentication and local password accounts must never be enabled in Production.</w:t>
      </w:r>
    </w:p>
    <w:p w14:paraId="23E8A889" w14:textId="77777777">
      <w:pPr>
        <w:numPr>
          <w:ilvl w:val="0"/>
          <w:numId w:val="26"/>
        </w:numPr>
      </w:pPr>
      <w:r>
        <w:t>Never copy a LocalDB .mdf, test account, demo seed, local export or browser token into the production environment.</w:t>
      </w:r>
    </w:p>
    <w:p w14:paraId="2F9652FB" w14:textId="77777777">
      <w:pPr>
        <w:pStyle w:val="SmallNote"/>
      </w:pPr>
      <w:r>
        <w:rPr>
          <w:b/>
        </w:rPr>
        <w:t xml:space="preserve">Repository reference: </w:t>
      </w:r>
      <w:r>
        <w:rPr>
          <w:rFonts w:ascii="Consolas" w:eastAsia="Consolas" w:hAnsi="Consolas"/>
          <w:color w:val="1F4D78"/>
          <w:sz w:val="17"/>
        </w:rPr>
        <w:t>README.md</w:t>
      </w:r>
      <w:r>
        <w:t xml:space="preserve">  •  </w:t>
      </w:r>
      <w:r>
        <w:rPr>
          <w:rFonts w:ascii="Consolas" w:eastAsia="Consolas" w:hAnsi="Consolas"/>
          <w:color w:val="1F4D78"/>
          <w:sz w:val="17"/>
        </w:rPr>
        <w:t>scripts/start-local.ps1</w:t>
      </w:r>
      <w:r>
        <w:t xml:space="preserve">  •  </w:t>
      </w:r>
      <w:r>
        <w:rPr>
          <w:rFonts w:ascii="Consolas" w:eastAsia="Consolas" w:hAnsi="Consolas"/>
          <w:color w:val="1F4D78"/>
          <w:sz w:val="17"/>
        </w:rPr>
        <w:t>scripts/stop-local.ps1</w:t>
      </w:r>
      <w:r>
        <w:t xml:space="preserve">  •  </w:t>
      </w:r>
      <w:r>
        <w:rPr>
          <w:rFonts w:ascii="Consolas" w:eastAsia="Consolas" w:hAnsi="Consolas"/>
          <w:color w:val="1F4D78"/>
          <w:sz w:val="17"/>
        </w:rPr>
        <w:t>apps/api/src/TLQS.Api/appsettings.Development.json</w:t>
      </w:r>
    </w:p>
    <w:p w14:paraId="34FA3E67" w14:textId="77777777">
      <w:pPr>
        <w:pStyle w:val="Heading1"/>
      </w:pPr>
      <w:bookmarkStart w:id="26" w:name="annex_f"/>
      <w:r>
        <w:lastRenderedPageBreak/>
        <w:t>Annex F. Go-live sign-off checklist</w:t>
      </w:r>
      <w:bookmarkEnd w:id="26"/>
    </w:p>
    <w:p w14:paraId="7F38B960" w14:textId="77777777">
      <w:pPr>
        <w:pStyle w:val="Heading2"/>
      </w:pPr>
      <w:r>
        <w:t>Governance and ownership</w:t>
      </w:r>
    </w:p>
    <w:p w14:paraId="3E2C8E69" w14:textId="77777777">
      <w:pPr>
        <w:spacing w:after="80"/>
        <w:ind w:left="29"/>
      </w:pPr>
      <w:r>
        <w:rPr>
          <w:b/>
          <w:color w:val="2CB5A9"/>
        </w:rPr>
        <w:t>☐</w:t>
      </w:r>
      <w:r>
        <w:rPr>
          <w:b/>
          <w:color w:val="2CB5A9"/>
        </w:rPr>
        <w:t xml:space="preserve">  </w:t>
      </w:r>
      <w:r>
        <w:t>Product, technical, data, Azure, Entra, DBA and service/support owners and deputies are named.</w:t>
      </w:r>
    </w:p>
    <w:p w14:paraId="4E6039C5" w14:textId="77777777">
      <w:pPr>
        <w:spacing w:after="80"/>
        <w:ind w:left="29"/>
      </w:pPr>
      <w:r>
        <w:rPr>
          <w:b/>
          <w:color w:val="2CB5A9"/>
        </w:rPr>
        <w:t>☐</w:t>
      </w:r>
      <w:r>
        <w:rPr>
          <w:b/>
          <w:color w:val="2CB5A9"/>
        </w:rPr>
        <w:t xml:space="preserve">  </w:t>
      </w:r>
      <w:r>
        <w:t>Private college GitHub repository, protected main branch and approved tag are in place.</w:t>
      </w:r>
    </w:p>
    <w:p w14:paraId="5C951C6C" w14:textId="77777777">
      <w:pPr>
        <w:spacing w:after="80"/>
        <w:ind w:left="29"/>
      </w:pPr>
      <w:r>
        <w:rPr>
          <w:b/>
          <w:color w:val="2CB5A9"/>
        </w:rPr>
        <w:t>☐</w:t>
      </w:r>
      <w:r>
        <w:rPr>
          <w:b/>
          <w:color w:val="2CB5A9"/>
        </w:rPr>
        <w:t xml:space="preserve">  </w:t>
      </w:r>
      <w:r>
        <w:t>Cost estimate, cost centre, budget/forecast alerts and region approval are recorded.</w:t>
      </w:r>
    </w:p>
    <w:p w14:paraId="5F703D9D" w14:textId="77777777">
      <w:pPr>
        <w:spacing w:after="80"/>
        <w:ind w:left="29"/>
      </w:pPr>
      <w:r>
        <w:rPr>
          <w:b/>
          <w:color w:val="2CB5A9"/>
        </w:rPr>
        <w:t>☐</w:t>
      </w:r>
      <w:r>
        <w:rPr>
          <w:b/>
          <w:color w:val="2CB5A9"/>
        </w:rPr>
        <w:t xml:space="preserve">  </w:t>
      </w:r>
      <w:r>
        <w:t>DPIA/information-governance, retention and staff privacy decisions are accepted.</w:t>
      </w:r>
    </w:p>
    <w:p w14:paraId="6FF89CD4" w14:textId="77777777">
      <w:pPr>
        <w:pStyle w:val="Heading2"/>
      </w:pPr>
      <w:r>
        <w:t>Platform and identity</w:t>
      </w:r>
    </w:p>
    <w:p w14:paraId="2FA56754" w14:textId="77777777">
      <w:pPr>
        <w:spacing w:after="80"/>
        <w:ind w:left="29"/>
      </w:pPr>
      <w:r>
        <w:rPr>
          <w:b/>
          <w:color w:val="2CB5A9"/>
        </w:rPr>
        <w:t>☐</w:t>
      </w:r>
      <w:r>
        <w:rPr>
          <w:b/>
          <w:color w:val="2CB5A9"/>
        </w:rPr>
        <w:t xml:space="preserve">  </w:t>
      </w:r>
      <w:r>
        <w:t>Bicep validate and what-if were reviewed; deployment outputs and resource inventory are recorded.</w:t>
      </w:r>
    </w:p>
    <w:p w14:paraId="7779D429" w14:textId="77777777">
      <w:pPr>
        <w:spacing w:after="80"/>
        <w:ind w:left="29"/>
      </w:pPr>
      <w:r>
        <w:rPr>
          <w:b/>
          <w:color w:val="2CB5A9"/>
        </w:rPr>
        <w:t>☐</w:t>
      </w:r>
      <w:r>
        <w:rPr>
          <w:b/>
          <w:color w:val="2CB5A9"/>
        </w:rPr>
        <w:t xml:space="preserve">  </w:t>
      </w:r>
      <w:r>
        <w:t>Network/public endpoint decision is accepted and implemented in code; temporary SQL IP access is removed.</w:t>
      </w:r>
    </w:p>
    <w:p w14:paraId="17CD1026" w14:textId="77777777">
      <w:pPr>
        <w:spacing w:after="80"/>
        <w:ind w:left="29"/>
      </w:pPr>
      <w:r>
        <w:rPr>
          <w:b/>
          <w:color w:val="2CB5A9"/>
        </w:rPr>
        <w:t>☐</w:t>
      </w:r>
      <w:r>
        <w:rPr>
          <w:b/>
          <w:color w:val="2CB5A9"/>
        </w:rPr>
        <w:t xml:space="preserve">  </w:t>
      </w:r>
      <w:r>
        <w:t>HTTPS, custom domain, certificate and exact SPA redirect are verified.</w:t>
      </w:r>
    </w:p>
    <w:p w14:paraId="30F140F8" w14:textId="77777777">
      <w:pPr>
        <w:spacing w:after="80"/>
        <w:ind w:left="29"/>
      </w:pPr>
      <w:r>
        <w:rPr>
          <w:b/>
          <w:color w:val="2CB5A9"/>
        </w:rPr>
        <w:t>☐</w:t>
      </w:r>
      <w:r>
        <w:rPr>
          <w:b/>
          <w:color w:val="2CB5A9"/>
        </w:rPr>
        <w:t xml:space="preserve">  </w:t>
      </w:r>
      <w:r>
        <w:t>API scope, SPA permission, administrator consent, assignment and Conditional Access are verified.</w:t>
      </w:r>
    </w:p>
    <w:p w14:paraId="325648A8" w14:textId="77777777">
      <w:pPr>
        <w:spacing w:after="80"/>
        <w:ind w:left="29"/>
      </w:pPr>
      <w:r>
        <w:rPr>
          <w:b/>
          <w:color w:val="2CB5A9"/>
        </w:rPr>
        <w:t>☐</w:t>
      </w:r>
      <w:r>
        <w:rPr>
          <w:b/>
          <w:color w:val="2CB5A9"/>
        </w:rPr>
        <w:t xml:space="preserve">  </w:t>
      </w:r>
      <w:r>
        <w:t>Managed identity RBAC and SQL least privilege are evidenced.</w:t>
      </w:r>
    </w:p>
    <w:p w14:paraId="332E115A" w14:textId="77777777">
      <w:pPr>
        <w:pStyle w:val="Heading2"/>
      </w:pPr>
      <w:r>
        <w:t>Data and release</w:t>
      </w:r>
    </w:p>
    <w:p w14:paraId="095C65A4" w14:textId="77777777">
      <w:pPr>
        <w:spacing w:after="80"/>
        <w:ind w:left="29"/>
      </w:pPr>
      <w:r>
        <w:rPr>
          <w:b/>
          <w:color w:val="2CB5A9"/>
        </w:rPr>
        <w:t>☐</w:t>
      </w:r>
      <w:r>
        <w:rPr>
          <w:b/>
          <w:color w:val="2CB5A9"/>
        </w:rPr>
        <w:t xml:space="preserve">  </w:t>
      </w:r>
      <w:r>
        <w:t>Staff seed decision is recorded; no demo/reset/test data was applied to production.</w:t>
      </w:r>
    </w:p>
    <w:p w14:paraId="38B4040B" w14:textId="77777777">
      <w:pPr>
        <w:spacing w:after="80"/>
        <w:ind w:left="29"/>
      </w:pPr>
      <w:r>
        <w:rPr>
          <w:b/>
          <w:color w:val="2CB5A9"/>
        </w:rPr>
        <w:t>☐</w:t>
      </w:r>
      <w:r>
        <w:rPr>
          <w:b/>
          <w:color w:val="2CB5A9"/>
        </w:rPr>
        <w:t xml:space="preserve">  </w:t>
      </w:r>
      <w:r>
        <w:t>All migrations through the release list are present in dbo.schema_migrations with accepted checksums.</w:t>
      </w:r>
    </w:p>
    <w:p w14:paraId="6D0BEE10" w14:textId="77777777">
      <w:pPr>
        <w:spacing w:after="80"/>
        <w:ind w:left="29"/>
      </w:pPr>
      <w:r>
        <w:rPr>
          <w:b/>
          <w:color w:val="2CB5A9"/>
        </w:rPr>
        <w:t>☐</w:t>
      </w:r>
      <w:r>
        <w:rPr>
          <w:b/>
          <w:color w:val="2CB5A9"/>
        </w:rPr>
        <w:t xml:space="preserve">  </w:t>
      </w:r>
      <w:r>
        <w:t>Bootstrap administrator and a deputy are verified; no unsupported temporary admin remains.</w:t>
      </w:r>
    </w:p>
    <w:p w14:paraId="7DB8D45E" w14:textId="77777777">
      <w:pPr>
        <w:spacing w:after="80"/>
        <w:ind w:left="29"/>
      </w:pPr>
      <w:r>
        <w:rPr>
          <w:b/>
          <w:color w:val="2CB5A9"/>
        </w:rPr>
        <w:t>☐</w:t>
      </w:r>
      <w:r>
        <w:rPr>
          <w:b/>
          <w:color w:val="2CB5A9"/>
        </w:rPr>
        <w:t xml:space="preserve">  </w:t>
      </w:r>
      <w:r>
        <w:t>Exact release commit/tag, ZIP, manifest and SHA-256 are retained.</w:t>
      </w:r>
    </w:p>
    <w:p w14:paraId="36B82464" w14:textId="77777777">
      <w:pPr>
        <w:spacing w:after="80"/>
        <w:ind w:left="29"/>
      </w:pPr>
      <w:r>
        <w:rPr>
          <w:b/>
          <w:color w:val="2CB5A9"/>
        </w:rPr>
        <w:t>☐</w:t>
      </w:r>
      <w:r>
        <w:rPr>
          <w:b/>
          <w:color w:val="2CB5A9"/>
        </w:rPr>
        <w:t xml:space="preserve">  </w:t>
      </w:r>
      <w:r>
        <w:t>/health/live and /health/ready are HTTP 200 on the final URL.</w:t>
      </w:r>
    </w:p>
    <w:p w14:paraId="5158EF1D" w14:textId="77777777">
      <w:pPr>
        <w:pStyle w:val="Heading2"/>
      </w:pPr>
      <w:r>
        <w:t>Acceptance and operations</w:t>
      </w:r>
    </w:p>
    <w:p w14:paraId="5BD9FCC2" w14:textId="77777777">
      <w:pPr>
        <w:spacing w:after="80"/>
        <w:ind w:left="29"/>
      </w:pPr>
      <w:r>
        <w:rPr>
          <w:b/>
          <w:color w:val="2CB5A9"/>
        </w:rPr>
        <w:t>☐</w:t>
      </w:r>
      <w:r>
        <w:rPr>
          <w:b/>
          <w:color w:val="2CB5A9"/>
        </w:rPr>
        <w:t xml:space="preserve">  </w:t>
      </w:r>
      <w:r>
        <w:t>All role and faculty/team boundaries, direct URLs/APIs and report exports are tested with no leakage.</w:t>
      </w:r>
    </w:p>
    <w:p w14:paraId="54C2746B" w14:textId="77777777">
      <w:pPr>
        <w:spacing w:after="80"/>
        <w:ind w:left="29"/>
      </w:pPr>
      <w:r>
        <w:rPr>
          <w:b/>
          <w:color w:val="2CB5A9"/>
        </w:rPr>
        <w:t>☐</w:t>
      </w:r>
      <w:r>
        <w:rPr>
          <w:b/>
          <w:color w:val="2CB5A9"/>
        </w:rPr>
        <w:t xml:space="preserve">  </w:t>
      </w:r>
      <w:r>
        <w:t>Core and QA workflows, actions, audit and supported reports are accepted.</w:t>
      </w:r>
    </w:p>
    <w:p w14:paraId="42F913D3" w14:textId="77777777">
      <w:pPr>
        <w:spacing w:after="80"/>
        <w:ind w:left="29"/>
      </w:pPr>
      <w:r>
        <w:rPr>
          <w:b/>
          <w:color w:val="2CB5A9"/>
        </w:rPr>
        <w:t>☐</w:t>
      </w:r>
      <w:r>
        <w:rPr>
          <w:b/>
          <w:color w:val="2CB5A9"/>
        </w:rPr>
        <w:t xml:space="preserve">  </w:t>
      </w:r>
      <w:r>
        <w:t>Pilot/test accounts and records are removed or legitimately retained and labelled.</w:t>
      </w:r>
    </w:p>
    <w:p w14:paraId="687A4F28" w14:textId="77777777">
      <w:pPr>
        <w:spacing w:after="80"/>
        <w:ind w:left="29"/>
      </w:pPr>
      <w:r>
        <w:rPr>
          <w:b/>
          <w:color w:val="2CB5A9"/>
        </w:rPr>
        <w:lastRenderedPageBreak/>
        <w:t>☐</w:t>
      </w:r>
      <w:r>
        <w:rPr>
          <w:b/>
          <w:color w:val="2CB5A9"/>
        </w:rPr>
        <w:t xml:space="preserve">  </w:t>
      </w:r>
      <w:r>
        <w:t>Availability, errors, database, capacity, cost, backups and Service Health alerts reach monitored owners.</w:t>
      </w:r>
    </w:p>
    <w:p w14:paraId="373B92A4" w14:textId="77777777">
      <w:pPr>
        <w:spacing w:after="80"/>
        <w:ind w:left="29"/>
      </w:pPr>
      <w:r>
        <w:rPr>
          <w:b/>
          <w:color w:val="2CB5A9"/>
        </w:rPr>
        <w:t>☐</w:t>
      </w:r>
      <w:r>
        <w:rPr>
          <w:b/>
          <w:color w:val="2CB5A9"/>
        </w:rPr>
        <w:t xml:space="preserve">  </w:t>
      </w:r>
      <w:r>
        <w:t>Backup retention and a restore drill meet the agreed RPO/RTO.</w:t>
      </w:r>
    </w:p>
    <w:p w14:paraId="037560A5" w14:textId="77777777">
      <w:pPr>
        <w:spacing w:after="80"/>
        <w:ind w:left="29"/>
      </w:pPr>
      <w:r>
        <w:rPr>
          <w:b/>
          <w:color w:val="2CB5A9"/>
        </w:rPr>
        <w:t>☐</w:t>
      </w:r>
      <w:r>
        <w:rPr>
          <w:b/>
          <w:color w:val="2CB5A9"/>
        </w:rPr>
        <w:t xml:space="preserve">  </w:t>
      </w:r>
      <w:r>
        <w:t>Service desk, incident, release, rollback and escalation runbooks are live.</w:t>
      </w:r>
    </w:p>
    <w:p w14:paraId="49093CDC" w14:textId="77777777">
      <w:pPr>
        <w:spacing w:after="80"/>
        <w:ind w:left="29"/>
      </w:pPr>
      <w:r>
        <w:rPr>
          <w:b/>
          <w:color w:val="2CB5A9"/>
        </w:rPr>
        <w:t>☐</w:t>
      </w:r>
      <w:r>
        <w:rPr>
          <w:b/>
          <w:color w:val="2CB5A9"/>
        </w:rPr>
        <w:t xml:space="preserve">  </w:t>
      </w:r>
      <w:r>
        <w:t>Product, technical, information-governance and service owners have signed go-live.</w:t>
      </w:r>
    </w:p>
    <w:p w14:paraId="02709021" w14:textId="77777777">
      <w:pPr>
        <w:pStyle w:val="Heading1"/>
      </w:pPr>
      <w:bookmarkStart w:id="27" w:name="annex_g"/>
      <w:r>
        <w:lastRenderedPageBreak/>
        <w:t>Annex G. Plain-English glossary</w:t>
      </w:r>
      <w:bookmarkEnd w:id="27"/>
    </w:p>
    <w:tbl>
      <w:tblPr>
        <w:tblStyle w:val="TableGrid"/>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300"/>
        <w:gridCol w:w="7060"/>
      </w:tblGrid>
      <w:tr w14:paraId="3118BA82" w14:textId="77777777">
        <w:trPr>
          <w:cantSplit/>
          <w:tblHeader/>
        </w:trPr>
        <w:tc>
          <w:tcPr>
            <w:tcW w:w="2300" w:type="dxa"/>
            <w:shd w:val="clear" w:color="auto" w:fill="E8EEF5"/>
            <w:tcMar>
              <w:top w:w="80" w:type="dxa"/>
              <w:left w:w="120" w:type="dxa"/>
              <w:bottom w:w="80" w:type="dxa"/>
              <w:right w:w="120" w:type="dxa"/>
            </w:tcMar>
            <w:vAlign w:val="center"/>
          </w:tcPr>
          <w:p w14:paraId="3355EB0D" w14:textId="77777777">
            <w:pPr>
              <w:spacing w:after="0"/>
            </w:pPr>
            <w:r>
              <w:rPr>
                <w:b/>
                <w:color w:val="0B2545"/>
                <w:sz w:val="19"/>
              </w:rPr>
              <w:t>Term</w:t>
            </w:r>
          </w:p>
        </w:tc>
        <w:tc>
          <w:tcPr>
            <w:tcW w:w="7060" w:type="dxa"/>
            <w:shd w:val="clear" w:color="auto" w:fill="E8EEF5"/>
            <w:tcMar>
              <w:top w:w="80" w:type="dxa"/>
              <w:left w:w="120" w:type="dxa"/>
              <w:bottom w:w="80" w:type="dxa"/>
              <w:right w:w="120" w:type="dxa"/>
            </w:tcMar>
            <w:vAlign w:val="center"/>
          </w:tcPr>
          <w:p w14:paraId="022719E3" w14:textId="77777777">
            <w:pPr>
              <w:spacing w:after="0"/>
            </w:pPr>
            <w:r>
              <w:rPr>
                <w:b/>
                <w:color w:val="0B2545"/>
                <w:sz w:val="19"/>
              </w:rPr>
              <w:t>Meaning in this implementation</w:t>
            </w:r>
          </w:p>
        </w:tc>
      </w:tr>
      <w:tr w14:paraId="3A85EAB9" w14:textId="77777777">
        <w:trPr>
          <w:cantSplit/>
        </w:trPr>
        <w:tc>
          <w:tcPr>
            <w:tcW w:w="2300" w:type="dxa"/>
            <w:tcMar>
              <w:top w:w="80" w:type="dxa"/>
              <w:left w:w="120" w:type="dxa"/>
              <w:bottom w:w="80" w:type="dxa"/>
              <w:right w:w="120" w:type="dxa"/>
            </w:tcMar>
            <w:vAlign w:val="center"/>
          </w:tcPr>
          <w:p w14:paraId="1CB7EB0B" w14:textId="77777777">
            <w:pPr>
              <w:spacing w:after="0" w:line="269" w:lineRule="auto"/>
            </w:pPr>
            <w:r>
              <w:rPr>
                <w:sz w:val="18"/>
              </w:rPr>
              <w:t>App Service</w:t>
            </w:r>
          </w:p>
        </w:tc>
        <w:tc>
          <w:tcPr>
            <w:tcW w:w="7060" w:type="dxa"/>
            <w:tcMar>
              <w:top w:w="80" w:type="dxa"/>
              <w:left w:w="120" w:type="dxa"/>
              <w:bottom w:w="80" w:type="dxa"/>
              <w:right w:w="120" w:type="dxa"/>
            </w:tcMar>
            <w:vAlign w:val="center"/>
          </w:tcPr>
          <w:p w14:paraId="56C0B8FF" w14:textId="77777777">
            <w:pPr>
              <w:spacing w:after="0" w:line="269" w:lineRule="auto"/>
            </w:pPr>
            <w:r>
              <w:rPr>
                <w:sz w:val="18"/>
              </w:rPr>
              <w:t>Azure's managed web hosting. It runs the .NET API and serves the compiled React interface.</w:t>
            </w:r>
          </w:p>
        </w:tc>
      </w:tr>
      <w:tr w14:paraId="4FE97C11" w14:textId="77777777">
        <w:trPr>
          <w:cantSplit/>
        </w:trPr>
        <w:tc>
          <w:tcPr>
            <w:tcW w:w="2300" w:type="dxa"/>
            <w:tcMar>
              <w:top w:w="80" w:type="dxa"/>
              <w:left w:w="120" w:type="dxa"/>
              <w:bottom w:w="80" w:type="dxa"/>
              <w:right w:w="120" w:type="dxa"/>
            </w:tcMar>
            <w:vAlign w:val="center"/>
          </w:tcPr>
          <w:p w14:paraId="3E8A9E1D" w14:textId="77777777">
            <w:pPr>
              <w:spacing w:after="0" w:line="269" w:lineRule="auto"/>
            </w:pPr>
            <w:r>
              <w:rPr>
                <w:sz w:val="18"/>
              </w:rPr>
              <w:t>Azure SQL Database</w:t>
            </w:r>
          </w:p>
        </w:tc>
        <w:tc>
          <w:tcPr>
            <w:tcW w:w="7060" w:type="dxa"/>
            <w:tcMar>
              <w:top w:w="80" w:type="dxa"/>
              <w:left w:w="120" w:type="dxa"/>
              <w:bottom w:w="80" w:type="dxa"/>
              <w:right w:w="120" w:type="dxa"/>
            </w:tcMar>
            <w:vAlign w:val="center"/>
          </w:tcPr>
          <w:p w14:paraId="66E08F61" w14:textId="77777777">
            <w:pPr>
              <w:spacing w:after="0" w:line="269" w:lineRule="auto"/>
            </w:pPr>
            <w:r>
              <w:rPr>
                <w:sz w:val="18"/>
              </w:rPr>
              <w:t>Managed Microsoft SQL database service holding i-Elevate's production records.</w:t>
            </w:r>
          </w:p>
        </w:tc>
      </w:tr>
      <w:tr w14:paraId="1B9A60CC" w14:textId="77777777">
        <w:trPr>
          <w:cantSplit/>
        </w:trPr>
        <w:tc>
          <w:tcPr>
            <w:tcW w:w="2300" w:type="dxa"/>
            <w:tcMar>
              <w:top w:w="80" w:type="dxa"/>
              <w:left w:w="120" w:type="dxa"/>
              <w:bottom w:w="80" w:type="dxa"/>
              <w:right w:w="120" w:type="dxa"/>
            </w:tcMar>
            <w:vAlign w:val="center"/>
          </w:tcPr>
          <w:p w14:paraId="4B496D5E" w14:textId="77777777">
            <w:pPr>
              <w:spacing w:after="0" w:line="269" w:lineRule="auto"/>
            </w:pPr>
            <w:r>
              <w:rPr>
                <w:sz w:val="18"/>
              </w:rPr>
              <w:t>Bicep</w:t>
            </w:r>
          </w:p>
        </w:tc>
        <w:tc>
          <w:tcPr>
            <w:tcW w:w="7060" w:type="dxa"/>
            <w:tcMar>
              <w:top w:w="80" w:type="dxa"/>
              <w:left w:w="120" w:type="dxa"/>
              <w:bottom w:w="80" w:type="dxa"/>
              <w:right w:w="120" w:type="dxa"/>
            </w:tcMar>
            <w:vAlign w:val="center"/>
          </w:tcPr>
          <w:p w14:paraId="5AF59D24" w14:textId="77777777">
            <w:pPr>
              <w:spacing w:after="0" w:line="269" w:lineRule="auto"/>
            </w:pPr>
            <w:r>
              <w:rPr>
                <w:sz w:val="18"/>
              </w:rPr>
              <w:t>Human-readable Azure infrastructure-as-code. It declares what Azure resources and settings should exist.</w:t>
            </w:r>
          </w:p>
        </w:tc>
      </w:tr>
      <w:tr w14:paraId="7A093E81" w14:textId="77777777">
        <w:trPr>
          <w:cantSplit/>
        </w:trPr>
        <w:tc>
          <w:tcPr>
            <w:tcW w:w="2300" w:type="dxa"/>
            <w:tcMar>
              <w:top w:w="80" w:type="dxa"/>
              <w:left w:w="120" w:type="dxa"/>
              <w:bottom w:w="80" w:type="dxa"/>
              <w:right w:w="120" w:type="dxa"/>
            </w:tcMar>
            <w:vAlign w:val="center"/>
          </w:tcPr>
          <w:p w14:paraId="0C80291C" w14:textId="77777777">
            <w:pPr>
              <w:spacing w:after="0" w:line="269" w:lineRule="auto"/>
            </w:pPr>
            <w:r>
              <w:rPr>
                <w:sz w:val="18"/>
              </w:rPr>
              <w:t>Client ID</w:t>
            </w:r>
          </w:p>
        </w:tc>
        <w:tc>
          <w:tcPr>
            <w:tcW w:w="7060" w:type="dxa"/>
            <w:tcMar>
              <w:top w:w="80" w:type="dxa"/>
              <w:left w:w="120" w:type="dxa"/>
              <w:bottom w:w="80" w:type="dxa"/>
              <w:right w:w="120" w:type="dxa"/>
            </w:tcMar>
            <w:vAlign w:val="center"/>
          </w:tcPr>
          <w:p w14:paraId="2BB5D716" w14:textId="77777777">
            <w:pPr>
              <w:spacing w:after="0" w:line="269" w:lineRule="auto"/>
            </w:pPr>
            <w:r>
              <w:rPr>
                <w:sz w:val="18"/>
              </w:rPr>
              <w:t>Public identifier for an Entra application registration. It is not a password.</w:t>
            </w:r>
          </w:p>
        </w:tc>
      </w:tr>
      <w:tr w14:paraId="78561158" w14:textId="77777777">
        <w:trPr>
          <w:cantSplit/>
        </w:trPr>
        <w:tc>
          <w:tcPr>
            <w:tcW w:w="2300" w:type="dxa"/>
            <w:tcMar>
              <w:top w:w="80" w:type="dxa"/>
              <w:left w:w="120" w:type="dxa"/>
              <w:bottom w:w="80" w:type="dxa"/>
              <w:right w:w="120" w:type="dxa"/>
            </w:tcMar>
            <w:vAlign w:val="center"/>
          </w:tcPr>
          <w:p w14:paraId="4FAFE10F" w14:textId="77777777">
            <w:pPr>
              <w:spacing w:after="0" w:line="269" w:lineRule="auto"/>
            </w:pPr>
            <w:r>
              <w:rPr>
                <w:sz w:val="18"/>
              </w:rPr>
              <w:t>Managed identity</w:t>
            </w:r>
          </w:p>
        </w:tc>
        <w:tc>
          <w:tcPr>
            <w:tcW w:w="7060" w:type="dxa"/>
            <w:tcMar>
              <w:top w:w="80" w:type="dxa"/>
              <w:left w:w="120" w:type="dxa"/>
              <w:bottom w:w="80" w:type="dxa"/>
              <w:right w:w="120" w:type="dxa"/>
            </w:tcMar>
            <w:vAlign w:val="center"/>
          </w:tcPr>
          <w:p w14:paraId="2959E294" w14:textId="77777777">
            <w:pPr>
              <w:spacing w:after="0" w:line="269" w:lineRule="auto"/>
            </w:pPr>
            <w:r>
              <w:rPr>
                <w:sz w:val="18"/>
              </w:rPr>
              <w:t>An Azure-managed machine identity for the web app, avoiding stored service credentials.</w:t>
            </w:r>
          </w:p>
        </w:tc>
      </w:tr>
      <w:tr w14:paraId="2530DF80" w14:textId="77777777">
        <w:trPr>
          <w:cantSplit/>
        </w:trPr>
        <w:tc>
          <w:tcPr>
            <w:tcW w:w="2300" w:type="dxa"/>
            <w:tcMar>
              <w:top w:w="80" w:type="dxa"/>
              <w:left w:w="120" w:type="dxa"/>
              <w:bottom w:w="80" w:type="dxa"/>
              <w:right w:w="120" w:type="dxa"/>
            </w:tcMar>
            <w:vAlign w:val="center"/>
          </w:tcPr>
          <w:p w14:paraId="18E4450C" w14:textId="77777777">
            <w:pPr>
              <w:spacing w:after="0" w:line="269" w:lineRule="auto"/>
            </w:pPr>
            <w:r>
              <w:rPr>
                <w:sz w:val="18"/>
              </w:rPr>
              <w:t>Microsoft Entra ID</w:t>
            </w:r>
          </w:p>
        </w:tc>
        <w:tc>
          <w:tcPr>
            <w:tcW w:w="7060" w:type="dxa"/>
            <w:tcMar>
              <w:top w:w="80" w:type="dxa"/>
              <w:left w:w="120" w:type="dxa"/>
              <w:bottom w:w="80" w:type="dxa"/>
              <w:right w:w="120" w:type="dxa"/>
            </w:tcMar>
            <w:vAlign w:val="center"/>
          </w:tcPr>
          <w:p w14:paraId="08399C61" w14:textId="77777777">
            <w:pPr>
              <w:spacing w:after="0" w:line="269" w:lineRule="auto"/>
            </w:pPr>
            <w:r>
              <w:rPr>
                <w:sz w:val="18"/>
              </w:rPr>
              <w:t>The college identity platform formerly called Azure Active Directory.</w:t>
            </w:r>
          </w:p>
        </w:tc>
      </w:tr>
      <w:tr w14:paraId="131B363D" w14:textId="77777777">
        <w:trPr>
          <w:cantSplit/>
        </w:trPr>
        <w:tc>
          <w:tcPr>
            <w:tcW w:w="2300" w:type="dxa"/>
            <w:tcMar>
              <w:top w:w="80" w:type="dxa"/>
              <w:left w:w="120" w:type="dxa"/>
              <w:bottom w:w="80" w:type="dxa"/>
              <w:right w:w="120" w:type="dxa"/>
            </w:tcMar>
            <w:vAlign w:val="center"/>
          </w:tcPr>
          <w:p w14:paraId="5EFAF60F" w14:textId="77777777">
            <w:pPr>
              <w:spacing w:after="0" w:line="269" w:lineRule="auto"/>
            </w:pPr>
            <w:r>
              <w:rPr>
                <w:sz w:val="18"/>
              </w:rPr>
              <w:t>Migration</w:t>
            </w:r>
          </w:p>
        </w:tc>
        <w:tc>
          <w:tcPr>
            <w:tcW w:w="7060" w:type="dxa"/>
            <w:tcMar>
              <w:top w:w="80" w:type="dxa"/>
              <w:left w:w="120" w:type="dxa"/>
              <w:bottom w:w="80" w:type="dxa"/>
              <w:right w:w="120" w:type="dxa"/>
            </w:tcMar>
            <w:vAlign w:val="center"/>
          </w:tcPr>
          <w:p w14:paraId="5CBE7F01" w14:textId="77777777">
            <w:pPr>
              <w:spacing w:after="0" w:line="269" w:lineRule="auto"/>
            </w:pPr>
            <w:r>
              <w:rPr>
                <w:sz w:val="18"/>
              </w:rPr>
              <w:t>An ordered forward-only SQL script that changes or seeds the application database.</w:t>
            </w:r>
          </w:p>
        </w:tc>
      </w:tr>
      <w:tr w14:paraId="22C91F1F" w14:textId="77777777">
        <w:trPr>
          <w:cantSplit/>
        </w:trPr>
        <w:tc>
          <w:tcPr>
            <w:tcW w:w="2300" w:type="dxa"/>
            <w:tcMar>
              <w:top w:w="80" w:type="dxa"/>
              <w:left w:w="120" w:type="dxa"/>
              <w:bottom w:w="80" w:type="dxa"/>
              <w:right w:w="120" w:type="dxa"/>
            </w:tcMar>
            <w:vAlign w:val="center"/>
          </w:tcPr>
          <w:p w14:paraId="15FC72B7" w14:textId="77777777">
            <w:pPr>
              <w:spacing w:after="0" w:line="269" w:lineRule="auto"/>
            </w:pPr>
            <w:r>
              <w:rPr>
                <w:sz w:val="18"/>
              </w:rPr>
              <w:t>Object ID</w:t>
            </w:r>
          </w:p>
        </w:tc>
        <w:tc>
          <w:tcPr>
            <w:tcW w:w="7060" w:type="dxa"/>
            <w:tcMar>
              <w:top w:w="80" w:type="dxa"/>
              <w:left w:w="120" w:type="dxa"/>
              <w:bottom w:w="80" w:type="dxa"/>
              <w:right w:w="120" w:type="dxa"/>
            </w:tcMar>
            <w:vAlign w:val="center"/>
          </w:tcPr>
          <w:p w14:paraId="10C9A4EF" w14:textId="77777777">
            <w:pPr>
              <w:spacing w:after="0" w:line="269" w:lineRule="auto"/>
            </w:pPr>
            <w:r>
              <w:rPr>
                <w:sz w:val="18"/>
              </w:rPr>
              <w:t>Entra's identifier for a particular user, group or service principal. Do not confuse it with an app client ID.</w:t>
            </w:r>
          </w:p>
        </w:tc>
      </w:tr>
      <w:tr w14:paraId="6EAE5F8E" w14:textId="77777777">
        <w:trPr>
          <w:cantSplit/>
        </w:trPr>
        <w:tc>
          <w:tcPr>
            <w:tcW w:w="2300" w:type="dxa"/>
            <w:tcMar>
              <w:top w:w="80" w:type="dxa"/>
              <w:left w:w="120" w:type="dxa"/>
              <w:bottom w:w="80" w:type="dxa"/>
              <w:right w:w="120" w:type="dxa"/>
            </w:tcMar>
            <w:vAlign w:val="center"/>
          </w:tcPr>
          <w:p w14:paraId="18BBA7E1" w14:textId="77777777">
            <w:pPr>
              <w:spacing w:after="0" w:line="269" w:lineRule="auto"/>
            </w:pPr>
            <w:r>
              <w:rPr>
                <w:sz w:val="18"/>
              </w:rPr>
              <w:t>Private endpoint</w:t>
            </w:r>
          </w:p>
        </w:tc>
        <w:tc>
          <w:tcPr>
            <w:tcW w:w="7060" w:type="dxa"/>
            <w:tcMar>
              <w:top w:w="80" w:type="dxa"/>
              <w:left w:w="120" w:type="dxa"/>
              <w:bottom w:w="80" w:type="dxa"/>
              <w:right w:w="120" w:type="dxa"/>
            </w:tcMar>
            <w:vAlign w:val="center"/>
          </w:tcPr>
          <w:p w14:paraId="72241E61" w14:textId="77777777">
            <w:pPr>
              <w:spacing w:after="0" w:line="269" w:lineRule="auto"/>
            </w:pPr>
            <w:r>
              <w:rPr>
                <w:sz w:val="18"/>
              </w:rPr>
              <w:t>A private IP in an Azure virtual network that reaches a managed Azure service without public data-plane access.</w:t>
            </w:r>
          </w:p>
        </w:tc>
      </w:tr>
      <w:tr w14:paraId="1FDF8F96" w14:textId="77777777">
        <w:trPr>
          <w:cantSplit/>
        </w:trPr>
        <w:tc>
          <w:tcPr>
            <w:tcW w:w="2300" w:type="dxa"/>
            <w:tcMar>
              <w:top w:w="80" w:type="dxa"/>
              <w:left w:w="120" w:type="dxa"/>
              <w:bottom w:w="80" w:type="dxa"/>
              <w:right w:w="120" w:type="dxa"/>
            </w:tcMar>
            <w:vAlign w:val="center"/>
          </w:tcPr>
          <w:p w14:paraId="3294AF37" w14:textId="77777777">
            <w:pPr>
              <w:spacing w:after="0" w:line="269" w:lineRule="auto"/>
            </w:pPr>
            <w:r>
              <w:rPr>
                <w:sz w:val="18"/>
              </w:rPr>
              <w:t>RPO</w:t>
            </w:r>
          </w:p>
        </w:tc>
        <w:tc>
          <w:tcPr>
            <w:tcW w:w="7060" w:type="dxa"/>
            <w:tcMar>
              <w:top w:w="80" w:type="dxa"/>
              <w:left w:w="120" w:type="dxa"/>
              <w:bottom w:w="80" w:type="dxa"/>
              <w:right w:w="120" w:type="dxa"/>
            </w:tcMar>
            <w:vAlign w:val="center"/>
          </w:tcPr>
          <w:p w14:paraId="0D12A8BA" w14:textId="77777777">
            <w:pPr>
              <w:spacing w:after="0" w:line="269" w:lineRule="auto"/>
            </w:pPr>
            <w:r>
              <w:rPr>
                <w:sz w:val="18"/>
              </w:rPr>
              <w:t>Recovery Point Objective: how much recent data loss the service can tolerate after a serious incident.</w:t>
            </w:r>
          </w:p>
        </w:tc>
      </w:tr>
      <w:tr w14:paraId="08F4B3D1" w14:textId="77777777">
        <w:trPr>
          <w:cantSplit/>
        </w:trPr>
        <w:tc>
          <w:tcPr>
            <w:tcW w:w="2300" w:type="dxa"/>
            <w:tcMar>
              <w:top w:w="80" w:type="dxa"/>
              <w:left w:w="120" w:type="dxa"/>
              <w:bottom w:w="80" w:type="dxa"/>
              <w:right w:w="120" w:type="dxa"/>
            </w:tcMar>
            <w:vAlign w:val="center"/>
          </w:tcPr>
          <w:p w14:paraId="5E9420D1" w14:textId="77777777">
            <w:pPr>
              <w:spacing w:after="0" w:line="269" w:lineRule="auto"/>
            </w:pPr>
            <w:r>
              <w:rPr>
                <w:sz w:val="18"/>
              </w:rPr>
              <w:t>RTO</w:t>
            </w:r>
          </w:p>
        </w:tc>
        <w:tc>
          <w:tcPr>
            <w:tcW w:w="7060" w:type="dxa"/>
            <w:tcMar>
              <w:top w:w="80" w:type="dxa"/>
              <w:left w:w="120" w:type="dxa"/>
              <w:bottom w:w="80" w:type="dxa"/>
              <w:right w:w="120" w:type="dxa"/>
            </w:tcMar>
            <w:vAlign w:val="center"/>
          </w:tcPr>
          <w:p w14:paraId="73BBDC05" w14:textId="77777777">
            <w:pPr>
              <w:spacing w:after="0" w:line="269" w:lineRule="auto"/>
            </w:pPr>
            <w:r>
              <w:rPr>
                <w:sz w:val="18"/>
              </w:rPr>
              <w:t>Recovery Time Objective: how long restoring an acceptable service can take.</w:t>
            </w:r>
          </w:p>
        </w:tc>
      </w:tr>
      <w:tr w14:paraId="72BE7EAC" w14:textId="77777777">
        <w:trPr>
          <w:cantSplit/>
        </w:trPr>
        <w:tc>
          <w:tcPr>
            <w:tcW w:w="2300" w:type="dxa"/>
            <w:tcMar>
              <w:top w:w="80" w:type="dxa"/>
              <w:left w:w="120" w:type="dxa"/>
              <w:bottom w:w="80" w:type="dxa"/>
              <w:right w:w="120" w:type="dxa"/>
            </w:tcMar>
            <w:vAlign w:val="center"/>
          </w:tcPr>
          <w:p w14:paraId="2EA3001D" w14:textId="77777777">
            <w:pPr>
              <w:spacing w:after="0" w:line="269" w:lineRule="auto"/>
            </w:pPr>
            <w:r>
              <w:rPr>
                <w:sz w:val="18"/>
              </w:rPr>
              <w:t>Scope</w:t>
            </w:r>
          </w:p>
        </w:tc>
        <w:tc>
          <w:tcPr>
            <w:tcW w:w="7060" w:type="dxa"/>
            <w:tcMar>
              <w:top w:w="80" w:type="dxa"/>
              <w:left w:w="120" w:type="dxa"/>
              <w:bottom w:w="80" w:type="dxa"/>
              <w:right w:w="120" w:type="dxa"/>
            </w:tcMar>
            <w:vAlign w:val="center"/>
          </w:tcPr>
          <w:p w14:paraId="3E48324D" w14:textId="77777777">
            <w:pPr>
              <w:spacing w:after="0" w:line="269" w:lineRule="auto"/>
            </w:pPr>
            <w:r>
              <w:rPr>
                <w:sz w:val="18"/>
              </w:rPr>
              <w:t>The faculty, team, self or global boundary that limits what application records a user can access.</w:t>
            </w:r>
          </w:p>
        </w:tc>
      </w:tr>
      <w:tr w14:paraId="7AE937B3" w14:textId="77777777">
        <w:trPr>
          <w:cantSplit/>
        </w:trPr>
        <w:tc>
          <w:tcPr>
            <w:tcW w:w="2300" w:type="dxa"/>
            <w:tcMar>
              <w:top w:w="80" w:type="dxa"/>
              <w:left w:w="120" w:type="dxa"/>
              <w:bottom w:w="80" w:type="dxa"/>
              <w:right w:w="120" w:type="dxa"/>
            </w:tcMar>
            <w:vAlign w:val="center"/>
          </w:tcPr>
          <w:p w14:paraId="110E905D" w14:textId="77777777">
            <w:pPr>
              <w:spacing w:after="0" w:line="269" w:lineRule="auto"/>
            </w:pPr>
            <w:r>
              <w:rPr>
                <w:sz w:val="18"/>
              </w:rPr>
              <w:t>SPA</w:t>
            </w:r>
          </w:p>
        </w:tc>
        <w:tc>
          <w:tcPr>
            <w:tcW w:w="7060" w:type="dxa"/>
            <w:tcMar>
              <w:top w:w="80" w:type="dxa"/>
              <w:left w:w="120" w:type="dxa"/>
              <w:bottom w:w="80" w:type="dxa"/>
              <w:right w:w="120" w:type="dxa"/>
            </w:tcMar>
            <w:vAlign w:val="center"/>
          </w:tcPr>
          <w:p w14:paraId="76C4E745" w14:textId="77777777">
            <w:pPr>
              <w:spacing w:after="0" w:line="269" w:lineRule="auto"/>
            </w:pPr>
            <w:r>
              <w:rPr>
                <w:sz w:val="18"/>
              </w:rPr>
              <w:t>Single-page application: the React interface running in the browser.</w:t>
            </w:r>
          </w:p>
        </w:tc>
      </w:tr>
      <w:tr w14:paraId="5EE7F602" w14:textId="77777777">
        <w:trPr>
          <w:cantSplit/>
        </w:trPr>
        <w:tc>
          <w:tcPr>
            <w:tcW w:w="2300" w:type="dxa"/>
            <w:tcMar>
              <w:top w:w="80" w:type="dxa"/>
              <w:left w:w="120" w:type="dxa"/>
              <w:bottom w:w="80" w:type="dxa"/>
              <w:right w:w="120" w:type="dxa"/>
            </w:tcMar>
            <w:vAlign w:val="center"/>
          </w:tcPr>
          <w:p w14:paraId="600AD51F" w14:textId="77777777">
            <w:pPr>
              <w:spacing w:after="0" w:line="269" w:lineRule="auto"/>
            </w:pPr>
            <w:r>
              <w:rPr>
                <w:sz w:val="18"/>
              </w:rPr>
              <w:t>Tenant</w:t>
            </w:r>
          </w:p>
        </w:tc>
        <w:tc>
          <w:tcPr>
            <w:tcW w:w="7060" w:type="dxa"/>
            <w:tcMar>
              <w:top w:w="80" w:type="dxa"/>
              <w:left w:w="120" w:type="dxa"/>
              <w:bottom w:w="80" w:type="dxa"/>
              <w:right w:w="120" w:type="dxa"/>
            </w:tcMar>
            <w:vAlign w:val="center"/>
          </w:tcPr>
          <w:p w14:paraId="1A9EF349" w14:textId="77777777">
            <w:pPr>
              <w:spacing w:after="0" w:line="269" w:lineRule="auto"/>
            </w:pPr>
            <w:r>
              <w:rPr>
                <w:sz w:val="18"/>
              </w:rPr>
              <w:t>The college's Microsoft Entra directory boundary.</w:t>
            </w:r>
          </w:p>
        </w:tc>
      </w:tr>
      <w:tr w14:paraId="694B1863" w14:textId="77777777">
        <w:trPr>
          <w:cantSplit/>
        </w:trPr>
        <w:tc>
          <w:tcPr>
            <w:tcW w:w="2300" w:type="dxa"/>
            <w:tcMar>
              <w:top w:w="80" w:type="dxa"/>
              <w:left w:w="120" w:type="dxa"/>
              <w:bottom w:w="80" w:type="dxa"/>
              <w:right w:w="120" w:type="dxa"/>
            </w:tcMar>
            <w:vAlign w:val="center"/>
          </w:tcPr>
          <w:p w14:paraId="03D5974D" w14:textId="77777777">
            <w:pPr>
              <w:spacing w:after="0" w:line="269" w:lineRule="auto"/>
            </w:pPr>
            <w:r>
              <w:rPr>
                <w:sz w:val="18"/>
              </w:rPr>
              <w:t>TLS/HTTPS</w:t>
            </w:r>
          </w:p>
        </w:tc>
        <w:tc>
          <w:tcPr>
            <w:tcW w:w="7060" w:type="dxa"/>
            <w:tcMar>
              <w:top w:w="80" w:type="dxa"/>
              <w:left w:w="120" w:type="dxa"/>
              <w:bottom w:w="80" w:type="dxa"/>
              <w:right w:w="120" w:type="dxa"/>
            </w:tcMar>
            <w:vAlign w:val="center"/>
          </w:tcPr>
          <w:p w14:paraId="341A2004" w14:textId="77777777">
            <w:pPr>
              <w:spacing w:after="0" w:line="269" w:lineRule="auto"/>
            </w:pPr>
            <w:r>
              <w:rPr>
                <w:sz w:val="18"/>
              </w:rPr>
              <w:t>Encrypted connection between browser/service endpoints.</w:t>
            </w:r>
          </w:p>
        </w:tc>
      </w:tr>
      <w:tr w14:paraId="56CD81DA" w14:textId="77777777">
        <w:trPr>
          <w:cantSplit/>
        </w:trPr>
        <w:tc>
          <w:tcPr>
            <w:tcW w:w="2300" w:type="dxa"/>
            <w:tcMar>
              <w:top w:w="80" w:type="dxa"/>
              <w:left w:w="120" w:type="dxa"/>
              <w:bottom w:w="80" w:type="dxa"/>
              <w:right w:w="120" w:type="dxa"/>
            </w:tcMar>
            <w:vAlign w:val="center"/>
          </w:tcPr>
          <w:p w14:paraId="00F36D21" w14:textId="77777777">
            <w:pPr>
              <w:spacing w:after="0" w:line="269" w:lineRule="auto"/>
            </w:pPr>
            <w:r>
              <w:rPr>
                <w:sz w:val="18"/>
              </w:rPr>
              <w:t>What-if</w:t>
            </w:r>
          </w:p>
        </w:tc>
        <w:tc>
          <w:tcPr>
            <w:tcW w:w="7060" w:type="dxa"/>
            <w:tcMar>
              <w:top w:w="80" w:type="dxa"/>
              <w:left w:w="120" w:type="dxa"/>
              <w:bottom w:w="80" w:type="dxa"/>
              <w:right w:w="120" w:type="dxa"/>
            </w:tcMar>
            <w:vAlign w:val="center"/>
          </w:tcPr>
          <w:p w14:paraId="15AE3254" w14:textId="77777777">
            <w:pPr>
              <w:spacing w:after="0" w:line="269" w:lineRule="auto"/>
            </w:pPr>
            <w:r>
              <w:rPr>
                <w:sz w:val="18"/>
              </w:rPr>
              <w:t>Azure preview showing expected infrastructure changes before they are applied.</w:t>
            </w:r>
          </w:p>
        </w:tc>
      </w:tr>
      <w:tr w14:paraId="0E88D33A" w14:textId="77777777">
        <w:trPr>
          <w:cantSplit/>
        </w:trPr>
        <w:tc>
          <w:tcPr>
            <w:tcW w:w="2300" w:type="dxa"/>
            <w:tcMar>
              <w:top w:w="80" w:type="dxa"/>
              <w:left w:w="120" w:type="dxa"/>
              <w:bottom w:w="80" w:type="dxa"/>
              <w:right w:w="120" w:type="dxa"/>
            </w:tcMar>
            <w:vAlign w:val="center"/>
          </w:tcPr>
          <w:p w14:paraId="24FB7C86" w14:textId="77777777">
            <w:pPr>
              <w:spacing w:after="0" w:line="269" w:lineRule="auto"/>
            </w:pPr>
            <w:r>
              <w:rPr>
                <w:sz w:val="18"/>
              </w:rPr>
              <w:t>ZIP deployment</w:t>
            </w:r>
          </w:p>
        </w:tc>
        <w:tc>
          <w:tcPr>
            <w:tcW w:w="7060" w:type="dxa"/>
            <w:tcMar>
              <w:top w:w="80" w:type="dxa"/>
              <w:left w:w="120" w:type="dxa"/>
              <w:bottom w:w="80" w:type="dxa"/>
              <w:right w:w="120" w:type="dxa"/>
            </w:tcMar>
            <w:vAlign w:val="center"/>
          </w:tcPr>
          <w:p w14:paraId="5EE4E743" w14:textId="77777777">
            <w:pPr>
              <w:spacing w:after="0" w:line="269" w:lineRule="auto"/>
            </w:pPr>
            <w:r>
              <w:rPr>
                <w:sz w:val="18"/>
              </w:rPr>
              <w:t>Uploading an already-built package to App Service; Azure does not compile it again.</w:t>
            </w:r>
          </w:p>
        </w:tc>
      </w:tr>
    </w:tbl>
    <w:p w14:paraId="321C2266" w14:textId="77777777">
      <w:pPr>
        <w:spacing w:after="20"/>
      </w:pPr>
    </w:p>
    <w:p w14:paraId="7C608415" w14:textId="77777777">
      <w:pPr>
        <w:pStyle w:val="Heading1"/>
      </w:pPr>
      <w:bookmarkStart w:id="28" w:name="annex_h"/>
      <w:r>
        <w:lastRenderedPageBreak/>
        <w:t>Annex H. External references</w:t>
      </w:r>
      <w:bookmarkEnd w:id="28"/>
    </w:p>
    <w:p w14:paraId="1DB82273" w14:textId="77777777">
      <w:r>
        <w:t>Official sources checked 25 August 2026. Microsoft and GitHub update their services; re-check the linked pages immediately before implementation.</w:t>
      </w:r>
    </w:p>
    <w:p w14:paraId="3C0E6354" w14:textId="13E79B6B">
      <w:pPr>
        <w:spacing w:after="60"/>
      </w:pPr>
      <w:hyperlink r:id="rId42">
        <w:r>
          <w:rPr>
            <w:color w:val="2E74B5"/>
            <w:u w:val="single"/>
          </w:rPr>
          <w:t>Deploy Bicep files with Azure CLI</w:t>
        </w:r>
      </w:hyperlink>
    </w:p>
    <w:p w14:paraId="0F056748" w14:textId="7C74FE98">
      <w:pPr>
        <w:spacing w:after="60"/>
      </w:pPr>
      <w:hyperlink r:id="rId43">
        <w:r>
          <w:rPr>
            <w:color w:val="2E74B5"/>
            <w:u w:val="single"/>
          </w:rPr>
          <w:t>Subscription-scope Bicep deployments</w:t>
        </w:r>
      </w:hyperlink>
    </w:p>
    <w:p w14:paraId="5D57FFDC" w14:textId="601059AB">
      <w:pPr>
        <w:spacing w:after="60"/>
      </w:pPr>
      <w:hyperlink r:id="rId44" w:anchor="az-webapp-deploy">
        <w:r>
          <w:rPr>
            <w:color w:val="2E74B5"/>
            <w:u w:val="single"/>
          </w:rPr>
          <w:t>Azure Web App ZIP deployment</w:t>
        </w:r>
      </w:hyperlink>
    </w:p>
    <w:p w14:paraId="13FF786F" w14:textId="13D7A31A">
      <w:pPr>
        <w:spacing w:after="60"/>
      </w:pPr>
      <w:hyperlink r:id="rId45">
        <w:r>
          <w:rPr>
            <w:color w:val="2E74B5"/>
            <w:u w:val="single"/>
          </w:rPr>
          <w:t>App Service deployment best practices and slots</w:t>
        </w:r>
      </w:hyperlink>
    </w:p>
    <w:p w14:paraId="4ABC082D" w14:textId="4D9B0951">
      <w:pPr>
        <w:spacing w:after="60"/>
      </w:pPr>
      <w:hyperlink r:id="rId46">
        <w:r>
          <w:rPr>
            <w:color w:val="2E74B5"/>
            <w:u w:val="single"/>
          </w:rPr>
          <w:t>App Service health check</w:t>
        </w:r>
      </w:hyperlink>
    </w:p>
    <w:p w14:paraId="2A9275A0" w14:textId="44F2728C">
      <w:pPr>
        <w:spacing w:after="60"/>
      </w:pPr>
      <w:hyperlink r:id="rId47">
        <w:r>
          <w:rPr>
            <w:color w:val="2E74B5"/>
            <w:u w:val="single"/>
          </w:rPr>
          <w:t>App Service custom domain</w:t>
        </w:r>
      </w:hyperlink>
    </w:p>
    <w:p w14:paraId="4FB73558" w14:textId="296C7657">
      <w:pPr>
        <w:spacing w:after="60"/>
      </w:pPr>
      <w:hyperlink r:id="rId48">
        <w:r>
          <w:rPr>
            <w:color w:val="2E74B5"/>
            <w:u w:val="single"/>
          </w:rPr>
          <w:t>App Service certificates</w:t>
        </w:r>
      </w:hyperlink>
    </w:p>
    <w:p w14:paraId="42864FFA" w14:textId="6C841AD8">
      <w:pPr>
        <w:spacing w:after="60"/>
      </w:pPr>
      <w:hyperlink r:id="rId49">
        <w:r>
          <w:rPr>
            <w:color w:val="2E74B5"/>
            <w:u w:val="single"/>
          </w:rPr>
          <w:t>App Service private endpoints</w:t>
        </w:r>
      </w:hyperlink>
    </w:p>
    <w:p w14:paraId="35B70FF3" w14:textId="56E4EF37">
      <w:pPr>
        <w:spacing w:after="60"/>
      </w:pPr>
      <w:hyperlink r:id="rId50">
        <w:r>
          <w:rPr>
            <w:color w:val="2E74B5"/>
            <w:u w:val="single"/>
          </w:rPr>
          <w:t>Managed identities overview</w:t>
        </w:r>
      </w:hyperlink>
    </w:p>
    <w:p w14:paraId="4AEBA6DB" w14:textId="22472DE7">
      <w:pPr>
        <w:spacing w:after="60"/>
      </w:pPr>
      <w:hyperlink r:id="rId51">
        <w:r>
          <w:rPr>
            <w:color w:val="2E74B5"/>
            <w:u w:val="single"/>
          </w:rPr>
          <w:t>App Service managed identity to Azure database</w:t>
        </w:r>
      </w:hyperlink>
    </w:p>
    <w:p w14:paraId="4D6D07A2" w14:textId="0DE02EAA">
      <w:pPr>
        <w:spacing w:after="60"/>
      </w:pPr>
      <w:hyperlink r:id="rId52">
        <w:r>
          <w:rPr>
            <w:color w:val="2E74B5"/>
            <w:u w:val="single"/>
          </w:rPr>
          <w:t>Configure Entra authentication for Azure SQL</w:t>
        </w:r>
      </w:hyperlink>
    </w:p>
    <w:p w14:paraId="6ACAB727" w14:textId="5BAAA5D2">
      <w:pPr>
        <w:spacing w:after="60"/>
      </w:pPr>
      <w:hyperlink r:id="rId53">
        <w:r>
          <w:rPr>
            <w:color w:val="2E74B5"/>
            <w:u w:val="single"/>
          </w:rPr>
          <w:t>Azure SQL firewall rules</w:t>
        </w:r>
      </w:hyperlink>
    </w:p>
    <w:p w14:paraId="7DE1432F" w14:textId="20BEFCA9">
      <w:pPr>
        <w:spacing w:after="60"/>
      </w:pPr>
      <w:hyperlink r:id="rId54">
        <w:r>
          <w:rPr>
            <w:color w:val="2E74B5"/>
            <w:u w:val="single"/>
          </w:rPr>
          <w:t>Azure SQL serverless</w:t>
        </w:r>
      </w:hyperlink>
    </w:p>
    <w:p w14:paraId="45DB5131" w14:textId="57440249">
      <w:pPr>
        <w:spacing w:after="60"/>
      </w:pPr>
      <w:hyperlink r:id="rId55">
        <w:r>
          <w:rPr>
            <w:color w:val="2E74B5"/>
            <w:u w:val="single"/>
          </w:rPr>
          <w:t>Azure SQL automated backups</w:t>
        </w:r>
      </w:hyperlink>
    </w:p>
    <w:p w14:paraId="09C6AD08" w14:textId="3488F8DA">
      <w:pPr>
        <w:spacing w:after="60"/>
      </w:pPr>
      <w:hyperlink r:id="rId56">
        <w:r>
          <w:rPr>
            <w:color w:val="2E74B5"/>
            <w:u w:val="single"/>
          </w:rPr>
          <w:t>Restore Azure SQL from backups</w:t>
        </w:r>
      </w:hyperlink>
    </w:p>
    <w:p w14:paraId="25E8B26C" w14:textId="20299446">
      <w:pPr>
        <w:spacing w:after="60"/>
      </w:pPr>
      <w:hyperlink r:id="rId57">
        <w:r>
          <w:rPr>
            <w:color w:val="2E74B5"/>
            <w:u w:val="single"/>
          </w:rPr>
          <w:t>Azure Storage network security</w:t>
        </w:r>
      </w:hyperlink>
    </w:p>
    <w:p w14:paraId="6B119AA5" w14:textId="477F0216">
      <w:pPr>
        <w:spacing w:after="60"/>
      </w:pPr>
      <w:hyperlink r:id="rId58">
        <w:r>
          <w:rPr>
            <w:color w:val="2E74B5"/>
            <w:u w:val="single"/>
          </w:rPr>
          <w:t>Secure Azure Key Vault</w:t>
        </w:r>
      </w:hyperlink>
    </w:p>
    <w:p w14:paraId="1D669BBD" w14:textId="38595B78">
      <w:pPr>
        <w:spacing w:after="60"/>
      </w:pPr>
      <w:hyperlink r:id="rId59">
        <w:r>
          <w:rPr>
            <w:color w:val="2E74B5"/>
            <w:u w:val="single"/>
          </w:rPr>
          <w:t>ASP.NET Core Data Protection key storage</w:t>
        </w:r>
      </w:hyperlink>
    </w:p>
    <w:p w14:paraId="04715571" w14:textId="22ED5784">
      <w:pPr>
        <w:spacing w:after="60"/>
      </w:pPr>
      <w:hyperlink r:id="rId60">
        <w:r>
          <w:rPr>
            <w:color w:val="2E74B5"/>
            <w:u w:val="single"/>
          </w:rPr>
          <w:t>Expose a protected API scope</w:t>
        </w:r>
      </w:hyperlink>
    </w:p>
    <w:p w14:paraId="0AE770DF" w14:textId="5BCDD16F">
      <w:pPr>
        <w:spacing w:after="60"/>
      </w:pPr>
      <w:hyperlink r:id="rId61">
        <w:r>
          <w:rPr>
            <w:color w:val="2E74B5"/>
            <w:u w:val="single"/>
          </w:rPr>
          <w:t>SPA redirect URI practices</w:t>
        </w:r>
      </w:hyperlink>
    </w:p>
    <w:p w14:paraId="6BE1E3EA" w14:textId="4FD196FE">
      <w:pPr>
        <w:spacing w:after="60"/>
      </w:pPr>
      <w:hyperlink r:id="rId62">
        <w:r>
          <w:rPr>
            <w:color w:val="2E74B5"/>
            <w:u w:val="single"/>
          </w:rPr>
          <w:t>Grant tenant-wide admin consent</w:t>
        </w:r>
      </w:hyperlink>
    </w:p>
    <w:p w14:paraId="53F17E18" w14:textId="5E7633BE">
      <w:pPr>
        <w:spacing w:after="60"/>
      </w:pPr>
      <w:hyperlink r:id="rId63">
        <w:r>
          <w:rPr>
            <w:color w:val="2E74B5"/>
            <w:u w:val="single"/>
          </w:rPr>
          <w:t>Microsoft Entra Conditional Access</w:t>
        </w:r>
      </w:hyperlink>
    </w:p>
    <w:p w14:paraId="727F42BF" w14:textId="165BEA43">
      <w:pPr>
        <w:spacing w:after="60"/>
      </w:pPr>
      <w:hyperlink r:id="rId64">
        <w:r>
          <w:rPr>
            <w:color w:val="2E74B5"/>
            <w:u w:val="single"/>
          </w:rPr>
          <w:t>Azure Cost Management budgets</w:t>
        </w:r>
      </w:hyperlink>
    </w:p>
    <w:p w14:paraId="17308609" w14:textId="54AE2C79">
      <w:pPr>
        <w:spacing w:after="60"/>
      </w:pPr>
      <w:hyperlink r:id="rId65">
        <w:r>
          <w:rPr>
            <w:color w:val="2E74B5"/>
            <w:u w:val="single"/>
          </w:rPr>
          <w:t>Application Insights availability tests</w:t>
        </w:r>
      </w:hyperlink>
    </w:p>
    <w:p w14:paraId="3B92C96F" w14:textId="77948BA3">
      <w:pPr>
        <w:spacing w:after="60"/>
      </w:pPr>
      <w:hyperlink r:id="rId66">
        <w:r>
          <w:rPr>
            <w:color w:val="2E74B5"/>
            <w:u w:val="single"/>
          </w:rPr>
          <w:t>Azure Resource locks</w:t>
        </w:r>
      </w:hyperlink>
    </w:p>
    <w:p w14:paraId="094669B7" w14:textId="49A7D0AB">
      <w:pPr>
        <w:spacing w:after="60"/>
      </w:pPr>
      <w:hyperlink r:id="rId67">
        <w:r>
          <w:rPr>
            <w:color w:val="2E74B5"/>
            <w:u w:val="single"/>
          </w:rPr>
          <w:t>ASP.NET Core Module for IIS</w:t>
        </w:r>
      </w:hyperlink>
    </w:p>
    <w:p w14:paraId="6D524268" w14:textId="18C444E9">
      <w:pPr>
        <w:spacing w:after="60"/>
      </w:pPr>
      <w:hyperlink r:id="rId68">
        <w:r>
          <w:rPr>
            <w:color w:val="2E74B5"/>
            <w:u w:val="single"/>
          </w:rPr>
          <w:t>Secure group managed service accounts</w:t>
        </w:r>
      </w:hyperlink>
    </w:p>
    <w:p w14:paraId="07CA8114" w14:textId="23894521">
      <w:pPr>
        <w:spacing w:after="60"/>
      </w:pPr>
      <w:hyperlink r:id="rId69">
        <w:r>
          <w:rPr>
            <w:color w:val="2E74B5"/>
            <w:u w:val="single"/>
          </w:rPr>
          <w:t>SQL Server full database backups</w:t>
        </w:r>
      </w:hyperlink>
    </w:p>
    <w:p w14:paraId="7EC681F3" w14:textId="4DDF69CD">
      <w:pPr>
        <w:spacing w:after="60"/>
      </w:pPr>
      <w:hyperlink r:id="rId70">
        <w:r>
          <w:rPr>
            <w:color w:val="2E74B5"/>
            <w:u w:val="single"/>
          </w:rPr>
          <w:t>Transfer GitHub work to an organisation</w:t>
        </w:r>
      </w:hyperlink>
    </w:p>
    <w:p w14:paraId="2074557E" w14:textId="5CEEF096">
      <w:pPr>
        <w:spacing w:after="60"/>
      </w:pPr>
      <w:hyperlink r:id="rId71">
        <w:r>
          <w:rPr>
            <w:color w:val="2E74B5"/>
            <w:u w:val="single"/>
          </w:rPr>
          <w:t>GitHub repository rulesets</w:t>
        </w:r>
      </w:hyperlink>
    </w:p>
    <w:p w14:paraId="2A009353" w14:textId="77777777">
      <w:pPr>
        <w:pStyle w:val="Heading2"/>
      </w:pPr>
      <w:r>
        <w:t>Final implementation note</w:t>
      </w:r>
    </w:p>
    <w:p w14:paraId="732094BE" w14:textId="77777777">
      <w:r>
        <w:t>The definitive behaviour is the accepted repository commit plus its migration ledger and deployed configuration. If this guide conflicts with a later reviewed code change, stop, update the guide through change control and re-run acceptance. Do not silently work around the difference in the portal or database.</w:t>
      </w:r>
    </w:p>
    <w:sectPr>
      <w:headerReference w:type="default" r:id="rId72"/>
      <w:footerReference w:type="default" r:id="rId7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993D" w14:textId="77777777">
      <w:pPr>
        <w:spacing w:after="0" w:line="240" w:lineRule="auto"/>
      </w:pPr>
      <w:r>
        <w:separator/>
      </w:r>
    </w:p>
  </w:endnote>
  <w:endnote w:type="continuationSeparator" w:id="0">
    <w:p w14:paraId="3BE6F05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0D00" w14:textId="77777777">
    <w:pPr>
      <w:pStyle w:val="Footer"/>
      <w:jc w:val="right"/>
    </w:pPr>
    <w:r>
      <w:t xml:space="preserve">Controlled handover copy  •  Version 1.0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9420D" w14:textId="77777777">
      <w:pPr>
        <w:spacing w:after="0" w:line="240" w:lineRule="auto"/>
      </w:pPr>
      <w:r>
        <w:separator/>
      </w:r>
    </w:p>
  </w:footnote>
  <w:footnote w:type="continuationSeparator" w:id="0">
    <w:p w14:paraId="1387AD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DB2D" w14:textId="77777777">
    <w:pPr>
      <w:pStyle w:val="Header"/>
      <w:pBdr>
        <w:bottom w:val="single" w:sz="8" w:space="4" w:color="2CB5A9"/>
      </w:pBdr>
    </w:pPr>
    <w:r>
      <w:t>i-Elevate  |  Production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51930AA"/>
    <w:multiLevelType w:val="singleLevel"/>
    <w:tmpl w:val="343AEB1A"/>
    <w:lvl w:ilvl="0">
      <w:start w:val="1"/>
      <w:numFmt w:val="bullet"/>
      <w:pStyle w:val="ListBullet2"/>
      <w:lvlText w:val="•"/>
      <w:lvlJc w:val="left"/>
      <w:pPr>
        <w:tabs>
          <w:tab w:val="num" w:pos="540"/>
        </w:tabs>
        <w:spacing w:after="80" w:line="300" w:lineRule="auto"/>
        <w:ind w:left="540" w:hanging="270"/>
      </w:pPr>
      <w:rPr>
        <w:rFonts w:ascii="Calibri" w:hAnsi="Calibri"/>
      </w:rPr>
    </w:lvl>
  </w:abstractNum>
  <w:abstractNum w:abstractNumId="10" w15:restartNumberingAfterBreak="0">
    <w:nsid w:val="6C246D2A"/>
    <w:multiLevelType w:val="singleLevel"/>
    <w:tmpl w:val="441449C4"/>
    <w:lvl w:ilvl="0">
      <w:start w:val="1"/>
      <w:numFmt w:val="decimal"/>
      <w:pStyle w:val="ListBullet"/>
      <w:lvlText w:val="%1."/>
      <w:lvlJc w:val="left"/>
      <w:pPr>
        <w:tabs>
          <w:tab w:val="num" w:pos="540"/>
        </w:tabs>
        <w:spacing w:after="80" w:line="300" w:lineRule="auto"/>
        <w:ind w:left="540" w:hanging="270"/>
      </w:pPr>
      <w:rPr>
        <w:rFonts w:ascii="Calibri" w:hAnsi="Calibri"/>
      </w:rPr>
    </w:lvl>
  </w:abstractNum>
  <w:num w:numId="1" w16cid:durableId="1145976590">
    <w:abstractNumId w:val="10"/>
    <w:lvlOverride w:ilvl="0">
      <w:startOverride w:val="1"/>
    </w:lvlOverride>
  </w:num>
  <w:num w:numId="2" w16cid:durableId="1409574782">
    <w:abstractNumId w:val="9"/>
  </w:num>
  <w:num w:numId="3" w16cid:durableId="849373163">
    <w:abstractNumId w:val="9"/>
  </w:num>
  <w:num w:numId="4" w16cid:durableId="1968778412">
    <w:abstractNumId w:val="9"/>
  </w:num>
  <w:num w:numId="5" w16cid:durableId="40903533">
    <w:abstractNumId w:val="10"/>
    <w:lvlOverride w:ilvl="0">
      <w:startOverride w:val="1"/>
    </w:lvlOverride>
  </w:num>
  <w:num w:numId="6" w16cid:durableId="76756053">
    <w:abstractNumId w:val="10"/>
    <w:lvlOverride w:ilvl="0">
      <w:startOverride w:val="1"/>
    </w:lvlOverride>
  </w:num>
  <w:num w:numId="7" w16cid:durableId="1610233665">
    <w:abstractNumId w:val="9"/>
  </w:num>
  <w:num w:numId="8" w16cid:durableId="298733717">
    <w:abstractNumId w:val="9"/>
  </w:num>
  <w:num w:numId="9" w16cid:durableId="82916870">
    <w:abstractNumId w:val="10"/>
    <w:lvlOverride w:ilvl="0">
      <w:startOverride w:val="1"/>
    </w:lvlOverride>
  </w:num>
  <w:num w:numId="10" w16cid:durableId="26487390">
    <w:abstractNumId w:val="10"/>
    <w:lvlOverride w:ilvl="0">
      <w:startOverride w:val="1"/>
    </w:lvlOverride>
  </w:num>
  <w:num w:numId="11" w16cid:durableId="1251621354">
    <w:abstractNumId w:val="10"/>
    <w:lvlOverride w:ilvl="0">
      <w:startOverride w:val="1"/>
    </w:lvlOverride>
  </w:num>
  <w:num w:numId="12" w16cid:durableId="2015111235">
    <w:abstractNumId w:val="10"/>
    <w:lvlOverride w:ilvl="0">
      <w:startOverride w:val="1"/>
    </w:lvlOverride>
  </w:num>
  <w:num w:numId="13" w16cid:durableId="715617164">
    <w:abstractNumId w:val="10"/>
    <w:lvlOverride w:ilvl="0">
      <w:startOverride w:val="1"/>
    </w:lvlOverride>
  </w:num>
  <w:num w:numId="14" w16cid:durableId="2071148607">
    <w:abstractNumId w:val="9"/>
  </w:num>
  <w:num w:numId="15" w16cid:durableId="1188787271">
    <w:abstractNumId w:val="9"/>
  </w:num>
  <w:num w:numId="16" w16cid:durableId="573859614">
    <w:abstractNumId w:val="10"/>
    <w:lvlOverride w:ilvl="0">
      <w:startOverride w:val="1"/>
    </w:lvlOverride>
  </w:num>
  <w:num w:numId="17" w16cid:durableId="1892570321">
    <w:abstractNumId w:val="9"/>
  </w:num>
  <w:num w:numId="18" w16cid:durableId="1609316824">
    <w:abstractNumId w:val="10"/>
    <w:lvlOverride w:ilvl="0">
      <w:startOverride w:val="1"/>
    </w:lvlOverride>
  </w:num>
  <w:num w:numId="19" w16cid:durableId="1719743947">
    <w:abstractNumId w:val="10"/>
    <w:lvlOverride w:ilvl="0">
      <w:startOverride w:val="1"/>
    </w:lvlOverride>
  </w:num>
  <w:num w:numId="20" w16cid:durableId="685905849">
    <w:abstractNumId w:val="9"/>
  </w:num>
  <w:num w:numId="21" w16cid:durableId="731344802">
    <w:abstractNumId w:val="9"/>
  </w:num>
  <w:num w:numId="22" w16cid:durableId="1316958488">
    <w:abstractNumId w:val="9"/>
  </w:num>
  <w:num w:numId="23" w16cid:durableId="1726102174">
    <w:abstractNumId w:val="10"/>
    <w:lvlOverride w:ilvl="0">
      <w:startOverride w:val="1"/>
    </w:lvlOverride>
  </w:num>
  <w:num w:numId="24" w16cid:durableId="82728681">
    <w:abstractNumId w:val="9"/>
  </w:num>
  <w:num w:numId="25" w16cid:durableId="331880071">
    <w:abstractNumId w:val="9"/>
  </w:num>
  <w:num w:numId="26" w16cid:durableId="868109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7088"/>
    <w:rsid w:val="00AA1D8D"/>
    <w:rsid w:val="00B47730"/>
    <w:rsid w:val="00CB0664"/>
    <w:rsid w:val="00CB49DB"/>
    <w:rsid w:val="00D116DE"/>
    <w:rsid w:val="00E76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23FDF7-4978-4B5E-9EF5-282E6E16D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7212B"/>
    </w:rPr>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5E6B73"/>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E6B73"/>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0"/>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52" w:lineRule="auto"/>
      <w:ind w:left="173" w:right="115"/>
    </w:pPr>
    <w:rPr>
      <w:rFonts w:ascii="Consolas" w:eastAsia="Consolas" w:hAnsi="Consolas"/>
      <w:color w:val="0B2545"/>
      <w:sz w:val="17"/>
    </w:rPr>
  </w:style>
  <w:style w:type="paragraph" w:customStyle="1" w:styleId="SmallNote">
    <w:name w:val="Small Note"/>
    <w:pPr>
      <w:spacing w:before="80" w:after="80"/>
    </w:pPr>
    <w:rPr>
      <w:rFonts w:ascii="Calibri" w:eastAsia="Calibri" w:hAnsi="Calibri"/>
      <w:color w:val="5E6B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azure-sql/database/authentication-aad-configure?view=azuresql" TargetMode="External"/><Relationship Id="rId21" Type="http://schemas.openxmlformats.org/officeDocument/2006/relationships/hyperlink" Target="https://learn.microsoft.com/en-us/azure/storage/common/storage-network-security-overview" TargetMode="External"/><Relationship Id="rId42" Type="http://schemas.openxmlformats.org/officeDocument/2006/relationships/hyperlink" Target="https://learn.microsoft.com/en-us/azure/azure-resource-manager/bicep/deploy-cli" TargetMode="External"/><Relationship Id="rId47" Type="http://schemas.openxmlformats.org/officeDocument/2006/relationships/hyperlink" Target="https://learn.microsoft.com/en-us/azure/app-service/manage-custom-dns-buy-domain" TargetMode="External"/><Relationship Id="rId63" Type="http://schemas.openxmlformats.org/officeDocument/2006/relationships/hyperlink" Target="https://learn.microsoft.com/en-us/entra/identity/conditional-access/overview" TargetMode="External"/><Relationship Id="rId68" Type="http://schemas.openxmlformats.org/officeDocument/2006/relationships/hyperlink" Target="https://learn.microsoft.com/en-us/entra/architecture/service-accounts-group-managed" TargetMode="External"/><Relationship Id="rId2" Type="http://schemas.openxmlformats.org/officeDocument/2006/relationships/numbering" Target="numbering.xml"/><Relationship Id="rId16" Type="http://schemas.openxmlformats.org/officeDocument/2006/relationships/hyperlink" Target="https://learn.microsoft.com/en-us/entra/identity-platform/scenario-protected-web-api-expose-scopes" TargetMode="External"/><Relationship Id="rId29" Type="http://schemas.openxmlformats.org/officeDocument/2006/relationships/hyperlink" Target="https://learn.microsoft.com/en-us/azure/app-service/deploy-zip" TargetMode="External"/><Relationship Id="rId11" Type="http://schemas.openxmlformats.org/officeDocument/2006/relationships/hyperlink" Target="https://docs.github.com/en/repositories/configuring-branches-and-merges-in-your-repository/managing-rulesets/about-rulesets" TargetMode="External"/><Relationship Id="rId24" Type="http://schemas.openxmlformats.org/officeDocument/2006/relationships/hyperlink" Target="https://learn.microsoft.com/en-us/azure/azure-resource-manager/bicep/deploy-to-subscription" TargetMode="External"/><Relationship Id="rId32" Type="http://schemas.openxmlformats.org/officeDocument/2006/relationships/hyperlink" Target="https://learn.microsoft.com/en-us/entra/identity-platform/reply-url" TargetMode="External"/><Relationship Id="rId37" Type="http://schemas.openxmlformats.org/officeDocument/2006/relationships/hyperlink" Target="https://learn.microsoft.com/en-us/azure/app-service/deploy-best-practices" TargetMode="External"/><Relationship Id="rId40" Type="http://schemas.openxmlformats.org/officeDocument/2006/relationships/hyperlink" Target="https://learn.microsoft.com/en-us/entra/architecture/service-accounts-group-managed" TargetMode="External"/><Relationship Id="rId45" Type="http://schemas.openxmlformats.org/officeDocument/2006/relationships/hyperlink" Target="https://learn.microsoft.com/en-us/azure/app-service/deploy-best-practices" TargetMode="External"/><Relationship Id="rId53" Type="http://schemas.openxmlformats.org/officeDocument/2006/relationships/hyperlink" Target="https://learn.microsoft.com/en-us/azure/azure-sql/database/firewall-configure?view=azuresql" TargetMode="External"/><Relationship Id="rId58" Type="http://schemas.openxmlformats.org/officeDocument/2006/relationships/hyperlink" Target="https://learn.microsoft.com/en-us/azure/key-vault/general/secure-key-vault" TargetMode="External"/><Relationship Id="rId66" Type="http://schemas.openxmlformats.org/officeDocument/2006/relationships/hyperlink" Target="https://learn.microsoft.com/en-us/azure/azure-resource-manager/management/lock-resources"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earn.microsoft.com/en-us/entra/identity-platform/reply-url" TargetMode="External"/><Relationship Id="rId19" Type="http://schemas.openxmlformats.org/officeDocument/2006/relationships/hyperlink" Target="https://learn.microsoft.com/en-us/azure/azure-sql/database/firewall-configure?view=azuresql" TargetMode="External"/><Relationship Id="rId14" Type="http://schemas.openxmlformats.org/officeDocument/2006/relationships/hyperlink" Target="https://learn.microsoft.com/en-gb/azure/app-service/configure-language-dotnetcore" TargetMode="External"/><Relationship Id="rId22" Type="http://schemas.openxmlformats.org/officeDocument/2006/relationships/hyperlink" Target="https://learn.microsoft.com/en-us/azure/key-vault/general/secure-key-vault" TargetMode="External"/><Relationship Id="rId27" Type="http://schemas.openxmlformats.org/officeDocument/2006/relationships/hyperlink" Target="https://learn.microsoft.com/en-us/azure/app-service/tutorial-connect-msi-azure-database" TargetMode="External"/><Relationship Id="rId30" Type="http://schemas.openxmlformats.org/officeDocument/2006/relationships/hyperlink" Target="https://learn.microsoft.com/en-us/azure/app-service/manage-custom-dns-buy-domain" TargetMode="External"/><Relationship Id="rId35" Type="http://schemas.openxmlformats.org/officeDocument/2006/relationships/hyperlink" Target="https://learn.microsoft.com/en-us/azure/azure-sql/database/automated-backups-overview?view=azuresql" TargetMode="External"/><Relationship Id="rId43" Type="http://schemas.openxmlformats.org/officeDocument/2006/relationships/hyperlink" Target="https://learn.microsoft.com/en-us/azure/azure-resource-manager/bicep/deploy-to-subscription" TargetMode="External"/><Relationship Id="rId48" Type="http://schemas.openxmlformats.org/officeDocument/2006/relationships/hyperlink" Target="https://learn.microsoft.com/en-us/azure/app-service/configure-ssl-certificate" TargetMode="External"/><Relationship Id="rId56" Type="http://schemas.openxmlformats.org/officeDocument/2006/relationships/hyperlink" Target="https://learn.microsoft.com/en-us/azure/azure-sql/database/recovery-using-backups?view=azuresql" TargetMode="External"/><Relationship Id="rId64" Type="http://schemas.openxmlformats.org/officeDocument/2006/relationships/hyperlink" Target="https://learn.microsoft.com/en-us/azure/cost-management-billing/costs/tutorial-acm-create-budgets" TargetMode="External"/><Relationship Id="rId69" Type="http://schemas.openxmlformats.org/officeDocument/2006/relationships/hyperlink" Target="https://learn.microsoft.com/en-us/sql/relational-databases/backup-restore/full-database-backups-sql-server?view=sql-server-ver17" TargetMode="External"/><Relationship Id="rId8" Type="http://schemas.openxmlformats.org/officeDocument/2006/relationships/hyperlink" Target="https://learn.microsoft.com/en-us/entra/identity/managed-identities-azure-resources/overview" TargetMode="External"/><Relationship Id="rId51" Type="http://schemas.openxmlformats.org/officeDocument/2006/relationships/hyperlink" Target="https://learn.microsoft.com/en-us/azure/app-service/tutorial-connect-msi-azure-database"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docs.github.com/en/actions/how-tos/write-workflows/choose-what-workflows-do/use-variables" TargetMode="External"/><Relationship Id="rId17" Type="http://schemas.openxmlformats.org/officeDocument/2006/relationships/hyperlink" Target="https://learn.microsoft.com/en-us/entra/identity/enterprise-apps/grant-admin-consent" TargetMode="External"/><Relationship Id="rId25" Type="http://schemas.openxmlformats.org/officeDocument/2006/relationships/hyperlink" Target="https://learn.microsoft.com/en-us/azure/azure-resource-manager/management/lock-resources" TargetMode="External"/><Relationship Id="rId33" Type="http://schemas.openxmlformats.org/officeDocument/2006/relationships/hyperlink" Target="https://learn.microsoft.com/en-au/azure/azure-monitor/app/availability" TargetMode="External"/><Relationship Id="rId38" Type="http://schemas.openxmlformats.org/officeDocument/2006/relationships/hyperlink" Target="https://learn.microsoft.com/en-us/azure/azure-sql/database/recovery-using-backups?view=azuresql" TargetMode="External"/><Relationship Id="rId46" Type="http://schemas.openxmlformats.org/officeDocument/2006/relationships/hyperlink" Target="https://learn.microsoft.com/en-us/azure/app-service/monitor-instances-health-check" TargetMode="External"/><Relationship Id="rId59" Type="http://schemas.openxmlformats.org/officeDocument/2006/relationships/hyperlink" Target="https://learn.microsoft.com/en-us/aspnet/core/security/data-protection/implementation/key-storage-providers?view=aspnetcore-10.0" TargetMode="External"/><Relationship Id="rId67" Type="http://schemas.openxmlformats.org/officeDocument/2006/relationships/hyperlink" Target="https://learn.microsoft.com/en-us/aspnet/core/host-and-deploy/aspnet-core-module?view=aspnetcore-10.0" TargetMode="External"/><Relationship Id="rId20" Type="http://schemas.openxmlformats.org/officeDocument/2006/relationships/hyperlink" Target="https://learn.microsoft.com/en-us/azure/app-service/overview-private-endpoint" TargetMode="External"/><Relationship Id="rId41" Type="http://schemas.openxmlformats.org/officeDocument/2006/relationships/hyperlink" Target="https://learn.microsoft.com/en-us/sql/relational-databases/backup-restore/full-database-backups-sql-server?view=sql-server-ver17" TargetMode="External"/><Relationship Id="rId54" Type="http://schemas.openxmlformats.org/officeDocument/2006/relationships/hyperlink" Target="https://learn.microsoft.com/en-us/azure/azure-sql/database/serverless-tier-overview?view=azuresql" TargetMode="External"/><Relationship Id="rId62" Type="http://schemas.openxmlformats.org/officeDocument/2006/relationships/hyperlink" Target="https://learn.microsoft.com/en-us/entra/identity/enterprise-apps/grant-admin-consent" TargetMode="External"/><Relationship Id="rId70" Type="http://schemas.openxmlformats.org/officeDocument/2006/relationships/hyperlink" Target="https://docs.github.com/en/account-and-profile/how-tos/account-management/moving-your-work-to-an-organizatio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arn.microsoft.com/en-us/entra/identity-platform/reply-url" TargetMode="External"/><Relationship Id="rId23" Type="http://schemas.openxmlformats.org/officeDocument/2006/relationships/hyperlink" Target="https://learn.microsoft.com/en-us/azure/cost-management-billing/costs/tutorial-acm-create-budgets" TargetMode="External"/><Relationship Id="rId28" Type="http://schemas.openxmlformats.org/officeDocument/2006/relationships/hyperlink" Target="https://learn.microsoft.com/en-us/cli/azure/webapp%20%20?view=azure-cli-latest" TargetMode="External"/><Relationship Id="rId36" Type="http://schemas.openxmlformats.org/officeDocument/2006/relationships/hyperlink" Target="https://learn.microsoft.com/en-us/azure/service-health/" TargetMode="External"/><Relationship Id="rId49" Type="http://schemas.openxmlformats.org/officeDocument/2006/relationships/hyperlink" Target="https://learn.microsoft.com/en-us/azure/app-service/overview-private-endpoint" TargetMode="External"/><Relationship Id="rId57" Type="http://schemas.openxmlformats.org/officeDocument/2006/relationships/hyperlink" Target="https://learn.microsoft.com/en-us/azure/storage/common/storage-network-security-overview" TargetMode="External"/><Relationship Id="rId10" Type="http://schemas.openxmlformats.org/officeDocument/2006/relationships/hyperlink" Target="https://docs.github.com/en/account-and-profile/how-tos/account-management/moving-your-work-to-an-organization" TargetMode="External"/><Relationship Id="rId31" Type="http://schemas.openxmlformats.org/officeDocument/2006/relationships/hyperlink" Target="https://learn.microsoft.com/en-us/azure/app-service/configure-ssl-certificate" TargetMode="External"/><Relationship Id="rId44" Type="http://schemas.openxmlformats.org/officeDocument/2006/relationships/hyperlink" Target="https://learn.microsoft.com/en-us/cli/azure/webapp%20%20?view=azure-cli-latest" TargetMode="External"/><Relationship Id="rId52" Type="http://schemas.openxmlformats.org/officeDocument/2006/relationships/hyperlink" Target="https://learn.microsoft.com/en-us/azure/azure-sql/database/authentication-aad-configure?view=azuresql" TargetMode="External"/><Relationship Id="rId60" Type="http://schemas.openxmlformats.org/officeDocument/2006/relationships/hyperlink" Target="https://learn.microsoft.com/en-us/entra/identity-platform/scenario-protected-web-api-expose-scopes" TargetMode="External"/><Relationship Id="rId65" Type="http://schemas.openxmlformats.org/officeDocument/2006/relationships/hyperlink" Target="https://learn.microsoft.com/en-au/azure/azure-monitor/app/availability"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arn.microsoft.com/en-us/aspnet/core/security/data-protection/implementation/key-storage-providers?view=aspnetcore-10.0" TargetMode="External"/><Relationship Id="rId13" Type="http://schemas.openxmlformats.org/officeDocument/2006/relationships/hyperlink" Target="https://learn.microsoft.com/en-us/azure/azure-resource-manager/bicep/deploy-cli" TargetMode="External"/><Relationship Id="rId18" Type="http://schemas.openxmlformats.org/officeDocument/2006/relationships/hyperlink" Target="https://learn.microsoft.com/en-gb/entra/identity-platform/howto-restrict-your-app-to-a-set-of-users" TargetMode="External"/><Relationship Id="rId39" Type="http://schemas.openxmlformats.org/officeDocument/2006/relationships/hyperlink" Target="https://learn.microsoft.com/en-us/aspnet/core/host-and-deploy/aspnet-core-module?view=aspnetcore-10.0" TargetMode="External"/><Relationship Id="rId34" Type="http://schemas.openxmlformats.org/officeDocument/2006/relationships/hyperlink" Target="https://learn.microsoft.com/en-us/azure/app-service/monitor-instances-health-check" TargetMode="External"/><Relationship Id="rId50" Type="http://schemas.openxmlformats.org/officeDocument/2006/relationships/hyperlink" Target="https://learn.microsoft.com/en-us/entra/identity/managed-identities-azure-resources/overview" TargetMode="External"/><Relationship Id="rId55" Type="http://schemas.openxmlformats.org/officeDocument/2006/relationships/hyperlink" Target="https://learn.microsoft.com/en-us/azure/azure-sql/database/automated-backups-overview?view=azuresql" TargetMode="External"/><Relationship Id="rId7" Type="http://schemas.openxmlformats.org/officeDocument/2006/relationships/endnotes" Target="endnotes.xml"/><Relationship Id="rId71" Type="http://schemas.openxmlformats.org/officeDocument/2006/relationships/hyperlink" Target="https://docs.github.com/en/repositories/configuring-branches-and-merges-in-your-repository/managing-rulesets/about-rule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12762</Words>
  <Characters>72748</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i-Elevate Azure Production Implementation Guide</dc:title>
  <dc:subject>Implementation and handover guide for deploying i-Elevate to Azure, with an on-campus SQL Server annex</dc:subject>
  <dc:creator/>
  <cp:keywords>i-Elevate, Azure, implementation, App Service, Azure SQL, Microsoft Entra, handover</cp:keywords>
  <dc:description>Controlled implementation guide generated from the inspected repository baseline.</dc:description>
  <cp:lastModifiedBy/>
  <cp:revision>2</cp:revision>
  <dcterms:created xsi:type="dcterms:W3CDTF">2013-12-23T23:15:00Z</dcterms:created>
  <dcterms:modified xsi:type="dcterms:W3CDTF">2026-08-25T21:58:00Z</dcterms:modified>
  <cp:category>Implementation guide</cp:category>
</cp:coreProperties>
</file>