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61"/>
        <w:gridCol w:w="4561"/>
      </w:tblGrid>
      <w:tr>
        <w:tc>
          <w:tcPr>
            <w:tcW w:type="dxa" w:w="4561"/>
          </w:tcPr>
          <w:p>
            <w:r/>
            <w:r>
              <w:rPr>
                <w:b/>
                <w:color w:val="1A1A8C"/>
                <w:sz w:val="20"/>
              </w:rPr>
              <w:t>UNIVERSIDAD LIBRE DE COLOMBIA</w:t>
              <w:br/>
              <w:t>FACULTAD DE DERECHO</w:t>
              <w:br/>
              <w:t>ÚLTIMO SEMESTRE — SEMILLERO DE INNOVACIÓN JUDICIAL</w:t>
            </w:r>
          </w:p>
        </w:tc>
        <w:tc>
          <w:tcPr>
            <w:tcW w:type="dxa" w:w="4561"/>
          </w:tcPr>
          <w:p>
            <w:pPr>
              <w:jc w:val="right"/>
            </w:pPr>
            <w:r>
              <w:rPr>
                <w:sz w:val="18"/>
              </w:rPr>
              <w:t>Estudiante: Daniela Cárdenas Melo</w:t>
              <w:br/>
              <w:t>Código: 2020-0567</w:t>
              <w:br/>
              <w:t>Fecha: 28 de abril de 2026</w:t>
              <w:br/>
              <w:t>Asignatura: Derecho Constitucional y Derechos Humanos</w:t>
            </w:r>
          </w:p>
        </w:tc>
      </w:tr>
    </w:tbl>
    <w:p/>
    <w:p>
      <w:pPr>
        <w:pStyle w:val="Heading1"/>
        <w:jc w:val="left"/>
      </w:pPr>
      <w:r>
        <w:rPr>
          <w:color w:val="1A1A8C"/>
        </w:rPr>
        <w:t>ANÁLISIS ÉTICO-JURÍDICO DE HERRAMIENTA DE IA JUDICIAL</w:t>
      </w:r>
    </w:p>
    <w:p>
      <w:pPr>
        <w:pStyle w:val="Heading2"/>
        <w:jc w:val="left"/>
      </w:pPr>
      <w:r>
        <w:rPr>
          <w:color w:val="C0392B"/>
        </w:rPr>
        <w:t>Justicia IA: ¿Avance o riesgo para el acceso a la justicia?</w:t>
      </w:r>
    </w:p>
    <w:p>
      <w:pPr>
        <w:pBdr>
          <w:bottom w:val="single" w:sz="6" w:space="1" w:color="1A1A8C"/>
        </w:pBdr>
      </w:pPr>
    </w:p>
    <w:p/>
    <w:p>
      <w:pPr>
        <w:pStyle w:val="Heading2"/>
        <w:jc w:val="left"/>
      </w:pPr>
      <w:r>
        <w:rPr>
          <w:color w:val="1A1A8C"/>
        </w:rPr>
        <w:t>Presentación</w:t>
      </w:r>
    </w:p>
    <w:p>
      <w:r>
        <w:rPr>
          <w:i w:val="0"/>
          <w:sz w:val="22"/>
        </w:rPr>
        <w:t>Escribo este informe desde mi perspectiva como estudiante de Derecho Constitucional y activista en derechos humanos. He participado en clínicas jurídicas con comunidades vulnerables y mi mirada sobre la tecnología judicial siempre parte de una pregunta fundamental: ¿a quién beneficia y a quién puede perjudicar? Evalúo Justicia IA con ese mismo lente crítico.</w:t>
      </w:r>
    </w:p>
    <w:p>
      <w:pPr>
        <w:pStyle w:val="Heading2"/>
        <w:jc w:val="left"/>
      </w:pPr>
      <w:r>
        <w:rPr>
          <w:color w:val="1A1A8C"/>
        </w:rPr>
        <w:t>1. Lo que la herramienta hace bien</w:t>
      </w:r>
    </w:p>
    <w:p>
      <w:r>
        <w:rPr>
          <w:i w:val="0"/>
          <w:sz w:val="22"/>
        </w:rPr>
        <w:t>Reconozco que Justicia IA ataca un problema real y documentado: la congestión judicial en Colombia es una crisis que afecta especialmente a las personas de menores recursos, que no pueden costear abogados que aceleren sus procesos. Si esta herramienta ayuda a los despachos a resolver más rápido, el principal beneficiario debería ser la ciudadanía.</w:t>
      </w:r>
    </w:p>
    <w:p>
      <w:r>
        <w:rPr>
          <w:i w:val="0"/>
          <w:sz w:val="22"/>
        </w:rPr>
        <w:t>La interfaz es accesible e intuitiva. No requiere conocimientos técnicos profundos, lo que la hace usable por funcionarios judiciales sin formación en tecnología. El sistema de temas visuales —incluyendo el modo de alto contraste— muestra consideración por la diversidad de usuarios.</w:t>
      </w:r>
    </w:p>
    <w:p>
      <w:r>
        <w:rPr>
          <w:i w:val="0"/>
          <w:sz w:val="22"/>
        </w:rPr>
        <w:t>La advertencia permanente de que 'los borradores generados por la IA no son vinculantes y la responsabilidad recae en el funcionario humano' es éticamente necesaria y me alegra que esté presente en todas las interfaces. Muchos sistemas similares omiten esta salvaguarda.</w:t>
      </w:r>
    </w:p>
    <w:p>
      <w:pPr>
        <w:pStyle w:val="Heading2"/>
        <w:jc w:val="left"/>
      </w:pPr>
      <w:r>
        <w:rPr>
          <w:color w:val="1A1A8C"/>
        </w:rPr>
        <w:t>2. Preocupaciones Fundamentales</w:t>
      </w:r>
    </w:p>
    <w:p>
      <w:r>
        <w:rPr>
          <w:b/>
        </w:rPr>
        <w:t xml:space="preserve">2.1. Sesgos estructurales del modelo: </w:t>
      </w:r>
      <w:r>
        <w:rPr>
          <w:i w:val="0"/>
          <w:sz w:val="22"/>
        </w:rPr>
        <w:t>Los modelos de lenguaje como Llama 3 se entrenan con corpus de texto en inglés de países del Norte Global. La jurisprudencia colombiana, el derecho social latinoamericano y las particularidades de nuestro sistema procesal están subrepresentados. Esto puede llevar a que el sistema 'proponga' soluciones jurídicas ajenas a nuestro contexto o que repliquen sesgos históricos contra comunidades étnicas, mujeres víctimas de violencia o trabajadores informales.</w:t>
      </w:r>
    </w:p>
    <w:p>
      <w:r>
        <w:rPr>
          <w:b/>
        </w:rPr>
        <w:t xml:space="preserve">2.2. Caso práctico observado: </w:t>
      </w:r>
      <w:r>
        <w:rPr>
          <w:i w:val="0"/>
          <w:sz w:val="22"/>
        </w:rPr>
        <w:t>Tuve la oportunidad de cargar un expediente de un proceso de restitución de tierras. La categoría asignada fue 'Civil' cuando debería haberse reconocido como un proceso especial de la Ley 1448. El chat respondió correctamente cuando pregunté directamente, pero el triage automático falló en la especificidad. En casos de víctimas del conflicto, estos errores tienen consecuencias humanas.</w:t>
      </w:r>
    </w:p>
    <w:p>
      <w:r>
        <w:rPr>
          <w:b/>
        </w:rPr>
        <w:t xml:space="preserve">2.3. Habeas Data y soberanía de la información: </w:t>
      </w:r>
      <w:r>
        <w:rPr>
          <w:i w:val="0"/>
          <w:sz w:val="22"/>
        </w:rPr>
        <w:t>La plataforma funciona con una API externa (Groq). El README reconoce este riesgo y propone LLMs locales para producción. Pero mientras eso no ocurra, los expedientes que se procesen —incluyendo datos de víctimas, menores de edad o personas en situación de vulnerabilidad— estarían pasando por servidores externos. Desde el Derecho Constitucional, esto puede vulnerar el Habeas Data y el artículo 15 de la Constitución Política.</w:t>
      </w:r>
    </w:p>
    <w:p>
      <w:r>
        <w:rPr>
          <w:b/>
        </w:rPr>
        <w:t xml:space="preserve">2.4. Riesgo de delegación acrítica: </w:t>
      </w:r>
      <w:r>
        <w:rPr>
          <w:i w:val="0"/>
          <w:sz w:val="22"/>
        </w:rPr>
        <w:t>La promesa de 'reducir el tiempo de análisis' no debe convertirse en una presión para que los jueces 'despachen más rápido'. La calidad de la justicia no se mide en velocidad. Un juez que confíe ciegamente en el borrador de la IA y lo firme sin la reflexión jurídica correspondiente estaría negando el derecho al debido proceso de las partes.</w:t>
      </w:r>
    </w:p>
    <w:p>
      <w:pPr>
        <w:pStyle w:val="Heading2"/>
        <w:jc w:val="left"/>
      </w:pPr>
      <w:r>
        <w:rPr>
          <w:color w:val="1A1A8C"/>
        </w:rPr>
        <w:t>3. Propuestas desde el Derecho Constitucional</w:t>
      </w:r>
    </w:p>
    <w:p>
      <w:pPr>
        <w:pStyle w:val="ListNumber"/>
      </w:pPr>
      <w:r>
        <w:rPr>
          <w:sz w:val="22"/>
        </w:rPr>
        <w:t>Establecer por norma que ningún borrador de IA puede incorporarse a una providencia judicial sin la revisión y rúbrica explícita del funcionario, con constancia de que se revisó el expediente original.</w:t>
      </w:r>
    </w:p>
    <w:p>
      <w:pPr>
        <w:pStyle w:val="ListNumber"/>
      </w:pPr>
      <w:r>
        <w:rPr>
          <w:sz w:val="22"/>
        </w:rPr>
        <w:t>Crear un comité de auditoría de sesgos con participación de organizaciones de derechos humanos, movimientos de mujeres y representantes de comunidades étnicas.</w:t>
      </w:r>
    </w:p>
    <w:p>
      <w:pPr>
        <w:pStyle w:val="ListNumber"/>
      </w:pPr>
      <w:r>
        <w:rPr>
          <w:sz w:val="22"/>
        </w:rPr>
        <w:t>Exigir que el modelo se entrene o fine-tune con corpus jurídico colombiano antes de su uso institucional.</w:t>
      </w:r>
    </w:p>
    <w:p>
      <w:pPr>
        <w:pStyle w:val="ListNumber"/>
      </w:pPr>
      <w:r>
        <w:rPr>
          <w:sz w:val="22"/>
        </w:rPr>
        <w:t>Desarrollar un protocolo especial para expedientes que involucren víctimas del conflicto armado, menores o población LGBTIQ+.</w:t>
      </w:r>
    </w:p>
    <w:p>
      <w:pPr>
        <w:pStyle w:val="ListNumber"/>
      </w:pPr>
      <w:r>
        <w:rPr>
          <w:sz w:val="22"/>
        </w:rPr>
        <w:t>Garantizar que el modelo sea de código abierto y auditado por el Ministerio de Justicia antes de su despliegue oficial.</w:t>
      </w:r>
    </w:p>
    <w:p>
      <w:pPr>
        <w:pStyle w:val="Heading2"/>
        <w:jc w:val="left"/>
      </w:pPr>
      <w:r>
        <w:rPr>
          <w:color w:val="1A1A8C"/>
        </w:rPr>
        <w:t>4. Valoración Final</w:t>
      </w:r>
    </w:p>
    <w:p>
      <w:r>
        <w:rPr>
          <w:i w:val="0"/>
          <w:sz w:val="22"/>
        </w:rPr>
        <w:t>Justicia IA es una iniciativa valiosa y técnicamente competente. Pero el problema de la justicia en Colombia no es solo de velocidad: es de acceso, de equidad y de confianza institucional. La tecnología, por sí sola, no resuelve la inequidad estructural del sistema. Si se implementa con las salvaguardas adecuadas, regulación robusta y un enfoque diferencial, puede ser un gran aliado. Si se implementa apresuradamente, puede reproducir y escalar las mismas desigualdades que hoy afectan a los más vulnerables.</w:t>
      </w:r>
    </w:p>
    <w:p>
      <w:r>
        <w:rPr>
          <w:i/>
          <w:sz w:val="22"/>
        </w:rPr>
        <w:t>Mi calificación del prototipo como herramienta tecnológica: 8/10. Mi calificación de la reflexión ética incluida en el sistema: 7/10 (hay conciencia del problema, pero aún falta profundidad en las soluciones). Potencial de impacto social positivo, con las condiciones correctas: muy alto.</w:t>
      </w:r>
    </w:p>
    <w:p>
      <w:pPr>
        <w:pBdr>
          <w:bottom w:val="single" w:sz="6" w:space="1" w:color="1A1A8C"/>
        </w:pBdr>
      </w:pPr>
    </w:p>
    <w:p/>
    <w:p>
      <w:pPr>
        <w:jc w:val="right"/>
      </w:pPr>
      <w:r>
        <w:rPr>
          <w:i/>
          <w:sz w:val="20"/>
        </w:rPr>
        <w:t>Daniela Cárdenas Melo</w:t>
        <w:br/>
        <w:t>Estudiante de Derecho — X Semestre</w:t>
        <w:br/>
        <w:t>Énfasis: Derecho Constitucional y DDHH</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