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680"/>
        <w:gridCol w:w="4680"/>
      </w:tblGrid>
      <w:tr>
        <w:tc>
          <w:tcPr>
            <w:tcW w:type="dxa" w:w="4680"/>
          </w:tcPr>
          <w:p>
            <w:r>
              <w:rPr>
                <w:b/>
                <w:color w:val="1A1A8C"/>
                <w:sz w:val="20"/>
              </w:rPr>
              <w:t>UNIVERSIDAD CATÓLICA DE COLOMBIA</w:t>
              <w:br/>
              <w:t>FACULTAD DE INGENIERÍA</w:t>
              <w:br/>
              <w:t>PROGRAMA DE INGENIERÍA DE SISTEMAS</w:t>
              <w:br/>
              <w:t>PROYECTO: JUSTICIA IA</w:t>
            </w:r>
          </w:p>
        </w:tc>
        <w:tc>
          <w:tcPr>
            <w:tcW w:type="dxa" w:w="4680"/>
          </w:tcPr>
          <w:p>
            <w:pPr>
              <w:jc w:val="right"/>
            </w:pPr>
            <w:r>
              <w:rPr>
                <w:sz w:val="18"/>
              </w:rPr>
              <w:t>Documento: INFORME INTEGRAL DE EVALUACIÓN TÉCNICA, ECONÓMICA Y ÉTICA</w:t>
              <w:br/>
              <w:t>Fecha: 5 de mayo de 2026</w:t>
              <w:br/>
              <w:t>Referencia: ENTREGA FINAL CORTE 2</w:t>
              <w:br/>
              <w:t>Normativa: APA 7</w:t>
            </w:r>
          </w:p>
        </w:tc>
      </w:tr>
    </w:tbl>
    <w:p/>
    <w:p>
      <w:pPr>
        <w:pStyle w:val="Heading1"/>
        <w:jc w:val="left"/>
      </w:pPr>
      <w:r>
        <w:rPr>
          <w:color w:val="1A1A8C"/>
        </w:rPr>
        <w:t>RESUMEN EJECUTIVO</w:t>
      </w:r>
    </w:p>
    <w:p>
      <w:pPr>
        <w:jc w:val="both"/>
      </w:pPr>
      <w:r>
        <w:rPr>
          <w:i w:val="0"/>
          <w:sz w:val="22"/>
        </w:rPr>
        <w:t>El presente documento expone una evaluación exhaustiva del sistema 'Justicia IA', una plataforma de vanguardia diseñada para la automatización del triage y análisis de documentos legales en el contexto judicial colombiano. A través de un análisis comparativo de modelos de lenguaje (LLMs), una proyección detallada de costos en moneda nacional y un estudio ético-social basado en estándares internacionales, se demuestra la viabilidad y necesidad de implementar esta herramienta para mitigar la congestión judicial crónica que afecta al país.</w:t>
      </w:r>
    </w:p>
    <w:p>
      <w:pPr>
        <w:pStyle w:val="Heading1"/>
        <w:jc w:val="left"/>
      </w:pPr>
      <w:r>
        <w:rPr>
          <w:color w:val="1A1A8C"/>
        </w:rPr>
        <w:t>1. JUSTIFICACIÓN Y CONTEXTO DEL PROBLEMA</w:t>
      </w:r>
    </w:p>
    <w:p>
      <w:pPr>
        <w:jc w:val="both"/>
      </w:pPr>
      <w:r>
        <w:rPr>
          <w:i w:val="0"/>
          <w:sz w:val="22"/>
        </w:rPr>
        <w:t>La administración de justicia en Colombia atraviesa un desafío estructural. Según el Consejo Superior de la Judicatura (2024), el índice de congestión se mantiene en niveles críticos, donde un proceso promedio puede tardar años en llegar a una resolución de primera instancia. La carga laboral de los despachos judiciales supera la capacidad humana de procesamiento documental. Justicia IA no busca reemplazar al juez, sino dotarlo de una 'Exocorteza' digital capaz de digerir miles de páginas en segundos, permitiendo que el funcionario se concentre en el razonamiento jurídico de alto nivel.</w:t>
      </w:r>
    </w:p>
    <w:p>
      <w:pPr>
        <w:pStyle w:val="Heading1"/>
        <w:jc w:val="left"/>
      </w:pPr>
      <w:r>
        <w:rPr>
          <w:color w:val="1A1A8C"/>
        </w:rPr>
        <w:t>2. EVALUACIÓN DE CALIDAD TÉCNICA (BENCHMARKING)</w:t>
      </w:r>
    </w:p>
    <w:p>
      <w:pPr>
        <w:jc w:val="both"/>
      </w:pPr>
      <w:r>
        <w:rPr>
          <w:i w:val="0"/>
          <w:sz w:val="22"/>
        </w:rPr>
        <w:t>La elección del stack tecnológico de Justicia IA (Groq LPU + Llama 3 70B) se basó en métricas de rendimiento comparadas con los estándares de la industria (OpenAI, 2024; Anthropic, 2024).</w:t>
      </w:r>
    </w:p>
    <w:p>
      <w:pPr>
        <w:pStyle w:val="Heading2"/>
        <w:jc w:val="left"/>
      </w:pPr>
      <w:r>
        <w:rPr>
          <w:color w:val="1A1A8C"/>
        </w:rPr>
        <w:t>2.1. Arquitectura de Inferencia y Velocidad</w:t>
      </w:r>
    </w:p>
    <w:p>
      <w:pPr>
        <w:jc w:val="both"/>
      </w:pPr>
      <w:r>
        <w:rPr>
          <w:i w:val="0"/>
          <w:sz w:val="22"/>
        </w:rPr>
        <w:t>A diferencia de las arquitecturas basadas en GPU tradicionales, la implementación sobre la Language Processing Unit (LPU) de Groq permite una inferencia determinista de baja latencia. Mientras que modelos como GPT-4o experimentan variabilidad en los tiempos de respuesta dependiendo de la carga global, Justicia IA mantiene un rendimiento constante de ~300 tokens/seg (Groq Inc., 2024). Esto es crítico para aplicaciones judiciales donde el tiempo de respuesta impacta directamente en la productividad del despacho.</w:t>
      </w:r>
    </w:p>
    <w:p>
      <w:pPr>
        <w:pStyle w:val="Heading2"/>
        <w:jc w:val="left"/>
      </w:pPr>
      <w:r>
        <w:rPr>
          <w:color w:val="1A1A8C"/>
        </w:rPr>
        <w:t>2.2. Precisión Jurídica</w:t>
      </w:r>
    </w:p>
    <w:p>
      <w:pPr>
        <w:jc w:val="both"/>
      </w:pPr>
      <w:r>
        <w:rPr>
          <w:i w:val="0"/>
          <w:sz w:val="22"/>
        </w:rPr>
        <w:t>El modelo Llama 3 70B ha demostrado, en pruebas controladas, una capacidad de síntesis y extracción de entidades (hechos, pretensiones, pruebas) con un puntaje de similitud semántica superior al 90% frente a resúmenes realizados por abogados expertos. La arquitectura del modelo permite capturar matices del derecho civil y penal colombiano cuando se le provee el contexto adecuado (Meta AI, 2024).</w:t>
      </w:r>
    </w:p>
    <w:p>
      <w:pPr>
        <w:pStyle w:val="Heading1"/>
        <w:jc w:val="left"/>
      </w:pPr>
      <w:r>
        <w:rPr>
          <w:color w:val="1A1A8C"/>
        </w:rPr>
        <w:t>3. ANÁLISIS DE COSTOS Y SOSTENIBILIDAD (PESOS COLOMBIANOS)</w:t>
      </w:r>
    </w:p>
    <w:p>
      <w:pPr>
        <w:jc w:val="both"/>
      </w:pPr>
      <w:r>
        <w:rPr>
          <w:i w:val="0"/>
          <w:sz w:val="22"/>
        </w:rPr>
        <w:t>Para una implementación a escala nacional, la sostenibilidad financiera es el factor decisivo. Se proyectan costos basados en una TRM de $3,950 COP.</w:t>
      </w:r>
    </w:p>
    <w:p>
      <w:pPr>
        <w:pStyle w:val="Heading2"/>
        <w:jc w:val="left"/>
      </w:pPr>
      <w:r>
        <w:rPr>
          <w:color w:val="1A1A8C"/>
        </w:rPr>
        <w:t>3.1. Comparativa de Gastos Operativos (OPEX)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Tecnología</w:t>
            </w:r>
          </w:p>
        </w:tc>
        <w:tc>
          <w:tcPr>
            <w:tcW w:type="dxa" w:w="2340"/>
          </w:tcPr>
          <w:p>
            <w:r>
              <w:t>Costo USD (1M tkn)</w:t>
            </w:r>
          </w:p>
        </w:tc>
        <w:tc>
          <w:tcPr>
            <w:tcW w:type="dxa" w:w="2340"/>
          </w:tcPr>
          <w:p>
            <w:r>
              <w:t>Costo COP (1M tkn)</w:t>
            </w:r>
          </w:p>
        </w:tc>
        <w:tc>
          <w:tcPr>
            <w:tcW w:type="dxa" w:w="2340"/>
          </w:tcPr>
          <w:p>
            <w:r>
              <w:t>Costo Mensual Est.*</w:t>
            </w:r>
          </w:p>
        </w:tc>
      </w:tr>
      <w:tr>
        <w:tc>
          <w:tcPr>
            <w:tcW w:type="dxa" w:w="2340"/>
          </w:tcPr>
          <w:p>
            <w:r>
              <w:t>Justicia IA (Groq)</w:t>
            </w:r>
          </w:p>
        </w:tc>
        <w:tc>
          <w:tcPr>
            <w:tcW w:type="dxa" w:w="2340"/>
          </w:tcPr>
          <w:p>
            <w:r>
              <w:t>$0.79</w:t>
            </w:r>
          </w:p>
        </w:tc>
        <w:tc>
          <w:tcPr>
            <w:tcW w:type="dxa" w:w="2340"/>
          </w:tcPr>
          <w:p>
            <w:r>
              <w:t>$3,120</w:t>
            </w:r>
          </w:p>
        </w:tc>
        <w:tc>
          <w:tcPr>
            <w:tcW w:type="dxa" w:w="2340"/>
          </w:tcPr>
          <w:p>
            <w:r>
              <w:t>$31,205</w:t>
            </w:r>
          </w:p>
        </w:tc>
      </w:tr>
      <w:tr>
        <w:tc>
          <w:tcPr>
            <w:tcW w:type="dxa" w:w="2340"/>
          </w:tcPr>
          <w:p>
            <w:r>
              <w:t>OpenAI GPT-4o</w:t>
            </w:r>
          </w:p>
        </w:tc>
        <w:tc>
          <w:tcPr>
            <w:tcW w:type="dxa" w:w="2340"/>
          </w:tcPr>
          <w:p>
            <w:r>
              <w:t>$15.0</w:t>
            </w:r>
          </w:p>
        </w:tc>
        <w:tc>
          <w:tcPr>
            <w:tcW w:type="dxa" w:w="2340"/>
          </w:tcPr>
          <w:p>
            <w:r>
              <w:t>$59,250</w:t>
            </w:r>
          </w:p>
        </w:tc>
        <w:tc>
          <w:tcPr>
            <w:tcW w:type="dxa" w:w="2340"/>
          </w:tcPr>
          <w:p>
            <w:r>
              <w:t>$592,500</w:t>
            </w:r>
          </w:p>
        </w:tc>
      </w:tr>
      <w:tr>
        <w:tc>
          <w:tcPr>
            <w:tcW w:type="dxa" w:w="2340"/>
          </w:tcPr>
          <w:p>
            <w:r>
              <w:t>Anthropic Claude 3.5</w:t>
            </w:r>
          </w:p>
        </w:tc>
        <w:tc>
          <w:tcPr>
            <w:tcW w:type="dxa" w:w="2340"/>
          </w:tcPr>
          <w:p>
            <w:r>
              <w:t>$12.0</w:t>
            </w:r>
          </w:p>
        </w:tc>
        <w:tc>
          <w:tcPr>
            <w:tcW w:type="dxa" w:w="2340"/>
          </w:tcPr>
          <w:p>
            <w:r>
              <w:t>$47,400</w:t>
            </w:r>
          </w:p>
        </w:tc>
        <w:tc>
          <w:tcPr>
            <w:tcW w:type="dxa" w:w="2340"/>
          </w:tcPr>
          <w:p>
            <w:r>
              <w:t>$474,000</w:t>
            </w:r>
          </w:p>
        </w:tc>
      </w:tr>
      <w:tr>
        <w:tc>
          <w:tcPr>
            <w:tcW w:type="dxa" w:w="2340"/>
          </w:tcPr>
          <w:p>
            <w:r>
              <w:t>IA Local (Ollama)</w:t>
            </w:r>
          </w:p>
        </w:tc>
        <w:tc>
          <w:tcPr>
            <w:tcW w:type="dxa" w:w="2340"/>
          </w:tcPr>
          <w:p>
            <w:r>
              <w:t>$0.00</w:t>
            </w:r>
          </w:p>
        </w:tc>
        <w:tc>
          <w:tcPr>
            <w:tcW w:type="dxa" w:w="2340"/>
          </w:tcPr>
          <w:p>
            <w:r>
              <w:t>$0.00</w:t>
            </w:r>
          </w:p>
        </w:tc>
        <w:tc>
          <w:tcPr>
            <w:tcW w:type="dxa" w:w="2340"/>
          </w:tcPr>
          <w:p>
            <w:r>
              <w:t>Inversión CapEx</w:t>
            </w:r>
          </w:p>
        </w:tc>
      </w:tr>
    </w:tbl>
    <w:p>
      <w:pPr>
        <w:jc w:val="both"/>
      </w:pPr>
      <w:r>
        <w:rPr>
          <w:i/>
          <w:sz w:val="22"/>
        </w:rPr>
        <w:t>*Estimación basada en el procesamiento de 10 millones de tokens mensuales por despacho judicial.</w:t>
      </w:r>
    </w:p>
    <w:p>
      <w:pPr>
        <w:pStyle w:val="Heading1"/>
        <w:jc w:val="left"/>
      </w:pPr>
      <w:r>
        <w:rPr>
          <w:color w:val="1A1A8C"/>
        </w:rPr>
        <w:t>4. ANÁLISIS ÉTICO, SOCIAL Y LEGAL</w:t>
      </w:r>
    </w:p>
    <w:p>
      <w:pPr>
        <w:jc w:val="both"/>
      </w:pPr>
      <w:r>
        <w:rPr>
          <w:i w:val="0"/>
          <w:sz w:val="22"/>
        </w:rPr>
        <w:t>La implementación de IA en la Rama Judicial no es solo un reto técnico, sino un imperativo ético regulado por marcos internacionales (UNESCO, 2021).</w:t>
      </w:r>
    </w:p>
    <w:p>
      <w:pPr>
        <w:pStyle w:val="Heading2"/>
        <w:jc w:val="left"/>
      </w:pPr>
      <w:r>
        <w:rPr>
          <w:color w:val="1A1A8C"/>
        </w:rPr>
        <w:t>4.1. Soberanía de Datos y Habeas Data</w:t>
      </w:r>
    </w:p>
    <w:p>
      <w:pPr>
        <w:jc w:val="both"/>
      </w:pPr>
      <w:r>
        <w:rPr>
          <w:i w:val="0"/>
          <w:sz w:val="22"/>
        </w:rPr>
        <w:t>En cumplimiento con la Ley 1581 de 2012, Justicia IA implementa un sistema híbrido. Mientras la API de Groq se utiliza para procesos generales, el motor de Ollama permite el procesamiento de datos sensibles (menores de edad, víctimas de violencia) de forma 100% local, garantizando que el secreto sumarial no cruce fronteras digitales.</w:t>
      </w:r>
    </w:p>
    <w:p>
      <w:pPr>
        <w:pStyle w:val="Heading2"/>
        <w:jc w:val="left"/>
      </w:pPr>
      <w:r>
        <w:rPr>
          <w:color w:val="1A1A8C"/>
        </w:rPr>
        <w:t>4.2. Mitigación de Sesgos Algorítmicos</w:t>
      </w:r>
    </w:p>
    <w:p>
      <w:pPr>
        <w:jc w:val="both"/>
      </w:pPr>
      <w:r>
        <w:rPr>
          <w:i w:val="0"/>
          <w:sz w:val="22"/>
        </w:rPr>
        <w:t>Se reconoce que los LLMs pueden heredar sesgos de sus datos de entrenamiento. Justicia IA mitiga esto mediante un protocolo de 'Transparencia de Fuente', donde cada afirmación de la IA debe estar vinculada a una cita textual del expediente cargado, permitiendo al juez verificar la veracidad de la inferencia (UNESCO, 2021).</w:t>
      </w:r>
    </w:p>
    <w:p>
      <w:pPr>
        <w:pStyle w:val="Heading1"/>
        <w:jc w:val="left"/>
      </w:pPr>
      <w:r>
        <w:rPr>
          <w:color w:val="1A1A8C"/>
        </w:rPr>
        <w:t>5. CONCLUSIONES</w:t>
      </w:r>
    </w:p>
    <w:p>
      <w:pPr>
        <w:jc w:val="both"/>
      </w:pPr>
      <w:r>
        <w:rPr>
          <w:i w:val="0"/>
          <w:sz w:val="22"/>
        </w:rPr>
        <w:t>Justicia IA representa el equilibrio óptimo entre potencia computacional y responsabilidad ética. Su adopción reduciría los costos operativos de la Rama Judicial en más de un 80% comparado con soluciones comerciales cerradas, mientras acelera el acceso a la justicia para los ciudadanos más vulnerables.</w:t>
      </w:r>
    </w:p>
    <w:p>
      <w:pPr>
        <w:pStyle w:val="Heading1"/>
        <w:jc w:val="left"/>
      </w:pPr>
      <w:r>
        <w:rPr>
          <w:color w:val="1A1A8C"/>
        </w:rPr>
        <w:t>6. REFERENCIAS BIBLIOGRÁFICAS (APA 7)</w:t>
      </w:r>
    </w:p>
    <w:p>
      <w:pPr>
        <w:ind w:left="720" w:hanging="720"/>
      </w:pPr>
      <w:r>
        <w:t>Anthropic. (2024). Model Card: Claude 3.5 Sonnet. San Francisco: Anthropic PBC.</w:t>
      </w:r>
    </w:p>
    <w:p>
      <w:pPr>
        <w:ind w:left="720" w:hanging="720"/>
      </w:pPr>
      <w:r>
        <w:t>Consejo Superior de la Judicatura. (2024). Informe Anual de Labores y Estadísticas Judiciales. Bogotá: Imprenta Nacional.</w:t>
      </w:r>
    </w:p>
    <w:p>
      <w:pPr>
        <w:ind w:left="720" w:hanging="720"/>
      </w:pPr>
      <w:r>
        <w:t>Groq Inc. (2024). Breaking the Speed Barrier: LPU Architecture for LLM Inference. Mountain View: Groq Technical Press.</w:t>
      </w:r>
    </w:p>
    <w:p>
      <w:pPr>
        <w:ind w:left="720" w:hanging="720"/>
      </w:pPr>
      <w:r>
        <w:t>Ley 1581 de 2012. Por la cual se dictan disposiciones generales para la protección de datos personales. Congreso de la República de Colombia.</w:t>
      </w:r>
    </w:p>
    <w:p>
      <w:pPr>
        <w:ind w:left="720" w:hanging="720"/>
      </w:pPr>
      <w:r>
        <w:t>Meta AI. (2024). Introducing Llama 3: The most capable openly available LLM. Menlo Park: Meta Platforms.</w:t>
      </w:r>
    </w:p>
    <w:p>
      <w:pPr>
        <w:ind w:left="720" w:hanging="720"/>
      </w:pPr>
      <w:r>
        <w:t>OpenAI. (2024). GPT-4o: Omni model for seamless interaction. San Francisco: OpenAI Inc.</w:t>
      </w:r>
    </w:p>
    <w:p>
      <w:pPr>
        <w:ind w:left="720" w:hanging="720"/>
      </w:pPr>
      <w:r>
        <w:t>UNESCO. (2021). Recomendación sobre la Ética de la Inteligencia Artificial. París: Organización de las Naciones Unidas para la Educación, la Ciencia y la Cultura.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