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A0A9C" w14:textId="77777777" w:rsidR="007C7CF0" w:rsidRPr="00EF3452" w:rsidRDefault="009A52F6">
      <w:pPr>
        <w:rPr>
          <w:rFonts w:ascii="Arial" w:hAnsi="Arial" w:cs="Arial"/>
          <w:b/>
          <w:bCs/>
        </w:rPr>
      </w:pPr>
      <w:r>
        <w:rPr>
          <w:rFonts w:ascii="Arial" w:hAnsi="Arial" w:cs="Arial"/>
          <w:b/>
          <w:bCs/>
        </w:rPr>
        <w:t>Các bài báo đáng chú ý:</w:t>
      </w:r>
    </w:p>
    <w:p w14:paraId="5485C116" w14:textId="77777777" w:rsidR="007769C7" w:rsidRPr="00FB252F" w:rsidRDefault="000B11F3" w:rsidP="008727D6">
      <w:pPr>
        <w:rPr>
          <w:rFonts w:ascii="Arial" w:hAnsi="Arial" w:cs="Arial"/>
          <w:b/>
          <w:bCs/>
          <w:i/>
          <w:iCs/>
          <w:color w:val="FF0000"/>
        </w:rPr>
      </w:pPr>
      <w:r w:rsidRPr="00FB252F">
        <w:rPr>
          <w:rFonts w:ascii="Arial" w:hAnsi="Arial" w:cs="Arial"/>
          <w:b/>
          <w:bCs/>
          <w:i/>
          <w:iCs/>
          <w:color w:val="FF0000"/>
        </w:rPr>
        <w:t>Adapting the Flexible Farrington Algorithm for daily situational awareness and alert system to support public health decision-making during the SARS-CoV-2 epidemic in England</w:t>
      </w:r>
    </w:p>
    <w:p w14:paraId="2A4D4E99" w14:textId="77777777" w:rsidR="007769C7" w:rsidRPr="00EF3452" w:rsidRDefault="007769C7">
      <w:pPr>
        <w:rPr>
          <w:rFonts w:ascii="Arial" w:hAnsi="Arial" w:cs="Arial"/>
          <w:b/>
          <w:bCs/>
          <w:i/>
          <w:iCs/>
        </w:rPr>
      </w:pPr>
      <w:r>
        <w:rPr>
          <w:rFonts w:ascii="Arial" w:hAnsi="Arial" w:cs="Arial"/>
          <w:b/>
          <w:bCs/>
          <w:i/>
          <w:iCs/>
        </w:rPr>
        <w:t>(</w:t>
      </w:r>
      <w:hyperlink r:id="rId5" w:history="1">
        <w:r>
          <w:rPr>
            <w:rStyle w:val="Hyperlink"/>
            <w:rFonts w:ascii="Arial" w:hAnsi="Arial" w:cs="Arial"/>
            <w:b/>
            <w:bCs/>
            <w:i/>
            <w:iCs/>
          </w:rPr>
          <w:t>Link</w:t>
        </w:r>
      </w:hyperlink>
      <w:r>
        <w:rPr>
          <w:rFonts w:ascii="Arial" w:hAnsi="Arial" w:cs="Arial"/>
          <w:b/>
          <w:bCs/>
          <w:i/>
          <w:iCs/>
        </w:rPr>
        <w:t>)</w:t>
      </w:r>
    </w:p>
    <w:p w14:paraId="72CD02BE" w14:textId="77777777" w:rsidR="00EF3452" w:rsidRPr="00EF3452" w:rsidRDefault="00EF3452" w:rsidP="00CD234B">
      <w:pPr>
        <w:rPr>
          <w:rFonts w:ascii="Arial" w:hAnsi="Arial" w:cs="Arial"/>
        </w:rPr>
      </w:pPr>
      <w:r>
        <w:rPr>
          <w:rFonts w:ascii="Arial" w:hAnsi="Arial" w:cs="Arial"/>
        </w:rPr>
        <w:t>Đặc điểm:</w:t>
      </w:r>
    </w:p>
    <w:p w14:paraId="3DEF37F2" w14:textId="77777777" w:rsidR="007C7CF0" w:rsidRPr="00EF3452" w:rsidRDefault="009262F2" w:rsidP="00454CA0">
      <w:pPr>
        <w:pStyle w:val="ListParagraph"/>
        <w:numPr>
          <w:ilvl w:val="0"/>
          <w:numId w:val="7"/>
        </w:numPr>
        <w:jc w:val="both"/>
        <w:rPr>
          <w:rFonts w:ascii="Arial" w:hAnsi="Arial" w:cs="Arial"/>
        </w:rPr>
      </w:pPr>
      <w:r>
        <w:rPr>
          <w:rFonts w:ascii="Arial" w:hAnsi="Arial" w:cs="Arial"/>
        </w:rPr>
        <w:t>Xây dựng mức độ cảnh báo dựa trên các phương pháp xác định ngưỡng dịch flexible farrington.</w:t>
      </w:r>
    </w:p>
    <w:p w14:paraId="1D4221BF" w14:textId="77777777" w:rsidR="00413C3D" w:rsidRDefault="00000000">
      <w:pPr>
        <w:pStyle w:val="ListParagraph"/>
        <w:numPr>
          <w:ilvl w:val="0"/>
          <w:numId w:val="7"/>
        </w:numPr>
        <w:jc w:val="both"/>
        <w:rPr>
          <w:rFonts w:ascii="Arial" w:hAnsi="Arial" w:cs="Arial"/>
        </w:rPr>
      </w:pPr>
      <w:r>
        <w:rPr>
          <w:rFonts w:ascii="Arial" w:hAnsi="Arial" w:cs="Arial"/>
        </w:rPr>
        <w:t xml:space="preserve">Điều chỉnh thuật toán Flexible Farrington (vốn chạy theo tuần, ở cấp quốc gia/vùng) thành hệ thống cảnh báo </w:t>
      </w:r>
      <w:r>
        <w:rPr>
          <w:rFonts w:ascii="Arial" w:hAnsi="Arial" w:cs="Arial"/>
          <w:b/>
          <w:bCs/>
        </w:rPr>
        <w:t>hằng ngày</w:t>
      </w:r>
      <w:r>
        <w:rPr>
          <w:rFonts w:ascii="Arial" w:hAnsi="Arial" w:cs="Arial"/>
        </w:rPr>
        <w:t xml:space="preserve"> cho 316 chính quyền địa phương cấp thấp (LTLA) ở Anh; chỉ dùng </w:t>
      </w:r>
      <w:r>
        <w:rPr>
          <w:rFonts w:ascii="Arial" w:hAnsi="Arial" w:cs="Arial"/>
          <w:b/>
          <w:bCs/>
        </w:rPr>
        <w:t>8 tuần dữ liệu gần nhất</w:t>
      </w:r>
      <w:r>
        <w:rPr>
          <w:rFonts w:ascii="Arial" w:hAnsi="Arial" w:cs="Arial"/>
        </w:rPr>
        <w:t xml:space="preserve"> để thích ứng với diễn biến dịch thay đổi nhanh.</w:t>
      </w:r>
    </w:p>
    <w:p w14:paraId="0D156645" w14:textId="77777777" w:rsidR="00413C3D" w:rsidRDefault="00000000">
      <w:pPr>
        <w:pStyle w:val="ListParagraph"/>
        <w:numPr>
          <w:ilvl w:val="0"/>
          <w:numId w:val="7"/>
        </w:numPr>
        <w:jc w:val="both"/>
        <w:rPr>
          <w:rFonts w:ascii="Arial" w:hAnsi="Arial" w:cs="Arial"/>
        </w:rPr>
      </w:pPr>
      <w:r>
        <w:rPr>
          <w:rFonts w:ascii="Arial" w:hAnsi="Arial" w:cs="Arial"/>
        </w:rPr>
        <w:t xml:space="preserve">Mô hình hồi quy quasi-Poisson trên số ca dương tính, dùng </w:t>
      </w:r>
      <w:r>
        <w:rPr>
          <w:rFonts w:ascii="Arial" w:hAnsi="Arial" w:cs="Arial"/>
          <w:b/>
          <w:bCs/>
        </w:rPr>
        <w:t>tổng số xét nghiệm làm offset</w:t>
      </w:r>
      <w:r>
        <w:rPr>
          <w:rFonts w:ascii="Arial" w:hAnsi="Arial" w:cs="Arial"/>
        </w:rPr>
        <w:t xml:space="preserve"> để hiệu chỉnh khi chiến lược xét nghiệm thay đổi (ví dụ khi đưa test nhanh kháng nguyên vào sử dụng).</w:t>
      </w:r>
    </w:p>
    <w:p w14:paraId="09011C4B" w14:textId="77777777" w:rsidR="00413C3D" w:rsidRDefault="00000000">
      <w:pPr>
        <w:pStyle w:val="ListParagraph"/>
        <w:numPr>
          <w:ilvl w:val="0"/>
          <w:numId w:val="7"/>
        </w:numPr>
        <w:jc w:val="both"/>
        <w:rPr>
          <w:rFonts w:ascii="Arial" w:hAnsi="Arial" w:cs="Arial"/>
        </w:rPr>
      </w:pPr>
      <w:r>
        <w:rPr>
          <w:rFonts w:ascii="Arial" w:hAnsi="Arial" w:cs="Arial"/>
        </w:rPr>
        <w:t xml:space="preserve">Kết quả vượt ngưỡng được </w:t>
      </w:r>
      <w:r w:rsidRPr="00673FE8">
        <w:rPr>
          <w:rFonts w:ascii="Arial" w:hAnsi="Arial" w:cs="Arial"/>
          <w:b/>
          <w:bCs/>
        </w:rPr>
        <w:t>quy đổi thành mức cảnh báo đỏ – vàng – xanh (RAG)</w:t>
      </w:r>
      <w:r>
        <w:rPr>
          <w:rFonts w:ascii="Arial" w:hAnsi="Arial" w:cs="Arial"/>
        </w:rPr>
        <w:t xml:space="preserve"> kèm biểu đồ gửi cho các nhóm bảo vệ sức khỏe địa phương, báo cáo thường quy từ 1/7/2020. Hiệu năng chỉ được đánh giá bằng RMSE của dự báo 1 ngày tới (không tính độ nhạy/độ đặc hiệu); tác giả xem đây là bằng chứng khả thi (proof-of-concept).</w:t>
      </w:r>
    </w:p>
    <w:p w14:paraId="0AA717B5" w14:textId="77777777" w:rsidR="007C7CF0" w:rsidRPr="00EF3452" w:rsidRDefault="007C7CF0">
      <w:pPr>
        <w:rPr>
          <w:rFonts w:ascii="Arial" w:hAnsi="Arial" w:cs="Arial"/>
        </w:rPr>
      </w:pPr>
    </w:p>
    <w:p w14:paraId="47451F8B" w14:textId="77777777" w:rsidR="009A52F6" w:rsidRPr="00EF3452" w:rsidRDefault="009A52F6">
      <w:pPr>
        <w:rPr>
          <w:rFonts w:ascii="Arial" w:hAnsi="Arial" w:cs="Arial"/>
          <w:b/>
          <w:bCs/>
        </w:rPr>
      </w:pPr>
      <w:r>
        <w:rPr>
          <w:rFonts w:ascii="Arial" w:hAnsi="Arial" w:cs="Arial"/>
          <w:b/>
          <w:bCs/>
        </w:rPr>
        <w:t>Các bài báo được nhận:</w:t>
      </w:r>
    </w:p>
    <w:p w14:paraId="41D7F874" w14:textId="77777777" w:rsidR="00BD16A8" w:rsidRPr="008727D6" w:rsidRDefault="00BD16A8" w:rsidP="008727D6">
      <w:pPr>
        <w:pStyle w:val="ListParagraph"/>
        <w:numPr>
          <w:ilvl w:val="0"/>
          <w:numId w:val="3"/>
        </w:numPr>
        <w:ind w:left="0" w:firstLine="284"/>
        <w:rPr>
          <w:rFonts w:ascii="Arial" w:hAnsi="Arial" w:cs="Arial"/>
          <w:b/>
          <w:bCs/>
          <w:i/>
          <w:iCs/>
          <w:lang w:val="en"/>
        </w:rPr>
      </w:pPr>
      <w:r>
        <w:rPr>
          <w:rFonts w:ascii="Arial" w:hAnsi="Arial" w:cs="Arial"/>
          <w:b/>
          <w:bCs/>
          <w:i/>
          <w:iCs/>
          <w:lang w:val="en"/>
        </w:rPr>
        <w:t>The early warning and response systems in Syria: A functionality and alert threshold assessment</w:t>
      </w:r>
    </w:p>
    <w:p w14:paraId="156355A2" w14:textId="77777777" w:rsidR="0081038E" w:rsidRPr="00EF3452" w:rsidRDefault="007769C7">
      <w:pPr>
        <w:rPr>
          <w:rFonts w:ascii="Arial" w:hAnsi="Arial" w:cs="Arial"/>
          <w:b/>
          <w:bCs/>
          <w:i/>
          <w:iCs/>
        </w:rPr>
      </w:pPr>
      <w:r>
        <w:rPr>
          <w:rFonts w:ascii="Arial" w:hAnsi="Arial" w:cs="Arial"/>
          <w:b/>
          <w:bCs/>
          <w:i/>
          <w:iCs/>
        </w:rPr>
        <w:t>(</w:t>
      </w:r>
      <w:hyperlink r:id="rId6" w:history="1">
        <w:r>
          <w:rPr>
            <w:rStyle w:val="Hyperlink"/>
            <w:rFonts w:ascii="Arial" w:hAnsi="Arial" w:cs="Arial"/>
            <w:b/>
            <w:bCs/>
            <w:i/>
            <w:iCs/>
          </w:rPr>
          <w:t>Link</w:t>
        </w:r>
      </w:hyperlink>
      <w:r>
        <w:rPr>
          <w:rFonts w:ascii="Arial" w:hAnsi="Arial" w:cs="Arial"/>
          <w:b/>
          <w:bCs/>
          <w:i/>
          <w:iCs/>
        </w:rPr>
        <w:t>)</w:t>
      </w:r>
    </w:p>
    <w:p w14:paraId="1ED8D303" w14:textId="77777777" w:rsidR="0081038E" w:rsidRPr="00EF3452" w:rsidRDefault="00EF3452">
      <w:pPr>
        <w:rPr>
          <w:rFonts w:ascii="Arial" w:hAnsi="Arial" w:cs="Arial"/>
        </w:rPr>
      </w:pPr>
      <w:r>
        <w:rPr>
          <w:rFonts w:ascii="Arial" w:hAnsi="Arial" w:cs="Arial"/>
        </w:rPr>
        <w:t>Đặc điểm:</w:t>
      </w:r>
    </w:p>
    <w:p w14:paraId="7F23E58A" w14:textId="77777777" w:rsidR="00413C3D" w:rsidRDefault="00000000">
      <w:pPr>
        <w:pStyle w:val="ListParagraph"/>
        <w:numPr>
          <w:ilvl w:val="0"/>
          <w:numId w:val="7"/>
        </w:numPr>
        <w:jc w:val="both"/>
        <w:rPr>
          <w:rFonts w:ascii="Arial" w:hAnsi="Arial" w:cs="Arial"/>
        </w:rPr>
      </w:pPr>
      <w:r>
        <w:rPr>
          <w:rFonts w:ascii="Arial" w:hAnsi="Arial" w:cs="Arial"/>
        </w:rPr>
        <w:t>Đánh giá hai hệ thống cảnh báo sớm song song ở Syria: EWARS (Bộ Y tế/WHO, 2012–2023) và EWARN (ACU, 2015–2023) về tính đầy đủ, tính kịp thời, số điểm giám sát và độ bao phủ.</w:t>
      </w:r>
    </w:p>
    <w:p w14:paraId="1F29DBF7" w14:textId="77777777" w:rsidR="00413C3D" w:rsidRDefault="00000000">
      <w:pPr>
        <w:pStyle w:val="ListParagraph"/>
        <w:numPr>
          <w:ilvl w:val="0"/>
          <w:numId w:val="7"/>
        </w:numPr>
        <w:jc w:val="both"/>
        <w:rPr>
          <w:rFonts w:ascii="Arial" w:hAnsi="Arial" w:cs="Arial"/>
        </w:rPr>
      </w:pPr>
      <w:r>
        <w:rPr>
          <w:rFonts w:ascii="Arial" w:hAnsi="Arial" w:cs="Arial"/>
        </w:rPr>
        <w:t xml:space="preserve">Thử nghiệm 3 cách xây dựng ngưỡng theo hướng dẫn WHO trên dữ liệu EWARN năm 2023 tại 4 huyện, cho sởi, tiêu chảy ra máu cấp (ABD), hội chứng vàng da cấp (AJS) và SARI: (1) </w:t>
      </w:r>
      <w:r>
        <w:rPr>
          <w:rFonts w:ascii="Arial" w:hAnsi="Arial" w:cs="Arial"/>
          <w:b/>
          <w:bCs/>
        </w:rPr>
        <w:t>bách phân vị</w:t>
      </w:r>
      <w:r>
        <w:rPr>
          <w:rFonts w:ascii="Arial" w:hAnsi="Arial" w:cs="Arial"/>
        </w:rPr>
        <w:t xml:space="preserve"> P75/P80/P85/P90 của số ca cùng tuần các năm trước; (2) "CUMSUM" = trung bình + 2SD của 3 tuần (tuần hiện tại và 2 tuần trước) – tên gọi là CUMSUM nhưng công thức thực chất gần với nhóm EARS hơn CUSUM kinh điển; (3) trung bình lịch sử của 5 tuần (tuần hiện tại ± 2 tuần) các </w:t>
      </w:r>
      <w:r>
        <w:rPr>
          <w:rFonts w:ascii="Arial" w:hAnsi="Arial" w:cs="Arial"/>
        </w:rPr>
        <w:lastRenderedPageBreak/>
        <w:t>năm trước. Đối chiếu với ngưỡng đang dùng (sởi: &gt; 5 ca/100.000 dân/huyện; các bệnh còn lại: gấp đôi trung bình 3 tuần trước).</w:t>
      </w:r>
    </w:p>
    <w:p w14:paraId="23E85DE3" w14:textId="77777777" w:rsidR="00413C3D" w:rsidRDefault="00000000">
      <w:pPr>
        <w:pStyle w:val="ListParagraph"/>
        <w:numPr>
          <w:ilvl w:val="0"/>
          <w:numId w:val="7"/>
        </w:numPr>
        <w:jc w:val="both"/>
        <w:rPr>
          <w:rFonts w:ascii="Arial" w:hAnsi="Arial" w:cs="Arial"/>
        </w:rPr>
      </w:pPr>
      <w:r>
        <w:rPr>
          <w:rFonts w:ascii="Arial" w:hAnsi="Arial" w:cs="Arial"/>
        </w:rPr>
        <w:t xml:space="preserve">Chỉ số đánh giá: độ nhạy, độ đặc hiệu, </w:t>
      </w:r>
      <w:r>
        <w:rPr>
          <w:rFonts w:ascii="Arial" w:hAnsi="Arial" w:cs="Arial"/>
          <w:b/>
          <w:bCs/>
        </w:rPr>
        <w:t>chỉ số Youden</w:t>
      </w:r>
      <w:r>
        <w:rPr>
          <w:rFonts w:ascii="Arial" w:hAnsi="Arial" w:cs="Arial"/>
        </w:rPr>
        <w:t>, AUC (đường cong ROC) và "lag window" (số tuần từ cảnh báo đầu tiên đến đỉnh dịch); các cảnh báo đã được xác minh được coi là dương tính thật.</w:t>
      </w:r>
    </w:p>
    <w:p w14:paraId="24668810" w14:textId="77777777" w:rsidR="00413C3D" w:rsidRDefault="00000000">
      <w:pPr>
        <w:pStyle w:val="ListParagraph"/>
        <w:numPr>
          <w:ilvl w:val="0"/>
          <w:numId w:val="7"/>
        </w:numPr>
        <w:jc w:val="both"/>
        <w:rPr>
          <w:rFonts w:ascii="Arial" w:hAnsi="Arial" w:cs="Arial"/>
        </w:rPr>
      </w:pPr>
      <w:r>
        <w:rPr>
          <w:rFonts w:ascii="Arial" w:hAnsi="Arial" w:cs="Arial"/>
        </w:rPr>
        <w:t>Kết quả: ngưỡng tối ưu khác nhau theo bệnh – sởi P85 (Youden 0,443; AUC 0,793), ABD P75 (Youden 0,532), SARI P90 (Youden 0,653); với AJS không phương pháp nào đạt yêu cầu. Nghiên cứu khuyến nghị dùng ngưỡng bách phân vị riêng cho từng bệnh. Hạn chế: chỉ dùng dữ liệu của 1 năm.</w:t>
      </w:r>
    </w:p>
    <w:p w14:paraId="0C7E82F1" w14:textId="77777777" w:rsidR="00EF3452" w:rsidRPr="00EF3452" w:rsidRDefault="00EF3452">
      <w:pPr>
        <w:rPr>
          <w:rFonts w:ascii="Arial" w:hAnsi="Arial" w:cs="Arial"/>
        </w:rPr>
      </w:pPr>
    </w:p>
    <w:p w14:paraId="6C7202B5" w14:textId="77777777" w:rsidR="00BD16A8" w:rsidRPr="00EF3452" w:rsidRDefault="00BD16A8" w:rsidP="008727D6">
      <w:pPr>
        <w:pStyle w:val="ListParagraph"/>
        <w:numPr>
          <w:ilvl w:val="0"/>
          <w:numId w:val="3"/>
        </w:numPr>
        <w:ind w:left="0" w:firstLine="284"/>
        <w:rPr>
          <w:rFonts w:ascii="Arial" w:hAnsi="Arial" w:cs="Arial"/>
          <w:b/>
          <w:bCs/>
          <w:i/>
          <w:iCs/>
        </w:rPr>
      </w:pPr>
      <w:r>
        <w:rPr>
          <w:rFonts w:ascii="Arial" w:hAnsi="Arial" w:cs="Arial"/>
          <w:b/>
          <w:bCs/>
          <w:i/>
          <w:iCs/>
        </w:rPr>
        <w:t>Spatial and temporal variability of respiratory syncytial virus disease seasonality in Japan, 2012-2024.</w:t>
      </w:r>
    </w:p>
    <w:p w14:paraId="6CDECB91" w14:textId="77777777" w:rsidR="007769C7" w:rsidRPr="00BD16A8" w:rsidRDefault="007769C7" w:rsidP="00BD16A8">
      <w:pPr>
        <w:rPr>
          <w:rFonts w:ascii="Arial" w:hAnsi="Arial" w:cs="Arial"/>
          <w:b/>
          <w:bCs/>
          <w:i/>
          <w:iCs/>
        </w:rPr>
      </w:pPr>
      <w:r>
        <w:rPr>
          <w:rFonts w:ascii="Arial" w:hAnsi="Arial" w:cs="Arial"/>
          <w:b/>
          <w:bCs/>
          <w:i/>
          <w:iCs/>
        </w:rPr>
        <w:t>(</w:t>
      </w:r>
      <w:hyperlink r:id="rId7" w:history="1">
        <w:r>
          <w:rPr>
            <w:rStyle w:val="Hyperlink"/>
            <w:rFonts w:ascii="Arial" w:hAnsi="Arial" w:cs="Arial"/>
            <w:b/>
            <w:bCs/>
            <w:i/>
            <w:iCs/>
          </w:rPr>
          <w:t>Link</w:t>
        </w:r>
      </w:hyperlink>
      <w:r>
        <w:rPr>
          <w:rFonts w:ascii="Arial" w:hAnsi="Arial" w:cs="Arial"/>
          <w:b/>
          <w:bCs/>
          <w:i/>
          <w:iCs/>
        </w:rPr>
        <w:t>)</w:t>
      </w:r>
    </w:p>
    <w:p w14:paraId="3A347695" w14:textId="77777777" w:rsidR="007769C7" w:rsidRDefault="0007539B">
      <w:pPr>
        <w:rPr>
          <w:rFonts w:ascii="Arial" w:hAnsi="Arial" w:cs="Arial"/>
        </w:rPr>
      </w:pPr>
      <w:r>
        <w:rPr>
          <w:rFonts w:ascii="Arial" w:hAnsi="Arial" w:cs="Arial"/>
        </w:rPr>
        <w:t>Đặc điểm:</w:t>
      </w:r>
    </w:p>
    <w:p w14:paraId="09B6042E" w14:textId="77777777" w:rsidR="0007539B" w:rsidRDefault="0007539B" w:rsidP="00673FE8">
      <w:pPr>
        <w:pStyle w:val="ListParagraph"/>
        <w:numPr>
          <w:ilvl w:val="0"/>
          <w:numId w:val="7"/>
        </w:numPr>
        <w:jc w:val="both"/>
        <w:rPr>
          <w:rFonts w:ascii="Arial" w:hAnsi="Arial" w:cs="Arial"/>
        </w:rPr>
      </w:pPr>
      <w:r>
        <w:rPr>
          <w:rFonts w:ascii="Arial" w:hAnsi="Arial" w:cs="Arial"/>
        </w:rPr>
        <w:t>So sánh hiệu quả của hai phương pháp là MEM và ngưỡng dịch cố định</w:t>
      </w:r>
    </w:p>
    <w:p w14:paraId="26CB0838" w14:textId="77777777" w:rsidR="00413C3D" w:rsidRDefault="00000000">
      <w:pPr>
        <w:pStyle w:val="ListParagraph"/>
        <w:numPr>
          <w:ilvl w:val="0"/>
          <w:numId w:val="7"/>
        </w:numPr>
        <w:jc w:val="both"/>
        <w:rPr>
          <w:rFonts w:ascii="Arial" w:hAnsi="Arial" w:cs="Arial"/>
        </w:rPr>
      </w:pPr>
      <w:r>
        <w:rPr>
          <w:rFonts w:ascii="Arial" w:hAnsi="Arial" w:cs="Arial"/>
        </w:rPr>
        <w:t>Dữ liệu khoảng 3.000 điểm giám sát trọng điểm nhi khoa của 47 tỉnh Nhật Bản (2012–2024); chỉ số dùng là số ca RSV trên mỗi điểm giám sát theo tuần (CPS).</w:t>
      </w:r>
    </w:p>
    <w:p w14:paraId="560705F6" w14:textId="77777777" w:rsidR="00413C3D" w:rsidRDefault="00000000">
      <w:pPr>
        <w:pStyle w:val="ListParagraph"/>
        <w:numPr>
          <w:ilvl w:val="0"/>
          <w:numId w:val="7"/>
        </w:numPr>
        <w:jc w:val="both"/>
        <w:rPr>
          <w:rFonts w:ascii="Arial" w:hAnsi="Arial" w:cs="Arial"/>
        </w:rPr>
      </w:pPr>
      <w:r>
        <w:rPr>
          <w:rFonts w:ascii="Arial" w:hAnsi="Arial" w:cs="Arial"/>
        </w:rPr>
        <w:t xml:space="preserve">Xây dựng 3 mức ngưỡng: ngưỡng mùa (seasonal), ngưỡng khuyến cáo (advisory) và ngưỡng báo động (alert). Kết quả cuối cùng </w:t>
      </w:r>
      <w:r>
        <w:rPr>
          <w:rFonts w:ascii="Arial" w:hAnsi="Arial" w:cs="Arial"/>
          <w:b/>
          <w:bCs/>
        </w:rPr>
        <w:t>kết hợp</w:t>
      </w:r>
      <w:r>
        <w:rPr>
          <w:rFonts w:ascii="Arial" w:hAnsi="Arial" w:cs="Arial"/>
        </w:rPr>
        <w:t xml:space="preserve"> hai phương pháp: ngưỡng mùa lấy theo phương pháp ngưỡng cố định (0,23–0,80 CPS tùy tỉnh), còn ngưỡng khuyến cáo và báo động lấy từ ngưỡng cường độ trung bình và cao của MEM.</w:t>
      </w:r>
    </w:p>
    <w:p w14:paraId="667CA25B" w14:textId="77777777" w:rsidR="00413C3D" w:rsidRDefault="00000000">
      <w:pPr>
        <w:pStyle w:val="ListParagraph"/>
        <w:numPr>
          <w:ilvl w:val="0"/>
          <w:numId w:val="7"/>
        </w:numPr>
        <w:jc w:val="both"/>
        <w:rPr>
          <w:rFonts w:ascii="Arial" w:hAnsi="Arial" w:cs="Arial"/>
        </w:rPr>
      </w:pPr>
      <w:r>
        <w:rPr>
          <w:rFonts w:ascii="Arial" w:hAnsi="Arial" w:cs="Arial"/>
        </w:rPr>
        <w:t xml:space="preserve">Dùng ngưỡng mùa để xác định thời điểm bắt đầu và độ dài mùa dịch theo từng tỉnh: thời điểm khởi phát dịch chuyển mạnh từ tháng 9–10 (mùa 2012/13) sang khoảng tháng 3–4 (năm 2024). Quy tắc chỉ công bố khởi phát khi </w:t>
      </w:r>
      <w:r>
        <w:rPr>
          <w:rFonts w:ascii="Arial" w:hAnsi="Arial" w:cs="Arial"/>
          <w:b/>
          <w:bCs/>
        </w:rPr>
        <w:t>vượt ngưỡng 2 tuần liên tiếp</w:t>
      </w:r>
      <w:r>
        <w:rPr>
          <w:rFonts w:ascii="Arial" w:hAnsi="Arial" w:cs="Arial"/>
        </w:rPr>
        <w:t xml:space="preserve"> không gây báo động giả ở hơn một nửa số tỉnh.</w:t>
      </w:r>
    </w:p>
    <w:p w14:paraId="566D5DCA" w14:textId="77777777" w:rsidR="00413C3D" w:rsidRDefault="00000000">
      <w:pPr>
        <w:pStyle w:val="ListParagraph"/>
        <w:numPr>
          <w:ilvl w:val="0"/>
          <w:numId w:val="7"/>
        </w:numPr>
        <w:jc w:val="both"/>
        <w:rPr>
          <w:rFonts w:ascii="Arial" w:hAnsi="Arial" w:cs="Arial"/>
        </w:rPr>
      </w:pPr>
      <w:r>
        <w:rPr>
          <w:rFonts w:ascii="Arial" w:hAnsi="Arial" w:cs="Arial"/>
        </w:rPr>
        <w:t>Kết luận: ở nơi mùa dịch khó dự đoán (Nhật Bản, vùng nhiệt đới/cận nhiệt đới) nên dùng ngưỡng riêng cho từng vùng/tỉnh. Nghiên cứu do Sanofi và AstraZeneca tài trợ.</w:t>
      </w:r>
    </w:p>
    <w:p w14:paraId="3CB3FB54" w14:textId="77777777" w:rsidR="0007539B" w:rsidRPr="00EF3452" w:rsidRDefault="0007539B">
      <w:pPr>
        <w:rPr>
          <w:rFonts w:ascii="Arial" w:hAnsi="Arial" w:cs="Arial"/>
        </w:rPr>
      </w:pPr>
    </w:p>
    <w:p w14:paraId="5FBDA366" w14:textId="77777777" w:rsidR="00BD16A8" w:rsidRPr="00EF3452" w:rsidRDefault="00BD16A8" w:rsidP="008727D6">
      <w:pPr>
        <w:pStyle w:val="ListParagraph"/>
        <w:numPr>
          <w:ilvl w:val="0"/>
          <w:numId w:val="3"/>
        </w:numPr>
        <w:ind w:left="0" w:firstLine="284"/>
        <w:rPr>
          <w:rFonts w:ascii="Arial" w:hAnsi="Arial" w:cs="Arial"/>
          <w:b/>
          <w:bCs/>
          <w:i/>
          <w:iCs/>
        </w:rPr>
      </w:pPr>
      <w:r>
        <w:rPr>
          <w:rFonts w:ascii="Arial" w:hAnsi="Arial" w:cs="Arial"/>
          <w:b/>
          <w:bCs/>
          <w:i/>
          <w:iCs/>
        </w:rPr>
        <w:t>A statistical assessment of influenza intensity thresholds from the moving epidemic and WHO methods</w:t>
      </w:r>
    </w:p>
    <w:p w14:paraId="093270C0" w14:textId="77777777" w:rsidR="007769C7" w:rsidRPr="00EF3452" w:rsidRDefault="007769C7">
      <w:pPr>
        <w:rPr>
          <w:rFonts w:ascii="Arial" w:hAnsi="Arial" w:cs="Arial"/>
          <w:b/>
          <w:bCs/>
          <w:i/>
          <w:iCs/>
        </w:rPr>
      </w:pPr>
      <w:r>
        <w:rPr>
          <w:rFonts w:ascii="Arial" w:hAnsi="Arial" w:cs="Arial"/>
          <w:b/>
          <w:bCs/>
          <w:i/>
          <w:iCs/>
        </w:rPr>
        <w:t>(</w:t>
      </w:r>
      <w:hyperlink r:id="rId8" w:history="1">
        <w:r>
          <w:rPr>
            <w:rStyle w:val="Hyperlink"/>
            <w:rFonts w:ascii="Arial" w:hAnsi="Arial" w:cs="Arial"/>
            <w:b/>
            <w:bCs/>
            <w:i/>
            <w:iCs/>
          </w:rPr>
          <w:t>Link</w:t>
        </w:r>
      </w:hyperlink>
      <w:r>
        <w:rPr>
          <w:rFonts w:ascii="Arial" w:hAnsi="Arial" w:cs="Arial"/>
          <w:b/>
          <w:bCs/>
          <w:i/>
          <w:iCs/>
        </w:rPr>
        <w:t>)</w:t>
      </w:r>
    </w:p>
    <w:p w14:paraId="6F1C306B" w14:textId="77777777" w:rsidR="00BD16A8" w:rsidRDefault="006259EE">
      <w:pPr>
        <w:rPr>
          <w:rFonts w:ascii="Arial" w:hAnsi="Arial" w:cs="Arial"/>
        </w:rPr>
      </w:pPr>
      <w:r>
        <w:rPr>
          <w:rFonts w:ascii="Arial" w:hAnsi="Arial" w:cs="Arial"/>
        </w:rPr>
        <w:t>Đặc điểm:</w:t>
      </w:r>
    </w:p>
    <w:p w14:paraId="277A5B54" w14:textId="77777777" w:rsidR="00413C3D" w:rsidRDefault="00000000">
      <w:pPr>
        <w:pStyle w:val="ListParagraph"/>
        <w:numPr>
          <w:ilvl w:val="0"/>
          <w:numId w:val="7"/>
        </w:numPr>
        <w:jc w:val="both"/>
        <w:rPr>
          <w:rFonts w:ascii="Arial" w:hAnsi="Arial" w:cs="Arial"/>
        </w:rPr>
      </w:pPr>
      <w:r>
        <w:rPr>
          <w:rFonts w:ascii="Arial" w:hAnsi="Arial" w:cs="Arial"/>
        </w:rPr>
        <w:lastRenderedPageBreak/>
        <w:t>Nghiên cứu phương pháp luận thống kê: mô phỏng bằng bootstrap theo khối mùa (500 lần lặp) từ dữ liệu cúm/ILI của Pháp, Tây Ban Nha, Thụy Sĩ và Mỹ, với số mùa lịch sử m = 5–15.</w:t>
      </w:r>
    </w:p>
    <w:p w14:paraId="1C0E7312" w14:textId="77777777" w:rsidR="00413C3D" w:rsidRDefault="00000000">
      <w:pPr>
        <w:pStyle w:val="ListParagraph"/>
        <w:numPr>
          <w:ilvl w:val="0"/>
          <w:numId w:val="7"/>
        </w:numPr>
        <w:jc w:val="both"/>
        <w:rPr>
          <w:rFonts w:ascii="Arial" w:hAnsi="Arial" w:cs="Arial"/>
        </w:rPr>
      </w:pPr>
      <w:r w:rsidRPr="00C77043">
        <w:rPr>
          <w:rFonts w:ascii="Arial" w:hAnsi="Arial" w:cs="Arial"/>
          <w:b/>
          <w:bCs/>
        </w:rPr>
        <w:t>Đặt MEM và phương pháp WHO</w:t>
      </w:r>
      <w:r>
        <w:rPr>
          <w:rFonts w:ascii="Arial" w:hAnsi="Arial" w:cs="Arial"/>
        </w:rPr>
        <w:t xml:space="preserve"> vào một khung chung: lấy n giá trị cao nhất của mỗi mùa trong m mùa trước → biến đổi → giả định phân phối chuẩn → ngưỡng cường độ trung bình/cao/rất cao là bách phân vị 40/90/97,5. Hai điểm khác biệt: MEM dùng biến đổi log và n = 30/m giá trị mỗi mùa; WHO dùng n = 1 (chỉ lấy đỉnh) và không biến đổi.</w:t>
      </w:r>
    </w:p>
    <w:p w14:paraId="71612CF0" w14:textId="77777777" w:rsidR="00413C3D" w:rsidRDefault="00000000">
      <w:pPr>
        <w:pStyle w:val="ListParagraph"/>
        <w:numPr>
          <w:ilvl w:val="0"/>
          <w:numId w:val="7"/>
        </w:numPr>
        <w:jc w:val="both"/>
        <w:rPr>
          <w:rFonts w:ascii="Arial" w:hAnsi="Arial" w:cs="Arial"/>
        </w:rPr>
      </w:pPr>
      <w:r>
        <w:rPr>
          <w:rFonts w:ascii="Arial" w:hAnsi="Arial" w:cs="Arial"/>
        </w:rPr>
        <w:t>Đánh giá bằng tỷ lệ đỉnh mùa rơi vào từng mức cường độ so với tỷ lệ kỳ vọng (khoảng 60%, 10% và 2,5% đỉnh mùa vượt ngưỡng trung bình, cao và rất cao).</w:t>
      </w:r>
    </w:p>
    <w:p w14:paraId="3805E441" w14:textId="77777777" w:rsidR="00413C3D" w:rsidRDefault="00000000">
      <w:pPr>
        <w:pStyle w:val="ListParagraph"/>
        <w:numPr>
          <w:ilvl w:val="0"/>
          <w:numId w:val="7"/>
        </w:numPr>
        <w:jc w:val="both"/>
        <w:rPr>
          <w:rFonts w:ascii="Arial" w:hAnsi="Arial" w:cs="Arial"/>
        </w:rPr>
      </w:pPr>
      <w:r>
        <w:rPr>
          <w:rFonts w:ascii="Arial" w:hAnsi="Arial" w:cs="Arial"/>
        </w:rPr>
        <w:t xml:space="preserve">Kết quả: không biến đổi log thì quá nhiều mùa bị xếp mức cao/rất cao; MEM với n = 30/m cho ngưỡng thấp khi có ít mùa (m = 5: khoảng 1/3 đỉnh mùa ở Mỹ và Pháp bị xếp mức cao). Khuyến nghị dùng </w:t>
      </w:r>
      <w:r>
        <w:rPr>
          <w:rFonts w:ascii="Arial" w:hAnsi="Arial" w:cs="Arial"/>
          <w:b/>
          <w:bCs/>
        </w:rPr>
        <w:t>dạng lai: biến đổi log + n = 1</w:t>
      </w:r>
      <w:r>
        <w:rPr>
          <w:rFonts w:ascii="Arial" w:hAnsi="Arial" w:cs="Arial"/>
        </w:rPr>
        <w:t xml:space="preserve"> (trong gói R mem đặt i.n.max = 1). (Tóm tắt dựa trên bản preprint medRxiv 2021; bản đăng trên JRSS A có thể khác về chi tiết.)</w:t>
      </w:r>
    </w:p>
    <w:p w14:paraId="55126F33" w14:textId="77777777" w:rsidR="006259EE" w:rsidRDefault="006259EE">
      <w:pPr>
        <w:rPr>
          <w:rFonts w:ascii="Arial" w:hAnsi="Arial" w:cs="Arial"/>
        </w:rPr>
      </w:pPr>
    </w:p>
    <w:p w14:paraId="3F40CC59" w14:textId="77777777" w:rsidR="006259EE" w:rsidRPr="00EF3452" w:rsidRDefault="006259EE">
      <w:pPr>
        <w:rPr>
          <w:rFonts w:ascii="Arial" w:hAnsi="Arial" w:cs="Arial"/>
        </w:rPr>
      </w:pPr>
    </w:p>
    <w:p w14:paraId="33EC3D7C" w14:textId="77777777" w:rsidR="00BD16A8" w:rsidRPr="006259EE" w:rsidRDefault="00BD16A8" w:rsidP="008727D6">
      <w:pPr>
        <w:pStyle w:val="ListParagraph"/>
        <w:numPr>
          <w:ilvl w:val="0"/>
          <w:numId w:val="3"/>
        </w:numPr>
        <w:ind w:left="0" w:firstLine="284"/>
        <w:rPr>
          <w:rFonts w:ascii="Arial" w:hAnsi="Arial" w:cs="Arial"/>
          <w:b/>
          <w:bCs/>
          <w:i/>
          <w:iCs/>
          <w:color w:val="FF0000"/>
        </w:rPr>
      </w:pPr>
      <w:r>
        <w:rPr>
          <w:rFonts w:ascii="Arial" w:hAnsi="Arial" w:cs="Arial"/>
          <w:b/>
          <w:bCs/>
          <w:i/>
          <w:iCs/>
          <w:color w:val="FF0000"/>
        </w:rPr>
        <w:t>Assessing dengue forecasting methods: a comparative study of statistical models and machine learning techniques in Rio de Janeiro, Brazil</w:t>
      </w:r>
    </w:p>
    <w:p w14:paraId="08FF9F02" w14:textId="77777777" w:rsidR="007769C7" w:rsidRPr="00EF3452" w:rsidRDefault="007769C7" w:rsidP="00BD16A8">
      <w:pPr>
        <w:rPr>
          <w:rFonts w:ascii="Arial" w:hAnsi="Arial" w:cs="Arial"/>
          <w:b/>
          <w:bCs/>
          <w:i/>
          <w:iCs/>
        </w:rPr>
      </w:pPr>
      <w:r>
        <w:rPr>
          <w:rFonts w:ascii="Arial" w:hAnsi="Arial" w:cs="Arial"/>
          <w:b/>
          <w:bCs/>
          <w:i/>
          <w:iCs/>
        </w:rPr>
        <w:t>(</w:t>
      </w:r>
      <w:hyperlink r:id="rId9" w:history="1">
        <w:r>
          <w:rPr>
            <w:rStyle w:val="Hyperlink"/>
            <w:rFonts w:ascii="Arial" w:hAnsi="Arial" w:cs="Arial"/>
            <w:b/>
            <w:bCs/>
            <w:i/>
            <w:iCs/>
          </w:rPr>
          <w:t>Link</w:t>
        </w:r>
      </w:hyperlink>
      <w:r>
        <w:rPr>
          <w:rFonts w:ascii="Arial" w:hAnsi="Arial" w:cs="Arial"/>
          <w:b/>
          <w:bCs/>
          <w:i/>
          <w:iCs/>
        </w:rPr>
        <w:t>)</w:t>
      </w:r>
    </w:p>
    <w:p w14:paraId="5183C4DA" w14:textId="77777777" w:rsidR="006259EE" w:rsidRDefault="00FA7A98" w:rsidP="007665D9">
      <w:pPr>
        <w:rPr>
          <w:rFonts w:ascii="Arial" w:hAnsi="Arial" w:cs="Arial"/>
        </w:rPr>
      </w:pPr>
      <w:r>
        <w:rPr>
          <w:rFonts w:ascii="Arial" w:hAnsi="Arial" w:cs="Arial"/>
        </w:rPr>
        <w:t xml:space="preserve">Đặc điểm: </w:t>
      </w:r>
    </w:p>
    <w:p w14:paraId="4723B0B8" w14:textId="3045D5DE" w:rsidR="00FA7A98" w:rsidRPr="00EF3452" w:rsidRDefault="006259EE" w:rsidP="007665D9">
      <w:pPr>
        <w:pStyle w:val="ListParagraph"/>
        <w:numPr>
          <w:ilvl w:val="0"/>
          <w:numId w:val="7"/>
        </w:numPr>
        <w:jc w:val="both"/>
        <w:rPr>
          <w:rFonts w:ascii="Arial" w:hAnsi="Arial" w:cs="Arial"/>
        </w:rPr>
      </w:pPr>
      <w:r>
        <w:rPr>
          <w:rFonts w:ascii="Arial" w:hAnsi="Arial" w:cs="Arial"/>
        </w:rPr>
        <w:t xml:space="preserve">So sánh hiệu quả của các mô hình. Hai phương pháp mô hình hóa mới là Exponential Smoothing State Space Model (ETS) và  Vector Autoregression (VAR) </w:t>
      </w:r>
      <w:r>
        <w:rPr>
          <w:rFonts w:ascii="Arial" w:hAnsi="Arial" w:cs="Arial"/>
        </w:rPr>
        <w:t>(lưu ý: ETS chỉ dùng chuỗi số ca; các mô hình tích hợp nhiệt độ, độ ẩm làm đồng biến là VAR và SARIMAX).</w:t>
      </w:r>
      <w:r>
        <w:rPr>
          <w:rFonts w:ascii="Arial" w:hAnsi="Arial" w:cs="Arial"/>
        </w:rPr>
        <w:t xml:space="preserve"> </w:t>
      </w:r>
    </w:p>
    <w:p w14:paraId="3F3F4E4C" w14:textId="77777777" w:rsidR="00413C3D" w:rsidRDefault="00000000">
      <w:pPr>
        <w:pStyle w:val="ListParagraph"/>
        <w:numPr>
          <w:ilvl w:val="0"/>
          <w:numId w:val="7"/>
        </w:numPr>
        <w:jc w:val="both"/>
        <w:rPr>
          <w:rFonts w:ascii="Arial" w:hAnsi="Arial" w:cs="Arial"/>
        </w:rPr>
      </w:pPr>
      <w:r>
        <w:rPr>
          <w:rFonts w:ascii="Arial" w:hAnsi="Arial" w:cs="Arial"/>
        </w:rPr>
        <w:t xml:space="preserve">Đây là bài toán </w:t>
      </w:r>
      <w:r>
        <w:rPr>
          <w:rFonts w:ascii="Arial" w:hAnsi="Arial" w:cs="Arial"/>
          <w:b/>
          <w:bCs/>
        </w:rPr>
        <w:t>dự báo</w:t>
      </w:r>
      <w:r>
        <w:rPr>
          <w:rFonts w:ascii="Arial" w:hAnsi="Arial" w:cs="Arial"/>
        </w:rPr>
        <w:t xml:space="preserve"> số ca SXH theo tuần ở Rio de Janeiro (2016–2023, dữ liệu InfoDengue), không trực tiếp xây dựng ngưỡng dịch. Dùng cửa sổ trượt 6 năm (312 tuần), dự báo trước 1, 2, 3, 4, 8 và 12 tuần.</w:t>
      </w:r>
    </w:p>
    <w:p w14:paraId="7AAB9013" w14:textId="77777777" w:rsidR="00413C3D" w:rsidRDefault="00000000">
      <w:pPr>
        <w:pStyle w:val="ListParagraph"/>
        <w:numPr>
          <w:ilvl w:val="0"/>
          <w:numId w:val="7"/>
        </w:numPr>
        <w:jc w:val="both"/>
        <w:rPr>
          <w:rFonts w:ascii="Arial" w:hAnsi="Arial" w:cs="Arial"/>
        </w:rPr>
      </w:pPr>
      <w:r>
        <w:rPr>
          <w:rFonts w:ascii="Arial" w:hAnsi="Arial" w:cs="Arial"/>
        </w:rPr>
        <w:t>Các mô hình so sánh: thống kê AR(1), MA(1), ARIMA, ETS; có đồng biến SARIMAX, VAR (thêm biến trễ 1–4 tuần); học máy Random Forest, XGBoost, SVM, LSTM, Prophet; và các mô hình kết hợp (ensemble). Khoảng bất định tính bằng adaptive conformal prediction.</w:t>
      </w:r>
    </w:p>
    <w:p w14:paraId="22C31A45" w14:textId="77777777" w:rsidR="00413C3D" w:rsidRDefault="00000000">
      <w:pPr>
        <w:pStyle w:val="ListParagraph"/>
        <w:numPr>
          <w:ilvl w:val="0"/>
          <w:numId w:val="7"/>
        </w:numPr>
        <w:jc w:val="both"/>
        <w:rPr>
          <w:rFonts w:ascii="Arial" w:hAnsi="Arial" w:cs="Arial"/>
        </w:rPr>
      </w:pPr>
      <w:r>
        <w:rPr>
          <w:rFonts w:ascii="Arial" w:hAnsi="Arial" w:cs="Arial"/>
        </w:rPr>
        <w:t>Chỉ số đánh giá: MAE, MAPE, RMSE, xác suất bao phủ của khoảng 95% và thời gian tính toán.</w:t>
      </w:r>
    </w:p>
    <w:p w14:paraId="31D39C2A" w14:textId="77777777" w:rsidR="00413C3D" w:rsidRDefault="00000000">
      <w:pPr>
        <w:pStyle w:val="ListParagraph"/>
        <w:numPr>
          <w:ilvl w:val="0"/>
          <w:numId w:val="7"/>
        </w:numPr>
        <w:jc w:val="both"/>
        <w:rPr>
          <w:rFonts w:ascii="Arial" w:hAnsi="Arial" w:cs="Arial"/>
        </w:rPr>
      </w:pPr>
      <w:r>
        <w:rPr>
          <w:rFonts w:ascii="Arial" w:hAnsi="Arial" w:cs="Arial"/>
        </w:rPr>
        <w:t xml:space="preserve">Kết quả: chỉ dùng số ca thì ARIMA tốt nhất trong nhóm thống kê; thêm khí hậu thì SARIMAX cải thiện rõ; LSTM kèm đồng biến chính xác nhất nhưng chậm nhất (khoảng 12–13 phút so với 16–29 giây của ARIMA/SARIMAX); Prophet kèm đồng </w:t>
      </w:r>
      <w:r>
        <w:rPr>
          <w:rFonts w:ascii="Arial" w:hAnsi="Arial" w:cs="Arial"/>
        </w:rPr>
        <w:lastRenderedPageBreak/>
        <w:t xml:space="preserve">biến tốt nhất ở tầm 12 tuần; </w:t>
      </w:r>
      <w:r>
        <w:rPr>
          <w:rFonts w:ascii="Arial" w:hAnsi="Arial" w:cs="Arial"/>
          <w:b/>
          <w:bCs/>
        </w:rPr>
        <w:t>ensemble LSTM–ARIMA và LSTM–SARIMAX</w:t>
      </w:r>
      <w:r>
        <w:rPr>
          <w:rFonts w:ascii="Arial" w:hAnsi="Arial" w:cs="Arial"/>
        </w:rPr>
        <w:t xml:space="preserve"> tốt nhất ở tầm ngắn. ETS kém ở tầm 8–12 tuần, VAR không vượt trội. Mã nguồn có trên GitHub.</w:t>
      </w:r>
    </w:p>
    <w:p w14:paraId="1E1ABB98" w14:textId="77777777" w:rsidR="00BD16A8" w:rsidRPr="00EF3452" w:rsidRDefault="00BD16A8">
      <w:pPr>
        <w:rPr>
          <w:rFonts w:ascii="Arial" w:hAnsi="Arial" w:cs="Arial"/>
        </w:rPr>
      </w:pPr>
    </w:p>
    <w:p w14:paraId="029B82E0" w14:textId="77777777" w:rsidR="00FA7A98" w:rsidRPr="00EF3452" w:rsidRDefault="00FA7A98">
      <w:pPr>
        <w:rPr>
          <w:rFonts w:ascii="Arial" w:hAnsi="Arial" w:cs="Arial"/>
        </w:rPr>
      </w:pPr>
    </w:p>
    <w:p w14:paraId="22F877E2" w14:textId="77777777" w:rsidR="00BD16A8" w:rsidRPr="000E3CCF" w:rsidRDefault="00BD16A8" w:rsidP="008727D6">
      <w:pPr>
        <w:pStyle w:val="ListParagraph"/>
        <w:numPr>
          <w:ilvl w:val="0"/>
          <w:numId w:val="3"/>
        </w:numPr>
        <w:ind w:left="0" w:firstLine="284"/>
        <w:rPr>
          <w:rFonts w:ascii="Arial" w:hAnsi="Arial" w:cs="Arial"/>
          <w:b/>
          <w:bCs/>
          <w:i/>
          <w:iCs/>
          <w:color w:val="FF0000"/>
        </w:rPr>
      </w:pPr>
      <w:r>
        <w:rPr>
          <w:rFonts w:ascii="Arial" w:hAnsi="Arial" w:cs="Arial"/>
          <w:b/>
          <w:bCs/>
          <w:i/>
          <w:iCs/>
          <w:color w:val="FF0000"/>
        </w:rPr>
        <w:t>A district-level ensemble model to enhance dengue prediction and control for the Mekong Delta Region of Vietnam</w:t>
      </w:r>
    </w:p>
    <w:p w14:paraId="311BEEE6" w14:textId="77777777" w:rsidR="007769C7" w:rsidRPr="00EF3452" w:rsidRDefault="007769C7" w:rsidP="00BD16A8">
      <w:pPr>
        <w:rPr>
          <w:rFonts w:ascii="Arial" w:hAnsi="Arial" w:cs="Arial"/>
          <w:b/>
          <w:bCs/>
          <w:i/>
          <w:iCs/>
        </w:rPr>
      </w:pPr>
      <w:r>
        <w:rPr>
          <w:rFonts w:ascii="Arial" w:hAnsi="Arial" w:cs="Arial"/>
          <w:b/>
          <w:bCs/>
          <w:i/>
          <w:iCs/>
        </w:rPr>
        <w:t>(</w:t>
      </w:r>
      <w:hyperlink r:id="rId10" w:history="1">
        <w:r>
          <w:rPr>
            <w:rStyle w:val="Hyperlink"/>
            <w:rFonts w:ascii="Arial" w:hAnsi="Arial" w:cs="Arial"/>
            <w:b/>
            <w:bCs/>
            <w:i/>
            <w:iCs/>
          </w:rPr>
          <w:t>Lin</w:t>
        </w:r>
        <w:r>
          <w:rPr>
            <w:rStyle w:val="Hyperlink"/>
            <w:rFonts w:ascii="Arial" w:hAnsi="Arial" w:cs="Arial"/>
            <w:b/>
            <w:bCs/>
            <w:i/>
            <w:iCs/>
          </w:rPr>
          <w:t>k</w:t>
        </w:r>
      </w:hyperlink>
      <w:r>
        <w:rPr>
          <w:rFonts w:ascii="Arial" w:hAnsi="Arial" w:cs="Arial"/>
          <w:b/>
          <w:bCs/>
          <w:i/>
          <w:iCs/>
        </w:rPr>
        <w:t>)</w:t>
      </w:r>
    </w:p>
    <w:p w14:paraId="17A8B736" w14:textId="77777777" w:rsidR="00BD16A8" w:rsidRDefault="000E3CCF">
      <w:pPr>
        <w:rPr>
          <w:rFonts w:ascii="Arial" w:hAnsi="Arial" w:cs="Arial"/>
        </w:rPr>
      </w:pPr>
      <w:r>
        <w:rPr>
          <w:rFonts w:ascii="Arial" w:hAnsi="Arial" w:cs="Arial"/>
        </w:rPr>
        <w:t>Đặc điểm:</w:t>
      </w:r>
    </w:p>
    <w:p w14:paraId="3E895B4C" w14:textId="3040BFBF" w:rsidR="000E3CCF" w:rsidRPr="000E3CCF" w:rsidRDefault="000E3CCF" w:rsidP="0043711D">
      <w:pPr>
        <w:pStyle w:val="ListParagraph"/>
        <w:numPr>
          <w:ilvl w:val="0"/>
          <w:numId w:val="7"/>
        </w:numPr>
        <w:jc w:val="both"/>
        <w:rPr>
          <w:rFonts w:ascii="Arial" w:hAnsi="Arial" w:cs="Arial"/>
        </w:rPr>
      </w:pPr>
      <w:r>
        <w:rPr>
          <w:rFonts w:ascii="Arial" w:hAnsi="Arial" w:cs="Arial"/>
        </w:rPr>
        <w:t xml:space="preserve">Các mô hình dự báo (không gian – thời gian) được sử dụng với tổng cộng 72 phiên bản với </w:t>
      </w:r>
      <w:r>
        <w:rPr>
          <w:rFonts w:ascii="Arial" w:hAnsi="Arial" w:cs="Arial"/>
        </w:rPr>
        <w:t>3 nhóm phương pháp chính (60 mô hình Bayes phân cấp không gian – thời gian, 9 mô hình hhh4, 3 mô hình supervised PCA)</w:t>
      </w:r>
      <w:r>
        <w:rPr>
          <w:rFonts w:ascii="Arial" w:hAnsi="Arial" w:cs="Arial"/>
        </w:rPr>
        <w:t>. Nghiên cứu có tổng cộng 4 định nghĩa về bùng phát dịch (Mean + 2SD, 95</w:t>
      </w:r>
      <w:r>
        <w:rPr>
          <w:rFonts w:ascii="Arial" w:hAnsi="Arial" w:cs="Arial"/>
          <w:vertAlign w:val="superscript"/>
        </w:rPr>
        <w:t>th</w:t>
      </w:r>
      <w:r>
        <w:rPr>
          <w:rFonts w:ascii="Arial" w:hAnsi="Arial" w:cs="Arial"/>
        </w:rPr>
        <w:t xml:space="preserve"> Percentile, Poisson, ngưỡng cố định dựa trên tỷ lệ số ca trên (20-300)/100.000 dân). Để đánh giá hiệu quả của việc phát hiện bùng phát, thì nghiên cứu sử dụng </w:t>
      </w:r>
      <w:r>
        <w:rPr>
          <w:rFonts w:ascii="Arial" w:hAnsi="Arial" w:cs="Arial"/>
          <w:b/>
          <w:bCs/>
        </w:rPr>
        <w:t>chỉ số Brier</w:t>
      </w:r>
      <w:r>
        <w:rPr>
          <w:rFonts w:ascii="Arial" w:hAnsi="Arial" w:cs="Arial"/>
        </w:rPr>
        <w:t xml:space="preserve">. Trong nghiên cứu này cho thấy rằng </w:t>
      </w:r>
      <w:r>
        <w:rPr>
          <w:rFonts w:ascii="Arial" w:hAnsi="Arial" w:cs="Arial"/>
        </w:rPr>
        <w:t>ngưỡng cố định 50 ca/100.000 dân cho độ chính xác phân loại cao nhất (Brier thấp nhất), tiếp theo là P95 rồi Mean + 2SD</w:t>
      </w:r>
      <w:r>
        <w:rPr>
          <w:rFonts w:ascii="Arial" w:hAnsi="Arial" w:cs="Arial"/>
        </w:rPr>
        <w:t xml:space="preserve">. </w:t>
      </w:r>
    </w:p>
    <w:p w14:paraId="368053CB" w14:textId="77777777" w:rsidR="00413C3D" w:rsidRDefault="00000000">
      <w:pPr>
        <w:pStyle w:val="ListParagraph"/>
        <w:numPr>
          <w:ilvl w:val="0"/>
          <w:numId w:val="7"/>
        </w:numPr>
        <w:jc w:val="both"/>
        <w:rPr>
          <w:rFonts w:ascii="Arial" w:hAnsi="Arial" w:cs="Arial"/>
        </w:rPr>
      </w:pPr>
      <w:r>
        <w:rPr>
          <w:rFonts w:ascii="Arial" w:hAnsi="Arial" w:cs="Arial"/>
        </w:rPr>
        <w:t>Dữ liệu SXH theo tháng của 112 huyện vùng ĐBSCL (2004–2022): 2004–2011 dùng để phát triển mô hình, 2012–2016 kiểm định chéo chuỗi thời gian (cửa sổ mở rộng từng tháng), 2017–2022 đánh giá ngoài mẫu; dự báo trước 1–3 tháng. Khí hậu lấy từ ERA5-Land (kết quả tương đương dữ liệu trạm nội suy Kriging nhưng dễ tiếp cận hơn). Dữ liệu ca bệnh do Viện Pasteur TP.HCM cung cấp.</w:t>
      </w:r>
    </w:p>
    <w:p w14:paraId="741B5CC6" w14:textId="77777777" w:rsidR="00413C3D" w:rsidRDefault="00000000">
      <w:pPr>
        <w:pStyle w:val="ListParagraph"/>
        <w:numPr>
          <w:ilvl w:val="0"/>
          <w:numId w:val="7"/>
        </w:numPr>
        <w:jc w:val="both"/>
        <w:rPr>
          <w:rFonts w:ascii="Arial" w:hAnsi="Arial" w:cs="Arial"/>
        </w:rPr>
      </w:pPr>
      <w:r>
        <w:rPr>
          <w:rFonts w:ascii="Arial" w:hAnsi="Arial" w:cs="Arial"/>
        </w:rPr>
        <w:t xml:space="preserve">Mô hình cuối là </w:t>
      </w:r>
      <w:r>
        <w:rPr>
          <w:rFonts w:ascii="Arial" w:hAnsi="Arial" w:cs="Arial"/>
          <w:b/>
          <w:bCs/>
        </w:rPr>
        <w:t>ensemble 5 mô hình</w:t>
      </w:r>
      <w:r>
        <w:rPr>
          <w:rFonts w:ascii="Arial" w:hAnsi="Arial" w:cs="Arial"/>
        </w:rPr>
        <w:t xml:space="preserve"> (3 Bayes không gian – thời gian, 1 hhh4, 1 supervised PCA), trọng số tỷ lệ với 1/CRPS. Dự báo số ca được đánh giá bằng CRPS, bias, diffuseness; phân loại bùng phát đánh giá bằng Brier score.</w:t>
      </w:r>
    </w:p>
    <w:p w14:paraId="58C30373" w14:textId="77777777" w:rsidR="00413C3D" w:rsidRDefault="00000000">
      <w:pPr>
        <w:pStyle w:val="ListParagraph"/>
        <w:numPr>
          <w:ilvl w:val="0"/>
          <w:numId w:val="7"/>
        </w:numPr>
        <w:jc w:val="both"/>
        <w:rPr>
          <w:rFonts w:ascii="Arial" w:hAnsi="Arial" w:cs="Arial"/>
        </w:rPr>
      </w:pPr>
      <w:r>
        <w:rPr>
          <w:rFonts w:ascii="Arial" w:hAnsi="Arial" w:cs="Arial"/>
        </w:rPr>
        <w:t>Kết quả: với ngưỡng P95, ensemble đạt độ chính xác 69% ở tầm 3 tháng (mô hình tham chiếu 58%); kém ở các năm mùa dịch bất thường (2019, 2022). Các biến xã hội và phòng chống (đô thị hóa, mật độ dân số, chỉ số Breteau, số lần phun hóa chất) không cải thiện dự báo nên bị loại.</w:t>
      </w:r>
    </w:p>
    <w:p w14:paraId="4C6845CB" w14:textId="77777777" w:rsidR="000E3CCF" w:rsidRPr="00EF3452" w:rsidRDefault="000E3CCF">
      <w:pPr>
        <w:rPr>
          <w:rFonts w:ascii="Arial" w:hAnsi="Arial" w:cs="Arial"/>
        </w:rPr>
      </w:pPr>
    </w:p>
    <w:p w14:paraId="574A4F9E" w14:textId="77777777" w:rsidR="00BD16A8" w:rsidRPr="00BD16A8" w:rsidRDefault="00BD16A8" w:rsidP="008727D6">
      <w:pPr>
        <w:pStyle w:val="ListParagraph"/>
        <w:numPr>
          <w:ilvl w:val="0"/>
          <w:numId w:val="3"/>
        </w:numPr>
        <w:ind w:left="0" w:firstLine="284"/>
        <w:rPr>
          <w:rFonts w:ascii="Arial" w:hAnsi="Arial" w:cs="Arial"/>
          <w:b/>
          <w:bCs/>
          <w:i/>
          <w:iCs/>
        </w:rPr>
      </w:pPr>
      <w:r>
        <w:rPr>
          <w:rFonts w:ascii="Arial" w:hAnsi="Arial" w:cs="Arial"/>
          <w:b/>
          <w:bCs/>
          <w:i/>
          <w:iCs/>
        </w:rPr>
        <w:t>Application of the moving epidemic method for influenza surveillance in Kunming</w:t>
      </w:r>
    </w:p>
    <w:p w14:paraId="58DD3631" w14:textId="77777777" w:rsidR="007769C7" w:rsidRPr="00EF3452" w:rsidRDefault="007769C7">
      <w:pPr>
        <w:rPr>
          <w:rFonts w:ascii="Arial" w:hAnsi="Arial" w:cs="Arial"/>
          <w:b/>
          <w:bCs/>
          <w:i/>
          <w:iCs/>
        </w:rPr>
      </w:pPr>
      <w:r>
        <w:rPr>
          <w:rFonts w:ascii="Arial" w:hAnsi="Arial" w:cs="Arial"/>
          <w:b/>
          <w:bCs/>
          <w:i/>
          <w:iCs/>
        </w:rPr>
        <w:t>(</w:t>
      </w:r>
      <w:hyperlink r:id="rId11" w:history="1">
        <w:r>
          <w:rPr>
            <w:rStyle w:val="Hyperlink"/>
            <w:rFonts w:ascii="Arial" w:hAnsi="Arial" w:cs="Arial"/>
            <w:b/>
            <w:bCs/>
            <w:i/>
            <w:iCs/>
          </w:rPr>
          <w:t>Link</w:t>
        </w:r>
      </w:hyperlink>
      <w:r>
        <w:rPr>
          <w:rFonts w:ascii="Arial" w:hAnsi="Arial" w:cs="Arial"/>
          <w:b/>
          <w:bCs/>
          <w:i/>
          <w:iCs/>
        </w:rPr>
        <w:t>)</w:t>
      </w:r>
    </w:p>
    <w:p w14:paraId="3974CED1" w14:textId="77777777" w:rsidR="00BD16A8" w:rsidRDefault="007665D9">
      <w:pPr>
        <w:rPr>
          <w:rFonts w:ascii="Arial" w:hAnsi="Arial" w:cs="Arial"/>
        </w:rPr>
      </w:pPr>
      <w:r>
        <w:rPr>
          <w:rFonts w:ascii="Arial" w:hAnsi="Arial" w:cs="Arial"/>
        </w:rPr>
        <w:t>Đặc điểm:</w:t>
      </w:r>
    </w:p>
    <w:p w14:paraId="512EF9AC" w14:textId="77777777" w:rsidR="00413C3D" w:rsidRDefault="00000000">
      <w:pPr>
        <w:pStyle w:val="ListParagraph"/>
        <w:numPr>
          <w:ilvl w:val="0"/>
          <w:numId w:val="7"/>
        </w:numPr>
        <w:jc w:val="both"/>
        <w:rPr>
          <w:rFonts w:ascii="Arial" w:hAnsi="Arial" w:cs="Arial"/>
        </w:rPr>
      </w:pPr>
      <w:r>
        <w:rPr>
          <w:rFonts w:ascii="Arial" w:hAnsi="Arial" w:cs="Arial"/>
        </w:rPr>
        <w:lastRenderedPageBreak/>
        <w:t xml:space="preserve">Áp dụng MEM (gói R mem) lần đầu cho vùng cận nhiệt đới cao nguyên; chỉ số dùng là </w:t>
      </w:r>
      <w:r>
        <w:rPr>
          <w:rFonts w:ascii="Arial" w:hAnsi="Arial" w:cs="Arial"/>
          <w:b/>
          <w:bCs/>
        </w:rPr>
        <w:t>tỷ lệ dương tính cúm (PR)</w:t>
      </w:r>
      <w:r>
        <w:rPr>
          <w:rFonts w:ascii="Arial" w:hAnsi="Arial" w:cs="Arial"/>
        </w:rPr>
        <w:t xml:space="preserve"> từ 4 bệnh viện giám sát trọng điểm, các mùa 2011–2012 đến 2023–2024 (bỏ các mùa COVID-19), mỗi mùa tính từ tuần 40 đến tuần 30 năm sau. Phân tích tương quan chéo cho thấy PR đi trước tỷ lệ mắc khoảng 1 tuần.</w:t>
      </w:r>
    </w:p>
    <w:p w14:paraId="122D1BD8" w14:textId="77777777" w:rsidR="00413C3D" w:rsidRDefault="00000000">
      <w:pPr>
        <w:pStyle w:val="ListParagraph"/>
        <w:numPr>
          <w:ilvl w:val="0"/>
          <w:numId w:val="7"/>
        </w:numPr>
        <w:jc w:val="both"/>
        <w:rPr>
          <w:rFonts w:ascii="Arial" w:hAnsi="Arial" w:cs="Arial"/>
        </w:rPr>
      </w:pPr>
      <w:r>
        <w:rPr>
          <w:rFonts w:ascii="Arial" w:hAnsi="Arial" w:cs="Arial"/>
        </w:rPr>
        <w:t>MEM gồm 3 bước: (1) xác định giai đoạn dịch bằng MAP với tham số δ; (2) ngưỡng dịch = cận trên KTC 95% một phía của trung bình 30 giá trị PR cao nhất trước/sau dịch; (3) ngưỡng cường độ trung bình/cao/rất cao = cận trên 40/90/95% của trung bình nhân. δ được dò từ 1,0 đến 3,0 (bước 0,1) và chọn theo chỉ số Youden → δ = 1,1.</w:t>
      </w:r>
    </w:p>
    <w:p w14:paraId="6791F792" w14:textId="77777777" w:rsidR="00413C3D" w:rsidRDefault="00000000">
      <w:pPr>
        <w:pStyle w:val="ListParagraph"/>
        <w:numPr>
          <w:ilvl w:val="0"/>
          <w:numId w:val="7"/>
        </w:numPr>
        <w:jc w:val="both"/>
        <w:rPr>
          <w:rFonts w:ascii="Arial" w:hAnsi="Arial" w:cs="Arial"/>
        </w:rPr>
      </w:pPr>
      <w:r>
        <w:rPr>
          <w:rFonts w:ascii="Arial" w:hAnsi="Arial" w:cs="Arial"/>
        </w:rPr>
        <w:t>Chỉ số đánh giá: độ nhạy, độ đặc hiệu, PPV, NPV, Youden và tính kịp thời; kiểm định chéo theo từng mùa (loại mùa 2014–2015 vì độ nhạy chỉ 0,20, nghi do chất lượng giám sát).</w:t>
      </w:r>
    </w:p>
    <w:p w14:paraId="65D38E87" w14:textId="77777777" w:rsidR="00413C3D" w:rsidRDefault="00000000">
      <w:pPr>
        <w:pStyle w:val="ListParagraph"/>
        <w:numPr>
          <w:ilvl w:val="0"/>
          <w:numId w:val="7"/>
        </w:numPr>
        <w:jc w:val="both"/>
        <w:rPr>
          <w:rFonts w:ascii="Arial" w:hAnsi="Arial" w:cs="Arial"/>
        </w:rPr>
      </w:pPr>
      <w:r>
        <w:rPr>
          <w:rFonts w:ascii="Arial" w:hAnsi="Arial" w:cs="Arial"/>
        </w:rPr>
        <w:t>Kết quả: ngưỡng dịch khoảng 8% PR (thấp hơn Quảng Đông 11,99% và Vũ Hán 15,42%); với δ = 1,1: độ nhạy 0,74, độ đặc hiệu 0,87, Youden 0,61; mùa 2023–2024: độ nhạy 0,93, độ đặc hiệu 0,67, không trễ phát hiện, cường độ "rất cao". Có tính ngưỡng riêng theo phân típ virus, nhưng số liệu phân típ không nhất quán giữa bảng và phần bàn luận – cần thận trọng khi trích dẫn.</w:t>
      </w:r>
    </w:p>
    <w:p w14:paraId="000FBFDE" w14:textId="77777777" w:rsidR="007665D9" w:rsidRPr="00EF3452" w:rsidRDefault="007665D9">
      <w:pPr>
        <w:rPr>
          <w:rFonts w:ascii="Arial" w:hAnsi="Arial" w:cs="Arial"/>
        </w:rPr>
      </w:pPr>
    </w:p>
    <w:p w14:paraId="77404D8F" w14:textId="77777777" w:rsidR="00BD16A8" w:rsidRPr="00BD16A8" w:rsidRDefault="00BD16A8" w:rsidP="008727D6">
      <w:pPr>
        <w:pStyle w:val="ListParagraph"/>
        <w:numPr>
          <w:ilvl w:val="0"/>
          <w:numId w:val="3"/>
        </w:numPr>
        <w:ind w:left="0" w:firstLine="284"/>
        <w:rPr>
          <w:rFonts w:ascii="Arial" w:hAnsi="Arial" w:cs="Arial"/>
          <w:b/>
          <w:bCs/>
          <w:i/>
          <w:iCs/>
        </w:rPr>
      </w:pPr>
      <w:r>
        <w:rPr>
          <w:rFonts w:ascii="Arial" w:hAnsi="Arial" w:cs="Arial"/>
          <w:b/>
          <w:bCs/>
          <w:i/>
          <w:iCs/>
        </w:rPr>
        <w:t>Evaluation of Rolling Surveillance Methods in Context of Prior Aberrations: A Simulation Study With Routine Data From Low- and Middle-Income Countries.</w:t>
      </w:r>
    </w:p>
    <w:p w14:paraId="78EC63B4" w14:textId="77777777" w:rsidR="00EF3452" w:rsidRPr="00EF3452" w:rsidRDefault="00EF3452">
      <w:pPr>
        <w:rPr>
          <w:rFonts w:ascii="Arial" w:hAnsi="Arial" w:cs="Arial"/>
          <w:b/>
          <w:bCs/>
          <w:i/>
          <w:iCs/>
        </w:rPr>
      </w:pPr>
      <w:r>
        <w:rPr>
          <w:rFonts w:ascii="Arial" w:hAnsi="Arial" w:cs="Arial"/>
          <w:b/>
          <w:bCs/>
          <w:i/>
          <w:iCs/>
        </w:rPr>
        <w:t>(</w:t>
      </w:r>
      <w:hyperlink r:id="rId12" w:history="1">
        <w:r>
          <w:rPr>
            <w:rStyle w:val="Hyperlink"/>
            <w:rFonts w:ascii="Arial" w:hAnsi="Arial" w:cs="Arial"/>
            <w:b/>
            <w:bCs/>
            <w:i/>
            <w:iCs/>
          </w:rPr>
          <w:t>Link</w:t>
        </w:r>
      </w:hyperlink>
      <w:r>
        <w:rPr>
          <w:rFonts w:ascii="Arial" w:hAnsi="Arial" w:cs="Arial"/>
          <w:b/>
          <w:bCs/>
          <w:i/>
          <w:iCs/>
        </w:rPr>
        <w:t>)</w:t>
      </w:r>
    </w:p>
    <w:p w14:paraId="1FB9E881" w14:textId="77777777" w:rsidR="00413C3D" w:rsidRDefault="00000000">
      <w:pPr>
        <w:rPr>
          <w:rFonts w:ascii="Arial" w:hAnsi="Arial" w:cs="Arial"/>
        </w:rPr>
      </w:pPr>
      <w:r>
        <w:rPr>
          <w:rFonts w:ascii="Arial" w:hAnsi="Arial" w:cs="Arial"/>
        </w:rPr>
        <w:t>Đặc điểm:</w:t>
      </w:r>
    </w:p>
    <w:p w14:paraId="3A1956EF" w14:textId="77777777" w:rsidR="00413C3D" w:rsidRDefault="00000000">
      <w:pPr>
        <w:pStyle w:val="ListParagraph"/>
        <w:numPr>
          <w:ilvl w:val="0"/>
          <w:numId w:val="7"/>
        </w:numPr>
        <w:jc w:val="both"/>
        <w:rPr>
          <w:rFonts w:ascii="Arial" w:hAnsi="Arial" w:cs="Arial"/>
        </w:rPr>
      </w:pPr>
      <w:r>
        <w:rPr>
          <w:rFonts w:ascii="Arial" w:hAnsi="Arial" w:cs="Arial"/>
        </w:rPr>
        <w:t>Nghiên cứu mô phỏng dựa trên 5 năm dữ liệu nhiễm khuẩn hô hấp cấp (ARI) từ hệ thống thông tin quản lý y tế thường quy (HMIS) của Liberia. Câu hỏi: khi dữ liệu nền (baseline) có các bất thường/ổ dịch trước đó ("aberrations"), các thuật toán giám sát cuốn chiếu (rolling surveillance) bị ảnh hưởng thế nào.</w:t>
      </w:r>
    </w:p>
    <w:p w14:paraId="7928DFE5" w14:textId="77777777" w:rsidR="00413C3D" w:rsidRDefault="00000000">
      <w:pPr>
        <w:pStyle w:val="ListParagraph"/>
        <w:numPr>
          <w:ilvl w:val="0"/>
          <w:numId w:val="7"/>
        </w:numPr>
        <w:jc w:val="both"/>
        <w:rPr>
          <w:rFonts w:ascii="Arial" w:hAnsi="Arial" w:cs="Arial"/>
        </w:rPr>
      </w:pPr>
      <w:r>
        <w:rPr>
          <w:rFonts w:ascii="Arial" w:hAnsi="Arial" w:cs="Arial"/>
        </w:rPr>
        <w:t xml:space="preserve">So sánh 5 thuật toán: </w:t>
      </w:r>
      <w:r>
        <w:rPr>
          <w:rFonts w:ascii="Arial" w:hAnsi="Arial" w:cs="Arial"/>
          <w:b/>
          <w:bCs/>
        </w:rPr>
        <w:t>EARS, Farrington, Holt–Winters</w:t>
      </w:r>
      <w:r>
        <w:rPr>
          <w:rFonts w:ascii="Arial" w:hAnsi="Arial" w:cs="Arial"/>
        </w:rPr>
        <w:t xml:space="preserve"> và 2 phiên bản mô hình Weinberger–Fulcher (nhị thức âm – WF NB và quasi-Poisson – WF QP), đánh giá bằng độ nhạy và độ đặc hiệu dưới các kịch bản mô phỏng.</w:t>
      </w:r>
    </w:p>
    <w:p w14:paraId="30224290" w14:textId="77777777" w:rsidR="00413C3D" w:rsidRDefault="00000000">
      <w:pPr>
        <w:pStyle w:val="ListParagraph"/>
        <w:numPr>
          <w:ilvl w:val="0"/>
          <w:numId w:val="7"/>
        </w:numPr>
        <w:jc w:val="both"/>
        <w:rPr>
          <w:rFonts w:ascii="Arial" w:hAnsi="Arial" w:cs="Arial"/>
        </w:rPr>
      </w:pPr>
      <w:r>
        <w:rPr>
          <w:rFonts w:ascii="Arial" w:hAnsi="Arial" w:cs="Arial"/>
        </w:rPr>
        <w:t>Kết quả: aberration làm giảm độ nhạy nói chung và thứ hạng thuật toán phụ thuộc bối cảnh. Không có aberration gần đây → EARS và WF có độ nhạy cao. Có aberration trong năm cuối của baseline → Holt–Winters (trừ khi có xu hướng thời gian mạnh) và WF QP cân bằng độ nhạy – độ đặc hiệu tốt hơn; Farrington vẫn nhạy nhưng giảm độ đặc hiệu.</w:t>
      </w:r>
    </w:p>
    <w:p w14:paraId="2D605738" w14:textId="77777777" w:rsidR="00681D58" w:rsidRPr="00EF3452" w:rsidRDefault="00681D58">
      <w:pPr>
        <w:rPr>
          <w:rFonts w:ascii="Arial" w:hAnsi="Arial" w:cs="Arial"/>
        </w:rPr>
      </w:pPr>
    </w:p>
    <w:p w14:paraId="63FECF11" w14:textId="77777777" w:rsidR="00501D72" w:rsidRPr="00EF3452" w:rsidRDefault="00501D72" w:rsidP="008727D6">
      <w:pPr>
        <w:pStyle w:val="ListParagraph"/>
        <w:numPr>
          <w:ilvl w:val="0"/>
          <w:numId w:val="3"/>
        </w:numPr>
        <w:ind w:left="0" w:firstLine="284"/>
        <w:rPr>
          <w:rFonts w:ascii="Arial" w:hAnsi="Arial" w:cs="Arial"/>
          <w:b/>
          <w:bCs/>
          <w:i/>
          <w:iCs/>
        </w:rPr>
      </w:pPr>
      <w:r>
        <w:rPr>
          <w:rFonts w:ascii="Arial" w:hAnsi="Arial" w:cs="Arial"/>
          <w:b/>
          <w:bCs/>
          <w:i/>
          <w:iCs/>
        </w:rPr>
        <w:lastRenderedPageBreak/>
        <w:t>A method for robust estimation of seasonal onset and intensity in respiratory surveillance data: evaluated using data from 21 European countries</w:t>
      </w:r>
    </w:p>
    <w:p w14:paraId="415AA335" w14:textId="77777777" w:rsidR="00EF3452" w:rsidRPr="00EF3452" w:rsidRDefault="00EF3452">
      <w:pPr>
        <w:rPr>
          <w:rFonts w:ascii="Arial" w:hAnsi="Arial" w:cs="Arial"/>
          <w:b/>
          <w:bCs/>
          <w:i/>
          <w:iCs/>
        </w:rPr>
      </w:pPr>
      <w:r>
        <w:rPr>
          <w:rFonts w:ascii="Arial" w:hAnsi="Arial" w:cs="Arial"/>
          <w:b/>
          <w:bCs/>
          <w:i/>
          <w:iCs/>
        </w:rPr>
        <w:t>(</w:t>
      </w:r>
      <w:hyperlink r:id="rId13" w:history="1">
        <w:r>
          <w:rPr>
            <w:rStyle w:val="Hyperlink"/>
            <w:rFonts w:ascii="Arial" w:hAnsi="Arial" w:cs="Arial"/>
            <w:b/>
            <w:bCs/>
            <w:i/>
            <w:iCs/>
          </w:rPr>
          <w:t>Link</w:t>
        </w:r>
      </w:hyperlink>
      <w:r>
        <w:rPr>
          <w:rFonts w:ascii="Arial" w:hAnsi="Arial" w:cs="Arial"/>
          <w:b/>
          <w:bCs/>
          <w:i/>
          <w:iCs/>
        </w:rPr>
        <w:t>)</w:t>
      </w:r>
    </w:p>
    <w:p w14:paraId="4D33EE89" w14:textId="77777777" w:rsidR="00413C3D" w:rsidRDefault="00000000">
      <w:pPr>
        <w:rPr>
          <w:rFonts w:ascii="Arial" w:hAnsi="Arial" w:cs="Arial"/>
        </w:rPr>
      </w:pPr>
      <w:r>
        <w:rPr>
          <w:rFonts w:ascii="Arial" w:hAnsi="Arial" w:cs="Arial"/>
        </w:rPr>
        <w:t>Đặc điểm:</w:t>
      </w:r>
    </w:p>
    <w:p w14:paraId="5C52E625" w14:textId="77777777" w:rsidR="00413C3D" w:rsidRDefault="00000000">
      <w:pPr>
        <w:pStyle w:val="ListParagraph"/>
        <w:numPr>
          <w:ilvl w:val="0"/>
          <w:numId w:val="7"/>
        </w:numPr>
        <w:jc w:val="both"/>
        <w:rPr>
          <w:rFonts w:ascii="Arial" w:hAnsi="Arial" w:cs="Arial"/>
        </w:rPr>
      </w:pPr>
      <w:r>
        <w:rPr>
          <w:rFonts w:ascii="Arial" w:hAnsi="Arial" w:cs="Arial"/>
        </w:rPr>
        <w:t xml:space="preserve">Đề xuất phương pháp mới </w:t>
      </w:r>
      <w:r>
        <w:rPr>
          <w:rFonts w:ascii="Arial" w:hAnsi="Arial" w:cs="Arial"/>
          <w:b/>
          <w:bCs/>
        </w:rPr>
        <w:t>aedseo</w:t>
      </w:r>
      <w:r>
        <w:rPr>
          <w:rFonts w:ascii="Arial" w:hAnsi="Arial" w:cs="Arial"/>
        </w:rPr>
        <w:t xml:space="preserve"> (Đan Mạch) để phát hiện sớm thời điểm khởi phát mùa dịch và đánh giá cường độ ngay trong mùa: hồi quy GLM quasi-Poisson cuốn chiếu trên số ca theo tuần; khởi phát được công bố khi tốc độ tăng có ý nghĩa thống kê </w:t>
      </w:r>
      <w:r>
        <w:rPr>
          <w:rFonts w:ascii="Arial" w:hAnsi="Arial" w:cs="Arial"/>
          <w:b/>
          <w:bCs/>
        </w:rPr>
        <w:t>và</w:t>
      </w:r>
      <w:r>
        <w:rPr>
          <w:rFonts w:ascii="Arial" w:hAnsi="Arial" w:cs="Arial"/>
        </w:rPr>
        <w:t xml:space="preserve"> trung bình 5 tuần vượt ngưỡng đặc thù theo bệnh (T_disease) ước tính từ các mùa gần đây.</w:t>
      </w:r>
    </w:p>
    <w:p w14:paraId="7353F440" w14:textId="77777777" w:rsidR="00413C3D" w:rsidRDefault="00000000">
      <w:pPr>
        <w:pStyle w:val="ListParagraph"/>
        <w:numPr>
          <w:ilvl w:val="0"/>
          <w:numId w:val="7"/>
        </w:numPr>
        <w:jc w:val="both"/>
        <w:rPr>
          <w:rFonts w:ascii="Arial" w:hAnsi="Arial" w:cs="Arial"/>
        </w:rPr>
      </w:pPr>
      <w:r>
        <w:rPr>
          <w:rFonts w:ascii="Arial" w:hAnsi="Arial" w:cs="Arial"/>
        </w:rPr>
        <w:t>Mức cường độ: T_disease là ranh giới "rất thấp"; mức "cao" = bách phân vị 97,5 của phân phối log-normal khớp trên 3 giá trị tuần cao nhất mỗi mùa; "thấp" và "trung bình" chia đều theo thang log ở giữa.</w:t>
      </w:r>
    </w:p>
    <w:p w14:paraId="76CE4125" w14:textId="77777777" w:rsidR="00413C3D" w:rsidRDefault="00000000">
      <w:pPr>
        <w:pStyle w:val="ListParagraph"/>
        <w:numPr>
          <w:ilvl w:val="0"/>
          <w:numId w:val="7"/>
        </w:numPr>
        <w:jc w:val="both"/>
        <w:rPr>
          <w:rFonts w:ascii="Arial" w:hAnsi="Arial" w:cs="Arial"/>
        </w:rPr>
      </w:pPr>
      <w:r>
        <w:rPr>
          <w:rFonts w:ascii="Arial" w:hAnsi="Arial" w:cs="Arial"/>
        </w:rPr>
        <w:t>Kiểm định trên 63 chuỗi dữ liệu (cúm, RSV, ARI, ILI) của 21 nước châu Âu (2014/15–2023/24); so sánh thời điểm khởi phát với MEM và phân loại cường độ với MEM, WHO-ACM và MSD.</w:t>
      </w:r>
    </w:p>
    <w:p w14:paraId="61A6190F" w14:textId="77777777" w:rsidR="00413C3D" w:rsidRDefault="00000000">
      <w:pPr>
        <w:pStyle w:val="ListParagraph"/>
        <w:numPr>
          <w:ilvl w:val="0"/>
          <w:numId w:val="7"/>
        </w:numPr>
        <w:jc w:val="both"/>
        <w:rPr>
          <w:rFonts w:ascii="Arial" w:hAnsi="Arial" w:cs="Arial"/>
        </w:rPr>
      </w:pPr>
      <w:r>
        <w:rPr>
          <w:rFonts w:ascii="Arial" w:hAnsi="Arial" w:cs="Arial"/>
        </w:rPr>
        <w:t>Kết quả: aedseo báo khởi phát ở 60/63 chuỗi (MEM 55/63); khi cả hai cùng báo, aedseo sớm hơn ở 45 chuỗi, thời gian đi trước trung vị so với MEM: cúm 6,5 tuần, RSV 4,5, ARI 22, ILI 5,5. Phân loại cường độ nhất quán hơn giữa các mùa. Ưu điểm so với MEM/WHO-ACM: không cần ≥ 5 mùa lịch sử và đánh giá được cường độ trong suốt mùa (không chỉ đỉnh). Đang dùng trong hệ thống giám sát hô hấp quốc gia Đan Mạch từ mùa 2024/25; bài đã được xuất bản chính thức với tiêu đề "Evaluation of the Automated and Early Detection of Seasonal Epidemic Onset and Burden Levels (AEDSEO) method...".</w:t>
      </w:r>
    </w:p>
    <w:p w14:paraId="3C1C2E97" w14:textId="77777777" w:rsidR="00501D72" w:rsidRPr="00EF3452" w:rsidRDefault="00501D72">
      <w:pPr>
        <w:rPr>
          <w:rFonts w:ascii="Arial" w:hAnsi="Arial" w:cs="Arial"/>
        </w:rPr>
      </w:pPr>
    </w:p>
    <w:p w14:paraId="20341E0A" w14:textId="77777777" w:rsidR="00501D72" w:rsidRPr="00EF3452" w:rsidRDefault="00501D72" w:rsidP="008727D6">
      <w:pPr>
        <w:pStyle w:val="ListParagraph"/>
        <w:numPr>
          <w:ilvl w:val="0"/>
          <w:numId w:val="3"/>
        </w:numPr>
        <w:ind w:left="0" w:firstLine="284"/>
        <w:rPr>
          <w:rFonts w:ascii="Arial" w:hAnsi="Arial" w:cs="Arial"/>
          <w:b/>
          <w:bCs/>
          <w:i/>
          <w:iCs/>
        </w:rPr>
      </w:pPr>
      <w:r>
        <w:rPr>
          <w:rFonts w:ascii="Arial" w:hAnsi="Arial" w:cs="Arial"/>
          <w:b/>
          <w:bCs/>
          <w:i/>
          <w:iCs/>
        </w:rPr>
        <w:t>Estimating Dengue Outbreak Thresholds in West Africa: A Comprehensive Analysis of Climatic Influences in Burkina Faso, 2018–2024</w:t>
      </w:r>
    </w:p>
    <w:p w14:paraId="0A712E8B" w14:textId="77777777" w:rsidR="00EF3452" w:rsidRPr="00EF3452" w:rsidRDefault="00EF3452" w:rsidP="00EF3452">
      <w:pPr>
        <w:rPr>
          <w:rFonts w:ascii="Arial" w:hAnsi="Arial" w:cs="Arial"/>
          <w:b/>
          <w:bCs/>
          <w:i/>
          <w:iCs/>
        </w:rPr>
      </w:pPr>
      <w:r>
        <w:rPr>
          <w:rFonts w:ascii="Arial" w:hAnsi="Arial" w:cs="Arial"/>
          <w:b/>
          <w:bCs/>
          <w:i/>
          <w:iCs/>
        </w:rPr>
        <w:t>(</w:t>
      </w:r>
      <w:hyperlink r:id="rId14" w:history="1">
        <w:r>
          <w:rPr>
            <w:rStyle w:val="Hyperlink"/>
            <w:rFonts w:ascii="Arial" w:hAnsi="Arial" w:cs="Arial"/>
            <w:b/>
            <w:bCs/>
            <w:i/>
            <w:iCs/>
          </w:rPr>
          <w:t>Link</w:t>
        </w:r>
      </w:hyperlink>
      <w:r>
        <w:rPr>
          <w:rFonts w:ascii="Arial" w:hAnsi="Arial" w:cs="Arial"/>
          <w:b/>
          <w:bCs/>
          <w:i/>
          <w:iCs/>
        </w:rPr>
        <w:t>)</w:t>
      </w:r>
    </w:p>
    <w:p w14:paraId="331333DC" w14:textId="77777777" w:rsidR="00501D72" w:rsidRDefault="00E36DDF">
      <w:pPr>
        <w:rPr>
          <w:rFonts w:ascii="Arial" w:hAnsi="Arial" w:cs="Arial"/>
        </w:rPr>
      </w:pPr>
      <w:r>
        <w:rPr>
          <w:rFonts w:ascii="Arial" w:hAnsi="Arial" w:cs="Arial"/>
        </w:rPr>
        <w:t>Đặc điểm:</w:t>
      </w:r>
    </w:p>
    <w:p w14:paraId="02B93C98" w14:textId="77777777" w:rsidR="00E36DDF" w:rsidRPr="00E36DDF" w:rsidRDefault="00E36DDF" w:rsidP="00E36DDF">
      <w:pPr>
        <w:pStyle w:val="ListParagraph"/>
        <w:numPr>
          <w:ilvl w:val="0"/>
          <w:numId w:val="6"/>
        </w:numPr>
        <w:rPr>
          <w:rFonts w:ascii="Arial" w:hAnsi="Arial" w:cs="Arial"/>
        </w:rPr>
      </w:pPr>
      <w:r>
        <w:rPr>
          <w:rFonts w:ascii="Arial" w:hAnsi="Arial" w:cs="Arial"/>
        </w:rPr>
        <w:t>Nghiên cứu sinh thái hồi cứu dùng dữ liệu SXH theo tuần của 13 vùng (hệ thống DHIS2); thực tế chỉ phân tích 2020–2024 do 2018–2019 thiếu &gt; 40% báo cáo; số ca được chuẩn hóa theo 100.000 dân.</w:t>
      </w:r>
    </w:p>
    <w:p w14:paraId="17563324" w14:textId="77777777" w:rsidR="00413C3D" w:rsidRDefault="00000000">
      <w:pPr>
        <w:pStyle w:val="ListParagraph"/>
        <w:numPr>
          <w:ilvl w:val="0"/>
          <w:numId w:val="6"/>
        </w:numPr>
        <w:jc w:val="both"/>
        <w:rPr>
          <w:rFonts w:ascii="Arial" w:hAnsi="Arial" w:cs="Arial"/>
        </w:rPr>
      </w:pPr>
      <w:r>
        <w:rPr>
          <w:rFonts w:ascii="Arial" w:hAnsi="Arial" w:cs="Arial"/>
        </w:rPr>
        <w:t xml:space="preserve">Xây dựng ngưỡng bằng </w:t>
      </w:r>
      <w:r>
        <w:rPr>
          <w:rFonts w:ascii="Arial" w:hAnsi="Arial" w:cs="Arial"/>
          <w:b/>
          <w:bCs/>
        </w:rPr>
        <w:t>kênh dịch (epidemic channel)</w:t>
      </w:r>
      <w:r>
        <w:rPr>
          <w:rFonts w:ascii="Arial" w:hAnsi="Arial" w:cs="Arial"/>
        </w:rPr>
        <w:t xml:space="preserve"> với trung bình và SD tính trên cửa sổ trượt 52 tuần (cập nhật theo quý): vùng cảnh báo từ +1SD đến +2SD, vùng dịch &gt; +2SD. Kết hợp </w:t>
      </w:r>
      <w:r>
        <w:rPr>
          <w:rFonts w:ascii="Arial" w:hAnsi="Arial" w:cs="Arial"/>
          <w:b/>
          <w:bCs/>
        </w:rPr>
        <w:t>hồi quy joinpoint</w:t>
      </w:r>
      <w:r>
        <w:rPr>
          <w:rFonts w:ascii="Arial" w:hAnsi="Arial" w:cs="Arial"/>
        </w:rPr>
        <w:t xml:space="preserve"> (kiểm định hoán vị Monte Carlo) để tìm điểm gãy xu hướng → ngưỡng cảnh báo 2,1 ca/100.000 dân (tuần 41/2023) </w:t>
      </w:r>
      <w:r>
        <w:rPr>
          <w:rFonts w:ascii="Arial" w:hAnsi="Arial" w:cs="Arial"/>
        </w:rPr>
        <w:lastRenderedPageBreak/>
        <w:t>và ngưỡng can thiệp 19,1 ca/100.000 dân (tuần 44/2023); can thiệp khi vượt ngưỡng 2 tuần liên tiếp.</w:t>
      </w:r>
    </w:p>
    <w:p w14:paraId="60F4AE17" w14:textId="77777777" w:rsidR="00413C3D" w:rsidRDefault="00000000">
      <w:pPr>
        <w:pStyle w:val="ListParagraph"/>
        <w:numPr>
          <w:ilvl w:val="0"/>
          <w:numId w:val="6"/>
        </w:numPr>
        <w:jc w:val="both"/>
        <w:rPr>
          <w:rFonts w:ascii="Arial" w:hAnsi="Arial" w:cs="Arial"/>
        </w:rPr>
      </w:pPr>
      <w:r>
        <w:rPr>
          <w:rFonts w:ascii="Arial" w:hAnsi="Arial" w:cs="Arial"/>
        </w:rPr>
        <w:t>Phân tích khí hậu bằng hồi quy nhị thức âm (offset dân số, độ trễ 0–12 tuần): nhiệt độ cao liên quan tăng số ca (RR = 2,764, nhưng KTC 95% 0,99–7,72, p = 0,052), lượng mưa cao liên quan giảm số ca (RR = 0,551).</w:t>
      </w:r>
    </w:p>
    <w:p w14:paraId="25C79A2C" w14:textId="77777777" w:rsidR="00413C3D" w:rsidRDefault="00000000">
      <w:pPr>
        <w:pStyle w:val="ListParagraph"/>
        <w:numPr>
          <w:ilvl w:val="0"/>
          <w:numId w:val="6"/>
        </w:numPr>
        <w:jc w:val="both"/>
        <w:rPr>
          <w:rFonts w:ascii="Arial" w:hAnsi="Arial" w:cs="Arial"/>
        </w:rPr>
      </w:pPr>
      <w:r>
        <w:rPr>
          <w:rFonts w:ascii="Arial" w:hAnsi="Arial" w:cs="Arial"/>
        </w:rPr>
        <w:t>Thẩm định: ngưỡng cảnh báo có độ nhạy 100%, PPV 87,3%, đi trước trung vị 17 ngày so với lúc chạm ngưỡng can thiệp; tuy nhiên chỉ có 1 đợt dịch lớn (2023) để kiểm định. Bài có một số số liệu không nhất quán (ví dụ kết quả nhiệt độ được mô tả là có ý nghĩa dù KTC chứa 1) nên cần đọc thận trọng.</w:t>
      </w:r>
    </w:p>
    <w:p w14:paraId="75726073" w14:textId="77777777" w:rsidR="00E36DDF" w:rsidRPr="00EF3452" w:rsidRDefault="00E36DDF">
      <w:pPr>
        <w:rPr>
          <w:rFonts w:ascii="Arial" w:hAnsi="Arial" w:cs="Arial"/>
        </w:rPr>
      </w:pPr>
    </w:p>
    <w:p w14:paraId="3FEB0D25" w14:textId="77777777" w:rsidR="000C1B27" w:rsidRPr="000C1B27" w:rsidRDefault="000C1B27" w:rsidP="008727D6">
      <w:pPr>
        <w:pStyle w:val="ListParagraph"/>
        <w:numPr>
          <w:ilvl w:val="0"/>
          <w:numId w:val="3"/>
        </w:numPr>
        <w:ind w:left="0" w:firstLine="284"/>
        <w:rPr>
          <w:rFonts w:ascii="Arial" w:hAnsi="Arial" w:cs="Arial"/>
          <w:b/>
          <w:bCs/>
          <w:i/>
          <w:iCs/>
        </w:rPr>
      </w:pPr>
      <w:r>
        <w:rPr>
          <w:rFonts w:ascii="Arial" w:hAnsi="Arial" w:cs="Arial"/>
          <w:b/>
          <w:bCs/>
          <w:i/>
          <w:iCs/>
        </w:rPr>
        <w:t>Primary health care data-based early warning system for dengue outbreaks: a nationwide case study in Brazil</w:t>
      </w:r>
    </w:p>
    <w:p w14:paraId="3764178A" w14:textId="77777777" w:rsidR="00EF3452" w:rsidRPr="00EF3452" w:rsidRDefault="00EF3452" w:rsidP="00EF3452">
      <w:pPr>
        <w:rPr>
          <w:rFonts w:ascii="Arial" w:hAnsi="Arial" w:cs="Arial"/>
          <w:b/>
          <w:bCs/>
          <w:i/>
          <w:iCs/>
        </w:rPr>
      </w:pPr>
      <w:r>
        <w:rPr>
          <w:rFonts w:ascii="Arial" w:hAnsi="Arial" w:cs="Arial"/>
          <w:b/>
          <w:bCs/>
          <w:i/>
          <w:iCs/>
        </w:rPr>
        <w:t>(</w:t>
      </w:r>
      <w:hyperlink r:id="rId15" w:history="1">
        <w:r>
          <w:rPr>
            <w:rStyle w:val="Hyperlink"/>
            <w:rFonts w:ascii="Arial" w:hAnsi="Arial" w:cs="Arial"/>
            <w:b/>
            <w:bCs/>
            <w:i/>
            <w:iCs/>
          </w:rPr>
          <w:t>Link</w:t>
        </w:r>
      </w:hyperlink>
      <w:r>
        <w:rPr>
          <w:rFonts w:ascii="Arial" w:hAnsi="Arial" w:cs="Arial"/>
          <w:b/>
          <w:bCs/>
          <w:i/>
          <w:iCs/>
        </w:rPr>
        <w:t>)</w:t>
      </w:r>
    </w:p>
    <w:p w14:paraId="15E7CD78" w14:textId="77777777" w:rsidR="000C1B27" w:rsidRDefault="00CE50D3">
      <w:pPr>
        <w:rPr>
          <w:rFonts w:ascii="Arial" w:hAnsi="Arial" w:cs="Arial"/>
        </w:rPr>
      </w:pPr>
      <w:r>
        <w:rPr>
          <w:rFonts w:ascii="Arial" w:hAnsi="Arial" w:cs="Arial"/>
        </w:rPr>
        <w:t>Đặc điểm:</w:t>
      </w:r>
    </w:p>
    <w:p w14:paraId="78C2413E" w14:textId="77777777" w:rsidR="00CE50D3" w:rsidRPr="00CE50D3" w:rsidRDefault="009E2ED5" w:rsidP="00CE50D3">
      <w:pPr>
        <w:pStyle w:val="ListParagraph"/>
        <w:numPr>
          <w:ilvl w:val="0"/>
          <w:numId w:val="5"/>
        </w:numPr>
        <w:rPr>
          <w:rFonts w:ascii="Arial" w:hAnsi="Arial" w:cs="Arial"/>
        </w:rPr>
      </w:pPr>
      <w:r>
        <w:rPr>
          <w:rFonts w:ascii="Arial" w:hAnsi="Arial" w:cs="Arial"/>
        </w:rPr>
        <w:t>Nghiên cứu so sánh mức độ hiệu quả của các phương pháp EARS C1, C2 so với các ngưỡng cố định (số ca/100000 dân). Các chỉ số đánh giá mức độ hiệu quả bao gồm tính kịp thời, độ nhạy, PPV.</w:t>
      </w:r>
    </w:p>
    <w:p w14:paraId="4F4DE0C2" w14:textId="77777777" w:rsidR="00413C3D" w:rsidRDefault="00000000">
      <w:pPr>
        <w:pStyle w:val="ListParagraph"/>
        <w:numPr>
          <w:ilvl w:val="0"/>
          <w:numId w:val="5"/>
        </w:numPr>
        <w:jc w:val="both"/>
        <w:rPr>
          <w:rFonts w:ascii="Arial" w:hAnsi="Arial" w:cs="Arial"/>
        </w:rPr>
      </w:pPr>
      <w:r>
        <w:rPr>
          <w:rFonts w:ascii="Arial" w:hAnsi="Arial" w:cs="Arial"/>
        </w:rPr>
        <w:t xml:space="preserve">Lưu ý thiết kế: EARS-C1/C2 được chạy trên </w:t>
      </w:r>
      <w:r>
        <w:rPr>
          <w:rFonts w:ascii="Arial" w:hAnsi="Arial" w:cs="Arial"/>
          <w:b/>
          <w:bCs/>
        </w:rPr>
        <w:t>dữ liệu giám sát hội chứng</w:t>
      </w:r>
      <w:r>
        <w:rPr>
          <w:rFonts w:ascii="Arial" w:hAnsi="Arial" w:cs="Arial"/>
        </w:rPr>
        <w:t xml:space="preserve"> (lượt khám liên quan arbovirus tại tuyến y tế cơ sở – PHC) để phát cảnh báo; còn ngưỡng cố định 100 và 300 ca/100.000 dân được áp lên dữ liệu ca bệnh báo cáo (SINAN) để xác định ổ dịch, đóng vai trò </w:t>
      </w:r>
      <w:r>
        <w:rPr>
          <w:rFonts w:ascii="Arial" w:hAnsi="Arial" w:cs="Arial"/>
          <w:b/>
          <w:bCs/>
        </w:rPr>
        <w:t>chuẩn tham chiếu</w:t>
      </w:r>
      <w:r>
        <w:rPr>
          <w:rFonts w:ascii="Arial" w:hAnsi="Arial" w:cs="Arial"/>
        </w:rPr>
        <w:t xml:space="preserve"> chứ không phải phương pháp cạnh tranh.</w:t>
      </w:r>
    </w:p>
    <w:p w14:paraId="79B4486B" w14:textId="77777777" w:rsidR="00413C3D" w:rsidRDefault="00000000">
      <w:pPr>
        <w:pStyle w:val="ListParagraph"/>
        <w:numPr>
          <w:ilvl w:val="0"/>
          <w:numId w:val="5"/>
        </w:numPr>
        <w:jc w:val="both"/>
        <w:rPr>
          <w:rFonts w:ascii="Arial" w:hAnsi="Arial" w:cs="Arial"/>
        </w:rPr>
      </w:pPr>
      <w:r>
        <w:rPr>
          <w:rFonts w:ascii="Arial" w:hAnsi="Arial" w:cs="Arial"/>
        </w:rPr>
        <w:t>Phạm vi: toàn bộ 5.570 đô thị của Brazil, 10/2022 – 3/2024. Cấu hình EARS-C2 được trình bày: baseline 12 tuần, alpha = 0,001.</w:t>
      </w:r>
    </w:p>
    <w:p w14:paraId="144B17D3" w14:textId="77777777" w:rsidR="00413C3D" w:rsidRDefault="00000000">
      <w:pPr>
        <w:pStyle w:val="ListParagraph"/>
        <w:numPr>
          <w:ilvl w:val="0"/>
          <w:numId w:val="5"/>
        </w:numPr>
        <w:jc w:val="both"/>
        <w:rPr>
          <w:rFonts w:ascii="Arial" w:hAnsi="Arial" w:cs="Arial"/>
        </w:rPr>
      </w:pPr>
      <w:r>
        <w:rPr>
          <w:rFonts w:ascii="Arial" w:hAnsi="Arial" w:cs="Arial"/>
        </w:rPr>
        <w:t>Kết quả: cảnh báo từ dữ liệu PHC đi trước 48,5% (ngưỡng 100/100.000) và 68,4% (ngưỡng 300/100.000) số ổ dịch do hệ thống hiện hành phát hiện, sớm tới 4 tuần; tổng cộng nhận diện được khoảng 76–85% số ổ dịch; tính kịp thời tốt hơn ở đô thị &gt; 100.000 dân. Hệ thống đã được đưa vào Kế hoạch quốc gia giảm SXH và các bệnh do arbovirus của Bộ Y tế Brazil.</w:t>
      </w:r>
    </w:p>
    <w:p w14:paraId="1FDDC34F" w14:textId="77777777" w:rsidR="00CE50D3" w:rsidRPr="00EF3452" w:rsidRDefault="00CE50D3">
      <w:pPr>
        <w:rPr>
          <w:rFonts w:ascii="Arial" w:hAnsi="Arial" w:cs="Arial"/>
        </w:rPr>
      </w:pPr>
    </w:p>
    <w:p w14:paraId="199A7662" w14:textId="77777777" w:rsidR="000C1B27" w:rsidRPr="00EF3452" w:rsidRDefault="000C1B27" w:rsidP="008727D6">
      <w:pPr>
        <w:pStyle w:val="ListParagraph"/>
        <w:numPr>
          <w:ilvl w:val="0"/>
          <w:numId w:val="3"/>
        </w:numPr>
        <w:ind w:left="0" w:firstLine="284"/>
        <w:rPr>
          <w:rFonts w:ascii="Arial" w:hAnsi="Arial" w:cs="Arial"/>
          <w:b/>
          <w:bCs/>
          <w:i/>
          <w:iCs/>
        </w:rPr>
      </w:pPr>
      <w:r>
        <w:rPr>
          <w:rFonts w:ascii="Arial" w:hAnsi="Arial" w:cs="Arial"/>
          <w:b/>
          <w:bCs/>
          <w:i/>
          <w:iCs/>
        </w:rPr>
        <w:t>Dengue epidemic alert thresholds for surveillance and decision-making in Puerto Rico: development and prospective application of an early warning system using routine surveillance data</w:t>
      </w:r>
    </w:p>
    <w:p w14:paraId="55BC486B" w14:textId="77777777" w:rsidR="00EF3452" w:rsidRPr="00EF3452" w:rsidRDefault="00EF3452" w:rsidP="00EF3452">
      <w:pPr>
        <w:rPr>
          <w:rFonts w:ascii="Arial" w:hAnsi="Arial" w:cs="Arial"/>
          <w:b/>
          <w:bCs/>
          <w:i/>
          <w:iCs/>
        </w:rPr>
      </w:pPr>
      <w:r>
        <w:rPr>
          <w:rFonts w:ascii="Arial" w:hAnsi="Arial" w:cs="Arial"/>
          <w:b/>
          <w:bCs/>
          <w:i/>
          <w:iCs/>
        </w:rPr>
        <w:t>(</w:t>
      </w:r>
      <w:hyperlink r:id="rId16" w:history="1">
        <w:r>
          <w:rPr>
            <w:rStyle w:val="Hyperlink"/>
            <w:rFonts w:ascii="Arial" w:hAnsi="Arial" w:cs="Arial"/>
            <w:b/>
            <w:bCs/>
            <w:i/>
            <w:iCs/>
          </w:rPr>
          <w:t>Link</w:t>
        </w:r>
      </w:hyperlink>
      <w:r>
        <w:rPr>
          <w:rFonts w:ascii="Arial" w:hAnsi="Arial" w:cs="Arial"/>
          <w:b/>
          <w:bCs/>
          <w:i/>
          <w:iCs/>
        </w:rPr>
        <w:t>)</w:t>
      </w:r>
    </w:p>
    <w:p w14:paraId="33332144" w14:textId="77777777" w:rsidR="000C1B27" w:rsidRDefault="00715C67">
      <w:pPr>
        <w:rPr>
          <w:rFonts w:ascii="Arial" w:hAnsi="Arial" w:cs="Arial"/>
        </w:rPr>
      </w:pPr>
      <w:r>
        <w:rPr>
          <w:rFonts w:ascii="Arial" w:hAnsi="Arial" w:cs="Arial"/>
        </w:rPr>
        <w:t>Đặc điểm:</w:t>
      </w:r>
    </w:p>
    <w:p w14:paraId="4B8FF2DD" w14:textId="5741EAFB" w:rsidR="00715C67" w:rsidRPr="00715C67" w:rsidRDefault="00715C67" w:rsidP="00CE50D3">
      <w:pPr>
        <w:pStyle w:val="ListParagraph"/>
        <w:numPr>
          <w:ilvl w:val="0"/>
          <w:numId w:val="4"/>
        </w:numPr>
        <w:jc w:val="both"/>
        <w:rPr>
          <w:rFonts w:ascii="Arial" w:hAnsi="Arial" w:cs="Arial"/>
        </w:rPr>
      </w:pPr>
      <w:r>
        <w:rPr>
          <w:rFonts w:ascii="Arial" w:hAnsi="Arial" w:cs="Arial"/>
        </w:rPr>
        <w:lastRenderedPageBreak/>
        <w:t xml:space="preserve">Sử dụng mô hình Negative binomial để fit các ca bệnh. Sau đó ngưỡng được xây dựng dựa trên </w:t>
      </w:r>
      <w:r>
        <w:rPr>
          <w:rFonts w:ascii="Arial" w:hAnsi="Arial" w:cs="Arial"/>
        </w:rPr>
        <w:t>các bách phân vị</w:t>
      </w:r>
      <w:r>
        <w:rPr>
          <w:rFonts w:ascii="Arial" w:hAnsi="Arial" w:cs="Arial"/>
        </w:rPr>
        <w:t xml:space="preserve"> (60th, 75th, 90th). Các chỉ số đánh giá mức độ hiệu quả bao gồm: Độ nhạy, độ đặc hiệu, PPV, NPV, </w:t>
      </w:r>
      <w:r>
        <w:rPr>
          <w:rFonts w:ascii="Arial" w:hAnsi="Arial" w:cs="Arial"/>
        </w:rPr>
        <w:t>biểu diễn trên mặt phẳng ROC (chỉ để minh họa; ngưỡng không được chọn bằng ROC)</w:t>
      </w:r>
      <w:r>
        <w:rPr>
          <w:rFonts w:ascii="Arial" w:hAnsi="Arial" w:cs="Arial"/>
        </w:rPr>
        <w:t>.</w:t>
      </w:r>
    </w:p>
    <w:p w14:paraId="6C64D4DC" w14:textId="77777777" w:rsidR="00413C3D" w:rsidRDefault="00000000">
      <w:pPr>
        <w:pStyle w:val="ListParagraph"/>
        <w:numPr>
          <w:ilvl w:val="0"/>
          <w:numId w:val="4"/>
        </w:numPr>
        <w:jc w:val="both"/>
        <w:rPr>
          <w:rFonts w:ascii="Arial" w:hAnsi="Arial" w:cs="Arial"/>
        </w:rPr>
      </w:pPr>
      <w:r>
        <w:rPr>
          <w:rFonts w:ascii="Arial" w:hAnsi="Arial" w:cs="Arial"/>
        </w:rPr>
        <w:t>Mô hình NB chỉ có hệ số chặn (intercept-only), ước lượng riêng cho từng tuần dịch tễ bằng toàn bộ số ca (probable + confirmed) cùng tuần của các năm trước (dữ liệu 1986–6/2024; ngưỡng tính theo thời gian thực từ 2001), sau đó làm trơn bằng bộ lọc tuyến tính trung tâm 11 tuần. Ưu điểm so với kênh dịch (mean + 2SD): không giả định phân phối chuẩn và không phải loại bỏ các năm dịch.</w:t>
      </w:r>
    </w:p>
    <w:p w14:paraId="7346EE2F" w14:textId="77777777" w:rsidR="00413C3D" w:rsidRDefault="00000000">
      <w:pPr>
        <w:pStyle w:val="ListParagraph"/>
        <w:numPr>
          <w:ilvl w:val="0"/>
          <w:numId w:val="4"/>
        </w:numPr>
        <w:jc w:val="both"/>
        <w:rPr>
          <w:rFonts w:ascii="Arial" w:hAnsi="Arial" w:cs="Arial"/>
        </w:rPr>
      </w:pPr>
      <w:r>
        <w:rPr>
          <w:rFonts w:ascii="Arial" w:hAnsi="Arial" w:cs="Arial"/>
        </w:rPr>
        <w:t xml:space="preserve">P60, P75, P90 tương ứng kỳ vọng dịch khoảng 2,5; 4 và 10 năm/lần. P75 được chọn dựa trên </w:t>
      </w:r>
      <w:r>
        <w:rPr>
          <w:rFonts w:ascii="Arial" w:hAnsi="Arial" w:cs="Arial"/>
          <w:b/>
          <w:bCs/>
        </w:rPr>
        <w:t>tham vấn với Sở Y tế Puerto Rico</w:t>
      </w:r>
      <w:r>
        <w:rPr>
          <w:rFonts w:ascii="Arial" w:hAnsi="Arial" w:cs="Arial"/>
        </w:rPr>
        <w:t xml:space="preserve"> (không tối ưu bằng ROC); tiêu chí dịch = vượt P75 </w:t>
      </w:r>
      <w:r>
        <w:rPr>
          <w:rFonts w:ascii="Arial" w:hAnsi="Arial" w:cs="Arial"/>
          <w:b/>
          <w:bCs/>
        </w:rPr>
        <w:t>≥ 2 tuần liên tiếp</w:t>
      </w:r>
      <w:r>
        <w:rPr>
          <w:rFonts w:ascii="Arial" w:hAnsi="Arial" w:cs="Arial"/>
        </w:rPr>
        <w:t>.</w:t>
      </w:r>
    </w:p>
    <w:p w14:paraId="032C816E" w14:textId="77777777" w:rsidR="00413C3D" w:rsidRDefault="00000000">
      <w:pPr>
        <w:pStyle w:val="ListParagraph"/>
        <w:numPr>
          <w:ilvl w:val="0"/>
          <w:numId w:val="4"/>
        </w:numPr>
        <w:jc w:val="both"/>
        <w:rPr>
          <w:rFonts w:ascii="Arial" w:hAnsi="Arial" w:cs="Arial"/>
        </w:rPr>
      </w:pPr>
      <w:r>
        <w:rPr>
          <w:rFonts w:ascii="Arial" w:hAnsi="Arial" w:cs="Arial"/>
        </w:rPr>
        <w:t>Kết quả: P75 đạt độ nhạy 100%, độ đặc hiệu 89% khi so với các năm dịch do Sở Y tế xác định (2001–2023); ngưỡng tuần dao động 18–126 ca. Ứng dụng thực tế: cuối 2022 số ca không vượt ngưỡng nên không công bố dịch; đầu 2024 vượt ngưỡng → công bố tình trạng khẩn cấp y tế công cộng (3/2024). Mã R (MASS::glm.nb) công khai trên GitHub.</w:t>
      </w:r>
    </w:p>
    <w:p w14:paraId="5D6E1248" w14:textId="77777777" w:rsidR="008727D6" w:rsidRPr="00EF3452" w:rsidRDefault="008727D6">
      <w:pPr>
        <w:rPr>
          <w:rFonts w:ascii="Arial" w:hAnsi="Arial" w:cs="Arial"/>
        </w:rPr>
      </w:pPr>
    </w:p>
    <w:p w14:paraId="62C02C46" w14:textId="77777777" w:rsidR="0081038E" w:rsidRPr="00EF3452" w:rsidRDefault="0081038E">
      <w:pPr>
        <w:rPr>
          <w:rFonts w:ascii="Arial" w:hAnsi="Arial" w:cs="Arial"/>
          <w:b/>
          <w:bCs/>
        </w:rPr>
      </w:pPr>
      <w:r>
        <w:rPr>
          <w:rFonts w:ascii="Arial" w:hAnsi="Arial" w:cs="Arial"/>
          <w:b/>
          <w:bCs/>
        </w:rPr>
        <w:t>Các điểm đặc biệt của các nghiên cứu:</w:t>
      </w:r>
    </w:p>
    <w:p w14:paraId="016F5B4A" w14:textId="77777777" w:rsidR="0081038E" w:rsidRPr="00EF3452" w:rsidRDefault="0081038E" w:rsidP="00BF5E95">
      <w:pPr>
        <w:pStyle w:val="ListParagraph"/>
        <w:numPr>
          <w:ilvl w:val="0"/>
          <w:numId w:val="1"/>
        </w:numPr>
        <w:jc w:val="both"/>
        <w:rPr>
          <w:rFonts w:ascii="Arial" w:hAnsi="Arial" w:cs="Arial"/>
        </w:rPr>
      </w:pPr>
      <w:r>
        <w:rPr>
          <w:rFonts w:ascii="Arial" w:hAnsi="Arial" w:cs="Arial"/>
        </w:rPr>
        <w:t>Sự phổ biến của phương pháp MEM, có các nghiên cứu sử dụng ngưỡng số ca trên /100.000 dân để làm cảnh báo</w:t>
      </w:r>
    </w:p>
    <w:p w14:paraId="280DE1E7" w14:textId="77777777" w:rsidR="00F53A54" w:rsidRPr="00EF3452" w:rsidRDefault="00D53938" w:rsidP="00BF5E95">
      <w:pPr>
        <w:pStyle w:val="ListParagraph"/>
        <w:numPr>
          <w:ilvl w:val="0"/>
          <w:numId w:val="1"/>
        </w:numPr>
        <w:jc w:val="both"/>
        <w:rPr>
          <w:rFonts w:ascii="Arial" w:hAnsi="Arial" w:cs="Arial"/>
        </w:rPr>
      </w:pPr>
      <w:r>
        <w:rPr>
          <w:rFonts w:ascii="Arial" w:hAnsi="Arial" w:cs="Arial"/>
        </w:rPr>
        <w:t>Một số bài báo xây dựng ngưỡng dịch dựa trên giá trị Rt (Tuy nhiên ở các bài báo này đã loại).</w:t>
      </w:r>
    </w:p>
    <w:p w14:paraId="37A0215A" w14:textId="0C319231" w:rsidR="00D53938" w:rsidRPr="00EF3452" w:rsidRDefault="00E023A3" w:rsidP="00BF5E95">
      <w:pPr>
        <w:pStyle w:val="ListParagraph"/>
        <w:numPr>
          <w:ilvl w:val="0"/>
          <w:numId w:val="1"/>
        </w:numPr>
        <w:jc w:val="both"/>
        <w:rPr>
          <w:rFonts w:ascii="Arial" w:hAnsi="Arial" w:cs="Arial"/>
        </w:rPr>
      </w:pPr>
      <w:r>
        <w:rPr>
          <w:rFonts w:ascii="Arial" w:hAnsi="Arial" w:cs="Arial"/>
        </w:rPr>
        <w:t xml:space="preserve">Hai phương pháp mới là Exponential Smoothing State Space Model (ETS) và Vector Autoregression (VAR). ETS là dạng </w:t>
      </w:r>
      <w:r>
        <w:rPr>
          <w:rFonts w:ascii="Arial" w:hAnsi="Arial" w:cs="Arial"/>
          <w:b/>
          <w:bCs/>
        </w:rPr>
        <w:t xml:space="preserve">tổng quát hóa thống kê của mô hình Holt-Winters, </w:t>
      </w:r>
      <w:r>
        <w:rPr>
          <w:rFonts w:ascii="Arial" w:hAnsi="Arial" w:cs="Arial"/>
        </w:rPr>
        <w:t xml:space="preserve">VAR là </w:t>
      </w:r>
      <w:r>
        <w:rPr>
          <w:rFonts w:ascii="Arial" w:hAnsi="Arial" w:cs="Arial"/>
        </w:rPr>
        <w:t>dạng mở rộng đa biến của mô hình tự hồi quy AR (số ca, nhiệt độ, độ ẩm được mô hình hóa đồng thời)</w:t>
      </w:r>
      <w:r>
        <w:rPr>
          <w:rFonts w:ascii="Arial" w:hAnsi="Arial" w:cs="Arial"/>
        </w:rPr>
        <w:t>.</w:t>
      </w:r>
    </w:p>
    <w:p w14:paraId="152C5526" w14:textId="77777777" w:rsidR="00D93528" w:rsidRPr="00EF3452" w:rsidRDefault="00D93528" w:rsidP="00BF5E95">
      <w:pPr>
        <w:pStyle w:val="ListParagraph"/>
        <w:numPr>
          <w:ilvl w:val="0"/>
          <w:numId w:val="1"/>
        </w:numPr>
        <w:jc w:val="both"/>
        <w:rPr>
          <w:rFonts w:ascii="Arial" w:hAnsi="Arial" w:cs="Arial"/>
        </w:rPr>
      </w:pPr>
      <w:r>
        <w:rPr>
          <w:rFonts w:ascii="Arial" w:hAnsi="Arial" w:cs="Arial"/>
        </w:rPr>
        <w:t>Có sự áp dụng nhiều hơn về các phương pháp học máy để xác định ngưỡng dịch.</w:t>
      </w:r>
    </w:p>
    <w:p w14:paraId="60CB4DB2" w14:textId="77777777" w:rsidR="00413C3D" w:rsidRDefault="00000000">
      <w:pPr>
        <w:pStyle w:val="ListParagraph"/>
        <w:numPr>
          <w:ilvl w:val="0"/>
          <w:numId w:val="1"/>
        </w:numPr>
        <w:jc w:val="both"/>
        <w:rPr>
          <w:rFonts w:ascii="Arial" w:hAnsi="Arial" w:cs="Arial"/>
        </w:rPr>
      </w:pPr>
      <w:r>
        <w:rPr>
          <w:rFonts w:ascii="Arial" w:hAnsi="Arial" w:cs="Arial"/>
        </w:rPr>
        <w:t xml:space="preserve">Học máy trong các bài này (LSTM, Prophet, supervised PCA) chủ yếu dùng để </w:t>
      </w:r>
      <w:r>
        <w:rPr>
          <w:rFonts w:ascii="Arial" w:hAnsi="Arial" w:cs="Arial"/>
          <w:b/>
          <w:bCs/>
        </w:rPr>
        <w:t>dự báo số ca</w:t>
      </w:r>
      <w:r>
        <w:rPr>
          <w:rFonts w:ascii="Arial" w:hAnsi="Arial" w:cs="Arial"/>
        </w:rPr>
        <w:t>; ngưỡng dịch vẫn được xác định bằng phương pháp thống kê rồi áp lên giá trị dự báo (cách tiếp cận "dự báo + ngưỡng", ví dụ bài Mekong). Trong bài Rio, ETS và VAR không phải mô hình tốt nhất (ARIMA/SARIMAX, LSTM, Prophet và ensemble tốt hơn).</w:t>
      </w:r>
    </w:p>
    <w:p w14:paraId="72709D06" w14:textId="77777777" w:rsidR="00413C3D" w:rsidRDefault="00000000">
      <w:pPr>
        <w:pStyle w:val="ListParagraph"/>
        <w:numPr>
          <w:ilvl w:val="0"/>
          <w:numId w:val="1"/>
        </w:numPr>
        <w:jc w:val="both"/>
        <w:rPr>
          <w:rFonts w:ascii="Arial" w:hAnsi="Arial" w:cs="Arial"/>
        </w:rPr>
      </w:pPr>
      <w:r>
        <w:rPr>
          <w:rFonts w:ascii="Arial" w:hAnsi="Arial" w:cs="Arial"/>
        </w:rPr>
        <w:t>Xu hướng chuyển từ ngưỡng dựa trên giả định phân phối chuẩn (mean + 2SD, kênh dịch) sang các cách tính đến độ lệch của dữ liệu đếm: bách phân vị (Syria), nhị thức âm (Puerto Rico), quasi-Poisson (Farrington, aedseo), biến đổi log (MEM).</w:t>
      </w:r>
    </w:p>
    <w:p w14:paraId="6544D694" w14:textId="77777777" w:rsidR="00413C3D" w:rsidRDefault="00000000">
      <w:pPr>
        <w:pStyle w:val="ListParagraph"/>
        <w:numPr>
          <w:ilvl w:val="0"/>
          <w:numId w:val="1"/>
        </w:numPr>
        <w:jc w:val="both"/>
        <w:rPr>
          <w:rFonts w:ascii="Arial" w:hAnsi="Arial" w:cs="Arial"/>
        </w:rPr>
      </w:pPr>
      <w:r>
        <w:rPr>
          <w:rFonts w:ascii="Arial" w:hAnsi="Arial" w:cs="Arial"/>
        </w:rPr>
        <w:lastRenderedPageBreak/>
        <w:t>Ngưỡng tối ưu phụ thuộc bệnh và bối cảnh (Syria, Kunming, Nhật Bản) nên cần hiệu chỉnh tại chỗ; một số nghiên cứu chọn ngưỡng cuối cùng qua tham vấn cơ quan y tế thay vì chỉ tối ưu thống kê (Puerto Rico).</w:t>
      </w:r>
    </w:p>
    <w:p w14:paraId="1CE8DF15" w14:textId="77777777" w:rsidR="00413C3D" w:rsidRDefault="00000000">
      <w:pPr>
        <w:pStyle w:val="ListParagraph"/>
        <w:numPr>
          <w:ilvl w:val="0"/>
          <w:numId w:val="1"/>
        </w:numPr>
        <w:jc w:val="both"/>
        <w:rPr>
          <w:rFonts w:ascii="Arial" w:hAnsi="Arial" w:cs="Arial"/>
        </w:rPr>
      </w:pPr>
      <w:r>
        <w:rPr>
          <w:rFonts w:ascii="Arial" w:hAnsi="Arial" w:cs="Arial"/>
        </w:rPr>
        <w:t>Quy tắc "vượt ngưỡng ≥ 2 tuần liên tiếp" được dùng lặp lại (Puerto Rico, Nhật Bản, Burkina Faso) để giảm báo động giả.</w:t>
      </w:r>
    </w:p>
    <w:p w14:paraId="2CC2F103" w14:textId="77777777" w:rsidR="00413C3D" w:rsidRDefault="00000000">
      <w:pPr>
        <w:pStyle w:val="ListParagraph"/>
        <w:numPr>
          <w:ilvl w:val="0"/>
          <w:numId w:val="1"/>
        </w:numPr>
        <w:jc w:val="both"/>
        <w:rPr>
          <w:rFonts w:ascii="Arial" w:hAnsi="Arial" w:cs="Arial"/>
        </w:rPr>
      </w:pPr>
      <w:r>
        <w:rPr>
          <w:rFonts w:ascii="Arial" w:hAnsi="Arial" w:cs="Arial"/>
        </w:rPr>
        <w:t>Bộ chỉ số đánh giá thường gặp: độ nhạy, độ đặc hiệu, PPV/NPV, Youden, AUC, tính kịp thời/thời gian đi trước; với mô hình dự báo xác suất: CRPS và Brier score.</w:t>
      </w:r>
    </w:p>
    <w:p w14:paraId="4DA4C566" w14:textId="77777777" w:rsidR="00413C3D" w:rsidRDefault="00000000">
      <w:pPr>
        <w:pStyle w:val="ListParagraph"/>
        <w:numPr>
          <w:ilvl w:val="0"/>
          <w:numId w:val="1"/>
        </w:numPr>
        <w:jc w:val="both"/>
        <w:rPr>
          <w:rFonts w:ascii="Arial" w:hAnsi="Arial" w:cs="Arial"/>
        </w:rPr>
      </w:pPr>
      <w:r>
        <w:rPr>
          <w:rFonts w:ascii="Arial" w:hAnsi="Arial" w:cs="Arial"/>
        </w:rPr>
        <w:t>Chất lượng dữ liệu nền ảnh hưởng lớn: nhiều bài loại các mùa COVID-19 hoặc mùa bất thường (Kunming, Mekong), và các ổ dịch cũ trong baseline làm giảm độ nhạy của thuật toán (Gopaluni và cộng sự).</w:t>
      </w:r>
    </w:p>
    <w:p w14:paraId="4535B491" w14:textId="77777777" w:rsidR="00413C3D" w:rsidRDefault="00000000">
      <w:pPr>
        <w:pStyle w:val="ListParagraph"/>
        <w:numPr>
          <w:ilvl w:val="0"/>
          <w:numId w:val="1"/>
        </w:numPr>
        <w:jc w:val="both"/>
        <w:rPr>
          <w:rFonts w:ascii="Arial" w:hAnsi="Arial" w:cs="Arial"/>
        </w:rPr>
      </w:pPr>
      <w:r>
        <w:rPr>
          <w:rFonts w:ascii="Arial" w:hAnsi="Arial" w:cs="Arial"/>
        </w:rPr>
        <w:t>Hạn chế của MEM/WHO: cần ≥ 5 mùa lịch sử, chủ yếu phân loại theo đỉnh mùa, ngưỡng bị lệch khi có ít mùa (Bracher &amp; Littek; aedseo) – phù hợp với bệnh có mùa rõ như cúm, RSV; cần cân nhắc khi áp dụng cho SXH ở vùng nhiệt đới.</w:t>
      </w:r>
    </w:p>
    <w:sectPr w:rsidR="00413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E17B6"/>
    <w:multiLevelType w:val="hybridMultilevel"/>
    <w:tmpl w:val="0D582DC4"/>
    <w:lvl w:ilvl="0" w:tplc="D28864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E0E55"/>
    <w:multiLevelType w:val="hybridMultilevel"/>
    <w:tmpl w:val="A5041BE6"/>
    <w:lvl w:ilvl="0" w:tplc="18A025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F5F43"/>
    <w:multiLevelType w:val="hybridMultilevel"/>
    <w:tmpl w:val="995C06D4"/>
    <w:lvl w:ilvl="0" w:tplc="271474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2771C3"/>
    <w:multiLevelType w:val="hybridMultilevel"/>
    <w:tmpl w:val="4976A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282BBA"/>
    <w:multiLevelType w:val="hybridMultilevel"/>
    <w:tmpl w:val="D8EC84BC"/>
    <w:lvl w:ilvl="0" w:tplc="3D567F7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774DBC"/>
    <w:multiLevelType w:val="hybridMultilevel"/>
    <w:tmpl w:val="BB24C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2216B3"/>
    <w:multiLevelType w:val="hybridMultilevel"/>
    <w:tmpl w:val="E9D66F18"/>
    <w:lvl w:ilvl="0" w:tplc="4476D15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137797">
    <w:abstractNumId w:val="4"/>
  </w:num>
  <w:num w:numId="2" w16cid:durableId="908347307">
    <w:abstractNumId w:val="3"/>
  </w:num>
  <w:num w:numId="3" w16cid:durableId="221602223">
    <w:abstractNumId w:val="5"/>
  </w:num>
  <w:num w:numId="4" w16cid:durableId="2085755327">
    <w:abstractNumId w:val="0"/>
  </w:num>
  <w:num w:numId="5" w16cid:durableId="1984771519">
    <w:abstractNumId w:val="1"/>
  </w:num>
  <w:num w:numId="6" w16cid:durableId="702292901">
    <w:abstractNumId w:val="6"/>
  </w:num>
  <w:num w:numId="7" w16cid:durableId="672882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01"/>
    <w:rsid w:val="0007539B"/>
    <w:rsid w:val="000B11F3"/>
    <w:rsid w:val="000C1B27"/>
    <w:rsid w:val="000E024B"/>
    <w:rsid w:val="000E1A7F"/>
    <w:rsid w:val="000E3CCF"/>
    <w:rsid w:val="00182668"/>
    <w:rsid w:val="001F2B85"/>
    <w:rsid w:val="0022775E"/>
    <w:rsid w:val="00237804"/>
    <w:rsid w:val="00413C3D"/>
    <w:rsid w:val="0043711D"/>
    <w:rsid w:val="00454CA0"/>
    <w:rsid w:val="00501D72"/>
    <w:rsid w:val="00531541"/>
    <w:rsid w:val="00590607"/>
    <w:rsid w:val="006259EE"/>
    <w:rsid w:val="00660E8B"/>
    <w:rsid w:val="00673FE8"/>
    <w:rsid w:val="00681D58"/>
    <w:rsid w:val="00695F2E"/>
    <w:rsid w:val="00715C67"/>
    <w:rsid w:val="007226D6"/>
    <w:rsid w:val="00744274"/>
    <w:rsid w:val="00753373"/>
    <w:rsid w:val="00765AB0"/>
    <w:rsid w:val="007665D9"/>
    <w:rsid w:val="007769C7"/>
    <w:rsid w:val="007C7CF0"/>
    <w:rsid w:val="008079A6"/>
    <w:rsid w:val="0081038E"/>
    <w:rsid w:val="008326C1"/>
    <w:rsid w:val="008727D6"/>
    <w:rsid w:val="008971F0"/>
    <w:rsid w:val="008D65DC"/>
    <w:rsid w:val="008E7F01"/>
    <w:rsid w:val="00910922"/>
    <w:rsid w:val="009262F2"/>
    <w:rsid w:val="009401E5"/>
    <w:rsid w:val="009A3749"/>
    <w:rsid w:val="009A52F6"/>
    <w:rsid w:val="009A59E4"/>
    <w:rsid w:val="009E2ED5"/>
    <w:rsid w:val="00AA3DA8"/>
    <w:rsid w:val="00AF3131"/>
    <w:rsid w:val="00BD16A8"/>
    <w:rsid w:val="00BF5E95"/>
    <w:rsid w:val="00C77043"/>
    <w:rsid w:val="00C83A2E"/>
    <w:rsid w:val="00CD234B"/>
    <w:rsid w:val="00CE50D3"/>
    <w:rsid w:val="00D53938"/>
    <w:rsid w:val="00D62BBB"/>
    <w:rsid w:val="00D8278A"/>
    <w:rsid w:val="00D93528"/>
    <w:rsid w:val="00DF0062"/>
    <w:rsid w:val="00E023A3"/>
    <w:rsid w:val="00E36DDF"/>
    <w:rsid w:val="00EC76FC"/>
    <w:rsid w:val="00EE4CC9"/>
    <w:rsid w:val="00EF3452"/>
    <w:rsid w:val="00F34B97"/>
    <w:rsid w:val="00F53A54"/>
    <w:rsid w:val="00FA5DFB"/>
    <w:rsid w:val="00FA7A98"/>
    <w:rsid w:val="00FB223F"/>
    <w:rsid w:val="00FB252F"/>
    <w:rsid w:val="00FF6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78E6"/>
  <w15:chartTrackingRefBased/>
  <w15:docId w15:val="{7CBF2C19-53D2-4169-8F61-21F5285C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F01"/>
    <w:rPr>
      <w:rFonts w:eastAsiaTheme="majorEastAsia" w:cstheme="majorBidi"/>
      <w:color w:val="272727" w:themeColor="text1" w:themeTint="D8"/>
    </w:rPr>
  </w:style>
  <w:style w:type="paragraph" w:styleId="Title">
    <w:name w:val="Title"/>
    <w:basedOn w:val="Normal"/>
    <w:next w:val="Normal"/>
    <w:link w:val="TitleChar"/>
    <w:uiPriority w:val="10"/>
    <w:qFormat/>
    <w:rsid w:val="008E7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F01"/>
    <w:pPr>
      <w:spacing w:before="160"/>
      <w:jc w:val="center"/>
    </w:pPr>
    <w:rPr>
      <w:i/>
      <w:iCs/>
      <w:color w:val="404040" w:themeColor="text1" w:themeTint="BF"/>
    </w:rPr>
  </w:style>
  <w:style w:type="character" w:customStyle="1" w:styleId="QuoteChar">
    <w:name w:val="Quote Char"/>
    <w:basedOn w:val="DefaultParagraphFont"/>
    <w:link w:val="Quote"/>
    <w:uiPriority w:val="29"/>
    <w:rsid w:val="008E7F01"/>
    <w:rPr>
      <w:i/>
      <w:iCs/>
      <w:color w:val="404040" w:themeColor="text1" w:themeTint="BF"/>
    </w:rPr>
  </w:style>
  <w:style w:type="paragraph" w:styleId="ListParagraph">
    <w:name w:val="List Paragraph"/>
    <w:basedOn w:val="Normal"/>
    <w:uiPriority w:val="34"/>
    <w:qFormat/>
    <w:rsid w:val="008E7F01"/>
    <w:pPr>
      <w:ind w:left="720"/>
      <w:contextualSpacing/>
    </w:pPr>
  </w:style>
  <w:style w:type="character" w:styleId="IntenseEmphasis">
    <w:name w:val="Intense Emphasis"/>
    <w:basedOn w:val="DefaultParagraphFont"/>
    <w:uiPriority w:val="21"/>
    <w:qFormat/>
    <w:rsid w:val="008E7F01"/>
    <w:rPr>
      <w:i/>
      <w:iCs/>
      <w:color w:val="0F4761" w:themeColor="accent1" w:themeShade="BF"/>
    </w:rPr>
  </w:style>
  <w:style w:type="paragraph" w:styleId="IntenseQuote">
    <w:name w:val="Intense Quote"/>
    <w:basedOn w:val="Normal"/>
    <w:next w:val="Normal"/>
    <w:link w:val="IntenseQuoteChar"/>
    <w:uiPriority w:val="30"/>
    <w:qFormat/>
    <w:rsid w:val="008E7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F01"/>
    <w:rPr>
      <w:i/>
      <w:iCs/>
      <w:color w:val="0F4761" w:themeColor="accent1" w:themeShade="BF"/>
    </w:rPr>
  </w:style>
  <w:style w:type="character" w:styleId="IntenseReference">
    <w:name w:val="Intense Reference"/>
    <w:basedOn w:val="DefaultParagraphFont"/>
    <w:uiPriority w:val="32"/>
    <w:qFormat/>
    <w:rsid w:val="008E7F01"/>
    <w:rPr>
      <w:b/>
      <w:bCs/>
      <w:smallCaps/>
      <w:color w:val="0F4761" w:themeColor="accent1" w:themeShade="BF"/>
      <w:spacing w:val="5"/>
    </w:rPr>
  </w:style>
  <w:style w:type="character" w:styleId="Hyperlink">
    <w:name w:val="Hyperlink"/>
    <w:basedOn w:val="DefaultParagraphFont"/>
    <w:uiPriority w:val="99"/>
    <w:unhideWhenUsed/>
    <w:rsid w:val="008E7F01"/>
    <w:rPr>
      <w:color w:val="467886" w:themeColor="hyperlink"/>
      <w:u w:val="single"/>
    </w:rPr>
  </w:style>
  <w:style w:type="character" w:styleId="UnresolvedMention">
    <w:name w:val="Unresolved Mention"/>
    <w:basedOn w:val="DefaultParagraphFont"/>
    <w:uiPriority w:val="99"/>
    <w:semiHidden/>
    <w:unhideWhenUsed/>
    <w:rsid w:val="008E7F01"/>
    <w:rPr>
      <w:color w:val="605E5C"/>
      <w:shd w:val="clear" w:color="auto" w:fill="E1DFDD"/>
    </w:rPr>
  </w:style>
  <w:style w:type="character" w:styleId="FollowedHyperlink">
    <w:name w:val="FollowedHyperlink"/>
    <w:basedOn w:val="DefaultParagraphFont"/>
    <w:uiPriority w:val="99"/>
    <w:semiHidden/>
    <w:unhideWhenUsed/>
    <w:rsid w:val="007769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149919">
      <w:bodyDiv w:val="1"/>
      <w:marLeft w:val="0"/>
      <w:marRight w:val="0"/>
      <w:marTop w:val="0"/>
      <w:marBottom w:val="0"/>
      <w:divBdr>
        <w:top w:val="none" w:sz="0" w:space="0" w:color="auto"/>
        <w:left w:val="none" w:sz="0" w:space="0" w:color="auto"/>
        <w:bottom w:val="none" w:sz="0" w:space="0" w:color="auto"/>
        <w:right w:val="none" w:sz="0" w:space="0" w:color="auto"/>
      </w:divBdr>
    </w:div>
    <w:div w:id="249656999">
      <w:bodyDiv w:val="1"/>
      <w:marLeft w:val="0"/>
      <w:marRight w:val="0"/>
      <w:marTop w:val="0"/>
      <w:marBottom w:val="0"/>
      <w:divBdr>
        <w:top w:val="none" w:sz="0" w:space="0" w:color="auto"/>
        <w:left w:val="none" w:sz="0" w:space="0" w:color="auto"/>
        <w:bottom w:val="none" w:sz="0" w:space="0" w:color="auto"/>
        <w:right w:val="none" w:sz="0" w:space="0" w:color="auto"/>
      </w:divBdr>
    </w:div>
    <w:div w:id="260771005">
      <w:bodyDiv w:val="1"/>
      <w:marLeft w:val="0"/>
      <w:marRight w:val="0"/>
      <w:marTop w:val="0"/>
      <w:marBottom w:val="0"/>
      <w:divBdr>
        <w:top w:val="none" w:sz="0" w:space="0" w:color="auto"/>
        <w:left w:val="none" w:sz="0" w:space="0" w:color="auto"/>
        <w:bottom w:val="none" w:sz="0" w:space="0" w:color="auto"/>
        <w:right w:val="none" w:sz="0" w:space="0" w:color="auto"/>
      </w:divBdr>
    </w:div>
    <w:div w:id="734356090">
      <w:bodyDiv w:val="1"/>
      <w:marLeft w:val="0"/>
      <w:marRight w:val="0"/>
      <w:marTop w:val="0"/>
      <w:marBottom w:val="0"/>
      <w:divBdr>
        <w:top w:val="none" w:sz="0" w:space="0" w:color="auto"/>
        <w:left w:val="none" w:sz="0" w:space="0" w:color="auto"/>
        <w:bottom w:val="none" w:sz="0" w:space="0" w:color="auto"/>
        <w:right w:val="none" w:sz="0" w:space="0" w:color="auto"/>
      </w:divBdr>
    </w:div>
    <w:div w:id="942108856">
      <w:bodyDiv w:val="1"/>
      <w:marLeft w:val="0"/>
      <w:marRight w:val="0"/>
      <w:marTop w:val="0"/>
      <w:marBottom w:val="0"/>
      <w:divBdr>
        <w:top w:val="none" w:sz="0" w:space="0" w:color="auto"/>
        <w:left w:val="none" w:sz="0" w:space="0" w:color="auto"/>
        <w:bottom w:val="none" w:sz="0" w:space="0" w:color="auto"/>
        <w:right w:val="none" w:sz="0" w:space="0" w:color="auto"/>
      </w:divBdr>
    </w:div>
    <w:div w:id="1040517851">
      <w:bodyDiv w:val="1"/>
      <w:marLeft w:val="0"/>
      <w:marRight w:val="0"/>
      <w:marTop w:val="0"/>
      <w:marBottom w:val="0"/>
      <w:divBdr>
        <w:top w:val="none" w:sz="0" w:space="0" w:color="auto"/>
        <w:left w:val="none" w:sz="0" w:space="0" w:color="auto"/>
        <w:bottom w:val="none" w:sz="0" w:space="0" w:color="auto"/>
        <w:right w:val="none" w:sz="0" w:space="0" w:color="auto"/>
      </w:divBdr>
    </w:div>
    <w:div w:id="1157265969">
      <w:bodyDiv w:val="1"/>
      <w:marLeft w:val="0"/>
      <w:marRight w:val="0"/>
      <w:marTop w:val="0"/>
      <w:marBottom w:val="0"/>
      <w:divBdr>
        <w:top w:val="none" w:sz="0" w:space="0" w:color="auto"/>
        <w:left w:val="none" w:sz="0" w:space="0" w:color="auto"/>
        <w:bottom w:val="none" w:sz="0" w:space="0" w:color="auto"/>
        <w:right w:val="none" w:sz="0" w:space="0" w:color="auto"/>
      </w:divBdr>
      <w:divsChild>
        <w:div w:id="672759653">
          <w:marLeft w:val="0"/>
          <w:marRight w:val="0"/>
          <w:marTop w:val="0"/>
          <w:marBottom w:val="0"/>
          <w:divBdr>
            <w:top w:val="none" w:sz="0" w:space="0" w:color="auto"/>
            <w:left w:val="none" w:sz="0" w:space="0" w:color="auto"/>
            <w:bottom w:val="none" w:sz="0" w:space="0" w:color="auto"/>
            <w:right w:val="none" w:sz="0" w:space="0" w:color="auto"/>
          </w:divBdr>
          <w:divsChild>
            <w:div w:id="1291012183">
              <w:marLeft w:val="0"/>
              <w:marRight w:val="0"/>
              <w:marTop w:val="0"/>
              <w:marBottom w:val="0"/>
              <w:divBdr>
                <w:top w:val="none" w:sz="0" w:space="0" w:color="auto"/>
                <w:left w:val="none" w:sz="0" w:space="0" w:color="auto"/>
                <w:bottom w:val="none" w:sz="0" w:space="0" w:color="auto"/>
                <w:right w:val="none" w:sz="0" w:space="0" w:color="auto"/>
              </w:divBdr>
            </w:div>
            <w:div w:id="1909606790">
              <w:marLeft w:val="0"/>
              <w:marRight w:val="0"/>
              <w:marTop w:val="0"/>
              <w:marBottom w:val="0"/>
              <w:divBdr>
                <w:top w:val="none" w:sz="0" w:space="0" w:color="auto"/>
                <w:left w:val="none" w:sz="0" w:space="0" w:color="auto"/>
                <w:bottom w:val="none" w:sz="0" w:space="0" w:color="auto"/>
                <w:right w:val="none" w:sz="0" w:space="0" w:color="auto"/>
              </w:divBdr>
              <w:divsChild>
                <w:div w:id="1349213574">
                  <w:marLeft w:val="0"/>
                  <w:marRight w:val="0"/>
                  <w:marTop w:val="0"/>
                  <w:marBottom w:val="0"/>
                  <w:divBdr>
                    <w:top w:val="none" w:sz="0" w:space="0" w:color="auto"/>
                    <w:left w:val="none" w:sz="0" w:space="0" w:color="auto"/>
                    <w:bottom w:val="none" w:sz="0" w:space="0" w:color="auto"/>
                    <w:right w:val="none" w:sz="0" w:space="0" w:color="auto"/>
                  </w:divBdr>
                  <w:divsChild>
                    <w:div w:id="1692294866">
                      <w:marLeft w:val="0"/>
                      <w:marRight w:val="0"/>
                      <w:marTop w:val="0"/>
                      <w:marBottom w:val="0"/>
                      <w:divBdr>
                        <w:top w:val="none" w:sz="0" w:space="0" w:color="auto"/>
                        <w:left w:val="none" w:sz="0" w:space="0" w:color="auto"/>
                        <w:bottom w:val="none" w:sz="0" w:space="0" w:color="auto"/>
                        <w:right w:val="none" w:sz="0" w:space="0" w:color="auto"/>
                      </w:divBdr>
                    </w:div>
                    <w:div w:id="1462528699">
                      <w:marLeft w:val="0"/>
                      <w:marRight w:val="0"/>
                      <w:marTop w:val="0"/>
                      <w:marBottom w:val="0"/>
                      <w:divBdr>
                        <w:top w:val="none" w:sz="0" w:space="0" w:color="auto"/>
                        <w:left w:val="none" w:sz="0" w:space="0" w:color="auto"/>
                        <w:bottom w:val="none" w:sz="0" w:space="0" w:color="auto"/>
                        <w:right w:val="none" w:sz="0" w:space="0" w:color="auto"/>
                      </w:divBdr>
                    </w:div>
                    <w:div w:id="1337078106">
                      <w:marLeft w:val="0"/>
                      <w:marRight w:val="0"/>
                      <w:marTop w:val="0"/>
                      <w:marBottom w:val="0"/>
                      <w:divBdr>
                        <w:top w:val="none" w:sz="0" w:space="0" w:color="auto"/>
                        <w:left w:val="none" w:sz="0" w:space="0" w:color="auto"/>
                        <w:bottom w:val="none" w:sz="0" w:space="0" w:color="auto"/>
                        <w:right w:val="none" w:sz="0" w:space="0" w:color="auto"/>
                      </w:divBdr>
                    </w:div>
                    <w:div w:id="654843762">
                      <w:marLeft w:val="0"/>
                      <w:marRight w:val="0"/>
                      <w:marTop w:val="0"/>
                      <w:marBottom w:val="0"/>
                      <w:divBdr>
                        <w:top w:val="none" w:sz="0" w:space="0" w:color="auto"/>
                        <w:left w:val="none" w:sz="0" w:space="0" w:color="auto"/>
                        <w:bottom w:val="none" w:sz="0" w:space="0" w:color="auto"/>
                        <w:right w:val="none" w:sz="0" w:space="0" w:color="auto"/>
                      </w:divBdr>
                    </w:div>
                    <w:div w:id="852299276">
                      <w:marLeft w:val="0"/>
                      <w:marRight w:val="0"/>
                      <w:marTop w:val="0"/>
                      <w:marBottom w:val="0"/>
                      <w:divBdr>
                        <w:top w:val="none" w:sz="0" w:space="0" w:color="auto"/>
                        <w:left w:val="none" w:sz="0" w:space="0" w:color="auto"/>
                        <w:bottom w:val="none" w:sz="0" w:space="0" w:color="auto"/>
                        <w:right w:val="none" w:sz="0" w:space="0" w:color="auto"/>
                      </w:divBdr>
                    </w:div>
                    <w:div w:id="583951552">
                      <w:marLeft w:val="0"/>
                      <w:marRight w:val="0"/>
                      <w:marTop w:val="0"/>
                      <w:marBottom w:val="0"/>
                      <w:divBdr>
                        <w:top w:val="none" w:sz="0" w:space="0" w:color="auto"/>
                        <w:left w:val="none" w:sz="0" w:space="0" w:color="auto"/>
                        <w:bottom w:val="none" w:sz="0" w:space="0" w:color="auto"/>
                        <w:right w:val="none" w:sz="0" w:space="0" w:color="auto"/>
                      </w:divBdr>
                    </w:div>
                    <w:div w:id="878932457">
                      <w:marLeft w:val="0"/>
                      <w:marRight w:val="0"/>
                      <w:marTop w:val="0"/>
                      <w:marBottom w:val="0"/>
                      <w:divBdr>
                        <w:top w:val="none" w:sz="0" w:space="0" w:color="auto"/>
                        <w:left w:val="none" w:sz="0" w:space="0" w:color="auto"/>
                        <w:bottom w:val="none" w:sz="0" w:space="0" w:color="auto"/>
                        <w:right w:val="none" w:sz="0" w:space="0" w:color="auto"/>
                      </w:divBdr>
                    </w:div>
                    <w:div w:id="10278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9083">
          <w:marLeft w:val="0"/>
          <w:marRight w:val="0"/>
          <w:marTop w:val="0"/>
          <w:marBottom w:val="0"/>
          <w:divBdr>
            <w:top w:val="none" w:sz="0" w:space="0" w:color="auto"/>
            <w:left w:val="none" w:sz="0" w:space="0" w:color="auto"/>
            <w:bottom w:val="none" w:sz="0" w:space="0" w:color="auto"/>
            <w:right w:val="none" w:sz="0" w:space="0" w:color="auto"/>
          </w:divBdr>
          <w:divsChild>
            <w:div w:id="225799238">
              <w:marLeft w:val="0"/>
              <w:marRight w:val="0"/>
              <w:marTop w:val="0"/>
              <w:marBottom w:val="0"/>
              <w:divBdr>
                <w:top w:val="none" w:sz="0" w:space="0" w:color="auto"/>
                <w:left w:val="none" w:sz="0" w:space="0" w:color="auto"/>
                <w:bottom w:val="none" w:sz="0" w:space="0" w:color="auto"/>
                <w:right w:val="none" w:sz="0" w:space="0" w:color="auto"/>
              </w:divBdr>
              <w:divsChild>
                <w:div w:id="267740728">
                  <w:marLeft w:val="0"/>
                  <w:marRight w:val="0"/>
                  <w:marTop w:val="0"/>
                  <w:marBottom w:val="0"/>
                  <w:divBdr>
                    <w:top w:val="none" w:sz="0" w:space="0" w:color="auto"/>
                    <w:left w:val="none" w:sz="0" w:space="0" w:color="auto"/>
                    <w:bottom w:val="none" w:sz="0" w:space="0" w:color="auto"/>
                    <w:right w:val="none" w:sz="0" w:space="0" w:color="auto"/>
                  </w:divBdr>
                  <w:divsChild>
                    <w:div w:id="18902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10820">
      <w:bodyDiv w:val="1"/>
      <w:marLeft w:val="0"/>
      <w:marRight w:val="0"/>
      <w:marTop w:val="0"/>
      <w:marBottom w:val="0"/>
      <w:divBdr>
        <w:top w:val="none" w:sz="0" w:space="0" w:color="auto"/>
        <w:left w:val="none" w:sz="0" w:space="0" w:color="auto"/>
        <w:bottom w:val="none" w:sz="0" w:space="0" w:color="auto"/>
        <w:right w:val="none" w:sz="0" w:space="0" w:color="auto"/>
      </w:divBdr>
    </w:div>
    <w:div w:id="1249995474">
      <w:bodyDiv w:val="1"/>
      <w:marLeft w:val="0"/>
      <w:marRight w:val="0"/>
      <w:marTop w:val="0"/>
      <w:marBottom w:val="0"/>
      <w:divBdr>
        <w:top w:val="none" w:sz="0" w:space="0" w:color="auto"/>
        <w:left w:val="none" w:sz="0" w:space="0" w:color="auto"/>
        <w:bottom w:val="none" w:sz="0" w:space="0" w:color="auto"/>
        <w:right w:val="none" w:sz="0" w:space="0" w:color="auto"/>
      </w:divBdr>
    </w:div>
    <w:div w:id="1418284037">
      <w:bodyDiv w:val="1"/>
      <w:marLeft w:val="0"/>
      <w:marRight w:val="0"/>
      <w:marTop w:val="0"/>
      <w:marBottom w:val="0"/>
      <w:divBdr>
        <w:top w:val="none" w:sz="0" w:space="0" w:color="auto"/>
        <w:left w:val="none" w:sz="0" w:space="0" w:color="auto"/>
        <w:bottom w:val="none" w:sz="0" w:space="0" w:color="auto"/>
        <w:right w:val="none" w:sz="0" w:space="0" w:color="auto"/>
      </w:divBdr>
    </w:div>
    <w:div w:id="1453867705">
      <w:bodyDiv w:val="1"/>
      <w:marLeft w:val="0"/>
      <w:marRight w:val="0"/>
      <w:marTop w:val="0"/>
      <w:marBottom w:val="0"/>
      <w:divBdr>
        <w:top w:val="none" w:sz="0" w:space="0" w:color="auto"/>
        <w:left w:val="none" w:sz="0" w:space="0" w:color="auto"/>
        <w:bottom w:val="none" w:sz="0" w:space="0" w:color="auto"/>
        <w:right w:val="none" w:sz="0" w:space="0" w:color="auto"/>
      </w:divBdr>
    </w:div>
    <w:div w:id="1491286585">
      <w:bodyDiv w:val="1"/>
      <w:marLeft w:val="0"/>
      <w:marRight w:val="0"/>
      <w:marTop w:val="0"/>
      <w:marBottom w:val="0"/>
      <w:divBdr>
        <w:top w:val="none" w:sz="0" w:space="0" w:color="auto"/>
        <w:left w:val="none" w:sz="0" w:space="0" w:color="auto"/>
        <w:bottom w:val="none" w:sz="0" w:space="0" w:color="auto"/>
        <w:right w:val="none" w:sz="0" w:space="0" w:color="auto"/>
      </w:divBdr>
    </w:div>
    <w:div w:id="1541168731">
      <w:bodyDiv w:val="1"/>
      <w:marLeft w:val="0"/>
      <w:marRight w:val="0"/>
      <w:marTop w:val="0"/>
      <w:marBottom w:val="0"/>
      <w:divBdr>
        <w:top w:val="none" w:sz="0" w:space="0" w:color="auto"/>
        <w:left w:val="none" w:sz="0" w:space="0" w:color="auto"/>
        <w:bottom w:val="none" w:sz="0" w:space="0" w:color="auto"/>
        <w:right w:val="none" w:sz="0" w:space="0" w:color="auto"/>
      </w:divBdr>
    </w:div>
    <w:div w:id="1598908488">
      <w:bodyDiv w:val="1"/>
      <w:marLeft w:val="0"/>
      <w:marRight w:val="0"/>
      <w:marTop w:val="0"/>
      <w:marBottom w:val="0"/>
      <w:divBdr>
        <w:top w:val="none" w:sz="0" w:space="0" w:color="auto"/>
        <w:left w:val="none" w:sz="0" w:space="0" w:color="auto"/>
        <w:bottom w:val="none" w:sz="0" w:space="0" w:color="auto"/>
        <w:right w:val="none" w:sz="0" w:space="0" w:color="auto"/>
      </w:divBdr>
    </w:div>
    <w:div w:id="1750495333">
      <w:bodyDiv w:val="1"/>
      <w:marLeft w:val="0"/>
      <w:marRight w:val="0"/>
      <w:marTop w:val="0"/>
      <w:marBottom w:val="0"/>
      <w:divBdr>
        <w:top w:val="none" w:sz="0" w:space="0" w:color="auto"/>
        <w:left w:val="none" w:sz="0" w:space="0" w:color="auto"/>
        <w:bottom w:val="none" w:sz="0" w:space="0" w:color="auto"/>
        <w:right w:val="none" w:sz="0" w:space="0" w:color="auto"/>
      </w:divBdr>
    </w:div>
    <w:div w:id="1804227191">
      <w:bodyDiv w:val="1"/>
      <w:marLeft w:val="0"/>
      <w:marRight w:val="0"/>
      <w:marTop w:val="0"/>
      <w:marBottom w:val="0"/>
      <w:divBdr>
        <w:top w:val="none" w:sz="0" w:space="0" w:color="auto"/>
        <w:left w:val="none" w:sz="0" w:space="0" w:color="auto"/>
        <w:bottom w:val="none" w:sz="0" w:space="0" w:color="auto"/>
        <w:right w:val="none" w:sz="0" w:space="0" w:color="auto"/>
      </w:divBdr>
    </w:div>
    <w:div w:id="1885408788">
      <w:bodyDiv w:val="1"/>
      <w:marLeft w:val="0"/>
      <w:marRight w:val="0"/>
      <w:marTop w:val="0"/>
      <w:marBottom w:val="0"/>
      <w:divBdr>
        <w:top w:val="none" w:sz="0" w:space="0" w:color="auto"/>
        <w:left w:val="none" w:sz="0" w:space="0" w:color="auto"/>
        <w:bottom w:val="none" w:sz="0" w:space="0" w:color="auto"/>
        <w:right w:val="none" w:sz="0" w:space="0" w:color="auto"/>
      </w:divBdr>
    </w:div>
    <w:div w:id="1928228416">
      <w:bodyDiv w:val="1"/>
      <w:marLeft w:val="0"/>
      <w:marRight w:val="0"/>
      <w:marTop w:val="0"/>
      <w:marBottom w:val="0"/>
      <w:divBdr>
        <w:top w:val="none" w:sz="0" w:space="0" w:color="auto"/>
        <w:left w:val="none" w:sz="0" w:space="0" w:color="auto"/>
        <w:bottom w:val="none" w:sz="0" w:space="0" w:color="auto"/>
        <w:right w:val="none" w:sz="0" w:space="0" w:color="auto"/>
      </w:divBdr>
      <w:divsChild>
        <w:div w:id="1209150264">
          <w:marLeft w:val="0"/>
          <w:marRight w:val="0"/>
          <w:marTop w:val="0"/>
          <w:marBottom w:val="0"/>
          <w:divBdr>
            <w:top w:val="none" w:sz="0" w:space="0" w:color="auto"/>
            <w:left w:val="none" w:sz="0" w:space="0" w:color="auto"/>
            <w:bottom w:val="none" w:sz="0" w:space="0" w:color="auto"/>
            <w:right w:val="none" w:sz="0" w:space="0" w:color="auto"/>
          </w:divBdr>
          <w:divsChild>
            <w:div w:id="71440240">
              <w:marLeft w:val="0"/>
              <w:marRight w:val="0"/>
              <w:marTop w:val="0"/>
              <w:marBottom w:val="0"/>
              <w:divBdr>
                <w:top w:val="none" w:sz="0" w:space="0" w:color="auto"/>
                <w:left w:val="none" w:sz="0" w:space="0" w:color="auto"/>
                <w:bottom w:val="none" w:sz="0" w:space="0" w:color="auto"/>
                <w:right w:val="none" w:sz="0" w:space="0" w:color="auto"/>
              </w:divBdr>
            </w:div>
            <w:div w:id="1056707270">
              <w:marLeft w:val="0"/>
              <w:marRight w:val="0"/>
              <w:marTop w:val="0"/>
              <w:marBottom w:val="0"/>
              <w:divBdr>
                <w:top w:val="none" w:sz="0" w:space="0" w:color="auto"/>
                <w:left w:val="none" w:sz="0" w:space="0" w:color="auto"/>
                <w:bottom w:val="none" w:sz="0" w:space="0" w:color="auto"/>
                <w:right w:val="none" w:sz="0" w:space="0" w:color="auto"/>
              </w:divBdr>
              <w:divsChild>
                <w:div w:id="1509835072">
                  <w:marLeft w:val="0"/>
                  <w:marRight w:val="0"/>
                  <w:marTop w:val="0"/>
                  <w:marBottom w:val="0"/>
                  <w:divBdr>
                    <w:top w:val="none" w:sz="0" w:space="0" w:color="auto"/>
                    <w:left w:val="none" w:sz="0" w:space="0" w:color="auto"/>
                    <w:bottom w:val="none" w:sz="0" w:space="0" w:color="auto"/>
                    <w:right w:val="none" w:sz="0" w:space="0" w:color="auto"/>
                  </w:divBdr>
                  <w:divsChild>
                    <w:div w:id="1685326879">
                      <w:marLeft w:val="0"/>
                      <w:marRight w:val="0"/>
                      <w:marTop w:val="0"/>
                      <w:marBottom w:val="0"/>
                      <w:divBdr>
                        <w:top w:val="none" w:sz="0" w:space="0" w:color="auto"/>
                        <w:left w:val="none" w:sz="0" w:space="0" w:color="auto"/>
                        <w:bottom w:val="none" w:sz="0" w:space="0" w:color="auto"/>
                        <w:right w:val="none" w:sz="0" w:space="0" w:color="auto"/>
                      </w:divBdr>
                    </w:div>
                    <w:div w:id="1413241361">
                      <w:marLeft w:val="0"/>
                      <w:marRight w:val="0"/>
                      <w:marTop w:val="0"/>
                      <w:marBottom w:val="0"/>
                      <w:divBdr>
                        <w:top w:val="none" w:sz="0" w:space="0" w:color="auto"/>
                        <w:left w:val="none" w:sz="0" w:space="0" w:color="auto"/>
                        <w:bottom w:val="none" w:sz="0" w:space="0" w:color="auto"/>
                        <w:right w:val="none" w:sz="0" w:space="0" w:color="auto"/>
                      </w:divBdr>
                    </w:div>
                    <w:div w:id="1806198341">
                      <w:marLeft w:val="0"/>
                      <w:marRight w:val="0"/>
                      <w:marTop w:val="0"/>
                      <w:marBottom w:val="0"/>
                      <w:divBdr>
                        <w:top w:val="none" w:sz="0" w:space="0" w:color="auto"/>
                        <w:left w:val="none" w:sz="0" w:space="0" w:color="auto"/>
                        <w:bottom w:val="none" w:sz="0" w:space="0" w:color="auto"/>
                        <w:right w:val="none" w:sz="0" w:space="0" w:color="auto"/>
                      </w:divBdr>
                    </w:div>
                    <w:div w:id="2007901052">
                      <w:marLeft w:val="0"/>
                      <w:marRight w:val="0"/>
                      <w:marTop w:val="0"/>
                      <w:marBottom w:val="0"/>
                      <w:divBdr>
                        <w:top w:val="none" w:sz="0" w:space="0" w:color="auto"/>
                        <w:left w:val="none" w:sz="0" w:space="0" w:color="auto"/>
                        <w:bottom w:val="none" w:sz="0" w:space="0" w:color="auto"/>
                        <w:right w:val="none" w:sz="0" w:space="0" w:color="auto"/>
                      </w:divBdr>
                    </w:div>
                    <w:div w:id="1665012360">
                      <w:marLeft w:val="0"/>
                      <w:marRight w:val="0"/>
                      <w:marTop w:val="0"/>
                      <w:marBottom w:val="0"/>
                      <w:divBdr>
                        <w:top w:val="none" w:sz="0" w:space="0" w:color="auto"/>
                        <w:left w:val="none" w:sz="0" w:space="0" w:color="auto"/>
                        <w:bottom w:val="none" w:sz="0" w:space="0" w:color="auto"/>
                        <w:right w:val="none" w:sz="0" w:space="0" w:color="auto"/>
                      </w:divBdr>
                    </w:div>
                    <w:div w:id="179970916">
                      <w:marLeft w:val="0"/>
                      <w:marRight w:val="0"/>
                      <w:marTop w:val="0"/>
                      <w:marBottom w:val="0"/>
                      <w:divBdr>
                        <w:top w:val="none" w:sz="0" w:space="0" w:color="auto"/>
                        <w:left w:val="none" w:sz="0" w:space="0" w:color="auto"/>
                        <w:bottom w:val="none" w:sz="0" w:space="0" w:color="auto"/>
                        <w:right w:val="none" w:sz="0" w:space="0" w:color="auto"/>
                      </w:divBdr>
                    </w:div>
                    <w:div w:id="1473978981">
                      <w:marLeft w:val="0"/>
                      <w:marRight w:val="0"/>
                      <w:marTop w:val="0"/>
                      <w:marBottom w:val="0"/>
                      <w:divBdr>
                        <w:top w:val="none" w:sz="0" w:space="0" w:color="auto"/>
                        <w:left w:val="none" w:sz="0" w:space="0" w:color="auto"/>
                        <w:bottom w:val="none" w:sz="0" w:space="0" w:color="auto"/>
                        <w:right w:val="none" w:sz="0" w:space="0" w:color="auto"/>
                      </w:divBdr>
                    </w:div>
                    <w:div w:id="19929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2450">
          <w:marLeft w:val="0"/>
          <w:marRight w:val="0"/>
          <w:marTop w:val="0"/>
          <w:marBottom w:val="0"/>
          <w:divBdr>
            <w:top w:val="none" w:sz="0" w:space="0" w:color="auto"/>
            <w:left w:val="none" w:sz="0" w:space="0" w:color="auto"/>
            <w:bottom w:val="none" w:sz="0" w:space="0" w:color="auto"/>
            <w:right w:val="none" w:sz="0" w:space="0" w:color="auto"/>
          </w:divBdr>
          <w:divsChild>
            <w:div w:id="2070028345">
              <w:marLeft w:val="0"/>
              <w:marRight w:val="0"/>
              <w:marTop w:val="0"/>
              <w:marBottom w:val="0"/>
              <w:divBdr>
                <w:top w:val="none" w:sz="0" w:space="0" w:color="auto"/>
                <w:left w:val="none" w:sz="0" w:space="0" w:color="auto"/>
                <w:bottom w:val="none" w:sz="0" w:space="0" w:color="auto"/>
                <w:right w:val="none" w:sz="0" w:space="0" w:color="auto"/>
              </w:divBdr>
              <w:divsChild>
                <w:div w:id="406656662">
                  <w:marLeft w:val="0"/>
                  <w:marRight w:val="0"/>
                  <w:marTop w:val="0"/>
                  <w:marBottom w:val="0"/>
                  <w:divBdr>
                    <w:top w:val="none" w:sz="0" w:space="0" w:color="auto"/>
                    <w:left w:val="none" w:sz="0" w:space="0" w:color="auto"/>
                    <w:bottom w:val="none" w:sz="0" w:space="0" w:color="auto"/>
                    <w:right w:val="none" w:sz="0" w:space="0" w:color="auto"/>
                  </w:divBdr>
                  <w:divsChild>
                    <w:div w:id="3138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46226">
      <w:bodyDiv w:val="1"/>
      <w:marLeft w:val="0"/>
      <w:marRight w:val="0"/>
      <w:marTop w:val="0"/>
      <w:marBottom w:val="0"/>
      <w:divBdr>
        <w:top w:val="none" w:sz="0" w:space="0" w:color="auto"/>
        <w:left w:val="none" w:sz="0" w:space="0" w:color="auto"/>
        <w:bottom w:val="none" w:sz="0" w:space="0" w:color="auto"/>
        <w:right w:val="none" w:sz="0" w:space="0" w:color="auto"/>
      </w:divBdr>
    </w:div>
    <w:div w:id="213806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jrsssa/article/188/4/1203/7916496" TargetMode="External"/><Relationship Id="rId13" Type="http://schemas.openxmlformats.org/officeDocument/2006/relationships/hyperlink" Target="https://www.medrxiv.org/content/10.1101/2025.11.18.25340240v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nlinelibrary.wiley.com/doi/10.1111/ped.70307" TargetMode="External"/><Relationship Id="rId12" Type="http://schemas.openxmlformats.org/officeDocument/2006/relationships/hyperlink" Target="https://onlinelibrary.wiley.com/doi/10.1002/sim.7007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mjopen.bmj.com/content/15/9/e106182" TargetMode="External"/><Relationship Id="rId1" Type="http://schemas.openxmlformats.org/officeDocument/2006/relationships/numbering" Target="numbering.xml"/><Relationship Id="rId6" Type="http://schemas.openxmlformats.org/officeDocument/2006/relationships/hyperlink" Target="https://www.sciencedirect.com/science/article/pii/S2772707624002327?via%3Dihub" TargetMode="External"/><Relationship Id="rId11" Type="http://schemas.openxmlformats.org/officeDocument/2006/relationships/hyperlink" Target="https://www.frontiersin.org/journals/public-health/articles/10.3389/fpubh.2025.1601781/full" TargetMode="External"/><Relationship Id="rId5" Type="http://schemas.openxmlformats.org/officeDocument/2006/relationships/hyperlink" Target="https://www.cambridge.org/core/journals/epidemiology-and-infection/article/adapting-the-flexible-farrington-algorithm-for-daily-situational-awareness-and-alert-system-to-support-public-health-decisionmaking-during-the-sarscov2-epidemic-in-england/C5F09F36F80D35714CE56B99C7A0B55D" TargetMode="External"/><Relationship Id="rId15" Type="http://schemas.openxmlformats.org/officeDocument/2006/relationships/hyperlink" Target="https://pmc.ncbi.nlm.nih.gov/articles/PMC12270639/" TargetMode="External"/><Relationship Id="rId10" Type="http://schemas.openxmlformats.org/officeDocument/2006/relationships/hyperlink" Target="https://journals.plos.org/plosntds/article?id=10.1371/journal.pntd.0013571" TargetMode="External"/><Relationship Id="rId4" Type="http://schemas.openxmlformats.org/officeDocument/2006/relationships/webSettings" Target="webSettings.xml"/><Relationship Id="rId9" Type="http://schemas.openxmlformats.org/officeDocument/2006/relationships/hyperlink" Target="https://link.springer.com/article/10.1186/s41182-025-00723-7" TargetMode="External"/><Relationship Id="rId14" Type="http://schemas.openxmlformats.org/officeDocument/2006/relationships/hyperlink" Target="https://pmc.ncbi.nlm.nih.gov/articles/PMC119466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1695</TotalTime>
  <Pages>9</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Truong</dc:creator>
  <cp:keywords/>
  <dc:description/>
  <cp:lastModifiedBy>Quan Truong</cp:lastModifiedBy>
  <cp:revision>49</cp:revision>
  <cp:lastPrinted>2026-09-18T02:10:00Z</cp:lastPrinted>
  <dcterms:created xsi:type="dcterms:W3CDTF">2026-09-02T10:06:00Z</dcterms:created>
  <dcterms:modified xsi:type="dcterms:W3CDTF">2026-09-18T02:17:00Z</dcterms:modified>
</cp:coreProperties>
</file>