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4092" w14:textId="77777777" w:rsidR="003F09EE" w:rsidRPr="00984110" w:rsidRDefault="00000000">
      <w:pPr>
        <w:pStyle w:val="Heading3"/>
        <w:rPr>
          <w:rFonts w:ascii="黑体" w:eastAsia="黑体" w:hAnsi="黑体"/>
          <w:b/>
          <w:bCs/>
          <w:color w:val="auto"/>
          <w:lang w:eastAsia="zh-CN"/>
        </w:rPr>
      </w:pPr>
      <w:bookmarkStart w:id="0" w:name="课题报告气候危机下的双轨策略融合缓解与适应的综合路径"/>
      <w:r w:rsidRPr="00984110">
        <w:rPr>
          <w:rFonts w:ascii="黑体" w:eastAsia="黑体" w:hAnsi="黑体" w:hint="eastAsia"/>
          <w:b/>
          <w:bCs/>
          <w:color w:val="auto"/>
          <w:lang w:eastAsia="zh-CN"/>
        </w:rPr>
        <w:t>课题报告：气候危机下的双轨策略——融合缓解与适应的综合路径</w:t>
      </w:r>
    </w:p>
    <w:p w14:paraId="1326F3EA" w14:textId="77777777" w:rsidR="003F09EE" w:rsidRPr="00984110" w:rsidRDefault="00000000">
      <w:pPr>
        <w:pStyle w:val="Heading4"/>
        <w:rPr>
          <w:rFonts w:ascii="黑体" w:eastAsia="黑体" w:hAnsi="黑体"/>
          <w:b/>
          <w:bCs/>
          <w:i w:val="0"/>
          <w:iCs w:val="0"/>
          <w:color w:val="auto"/>
          <w:lang w:eastAsia="zh-CN"/>
        </w:rPr>
      </w:pPr>
      <w:bookmarkStart w:id="1" w:name="引言重新定义问题"/>
      <w:r w:rsidRPr="00984110">
        <w:rPr>
          <w:rFonts w:ascii="黑体" w:eastAsia="黑体" w:hAnsi="黑体" w:hint="eastAsia"/>
          <w:b/>
          <w:bCs/>
          <w:i w:val="0"/>
          <w:iCs w:val="0"/>
          <w:color w:val="auto"/>
          <w:lang w:eastAsia="zh-CN"/>
        </w:rPr>
        <w:t>引言：重新定义问题</w:t>
      </w:r>
    </w:p>
    <w:p w14:paraId="58680770"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讲座的开篇为我们设定了一个紧迫的时代背景：我们正站在决定地球未来气候轨迹的十字路口。要做出正确的选择，首先必须对问题的本质有深刻的科学理解。传统的思维方式常常将全球变暖和空气污染分割看待，然而，一项根本性的认知突破在于，必须将二者视为同一枚硬币的两面。本报告旨在整合三份关键文献的洞见，论证为何必须采取一种将缓解（Mitigation）与适应（Adaptation）相结合的“双轨策略”，并揭示此路径中所蕴含的机遇与挑战。</w:t>
      </w:r>
    </w:p>
    <w:p w14:paraId="29F22CB4" w14:textId="77777777" w:rsidR="003F09EE" w:rsidRPr="00984110" w:rsidRDefault="00000000">
      <w:pPr>
        <w:pStyle w:val="Heading4"/>
        <w:rPr>
          <w:rFonts w:ascii="黑体" w:eastAsia="黑体" w:hAnsi="黑体"/>
          <w:i w:val="0"/>
          <w:iCs w:val="0"/>
          <w:color w:val="auto"/>
          <w:lang w:eastAsia="zh-CN"/>
        </w:rPr>
      </w:pPr>
      <w:bookmarkStart w:id="2" w:name="核心洞见从同源共治到协同效益"/>
      <w:bookmarkEnd w:id="1"/>
      <w:r w:rsidRPr="00984110">
        <w:rPr>
          <w:rFonts w:ascii="黑体" w:eastAsia="黑体" w:hAnsi="黑体"/>
          <w:b/>
          <w:bCs/>
          <w:i w:val="0"/>
          <w:iCs w:val="0"/>
          <w:color w:val="auto"/>
          <w:lang w:eastAsia="zh-CN"/>
        </w:rPr>
        <w:t xml:space="preserve">1. </w:t>
      </w:r>
      <w:r w:rsidRPr="00984110">
        <w:rPr>
          <w:rFonts w:ascii="黑体" w:eastAsia="黑体" w:hAnsi="黑体" w:hint="eastAsia"/>
          <w:b/>
          <w:bCs/>
          <w:i w:val="0"/>
          <w:iCs w:val="0"/>
          <w:color w:val="auto"/>
          <w:lang w:eastAsia="zh-CN"/>
        </w:rPr>
        <w:t>核心洞见：从“同源共治”到“协同效益”</w:t>
      </w:r>
    </w:p>
    <w:p w14:paraId="4AA9C723"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解决任何复杂问题的第一步，是准确识别其根源。在气候与环境领域，一个强有力的证据表明，工业化和城市化进程中的化石燃料燃烧，是导致大气污染和气候变化的共同驱动力。发电厂的烟囱和车辆的排气管，在释放驱动全球变暖的二氧化碳（CO2）的同时，也排放了直接危害我们健康的二氧化硫（</w:t>
      </w:r>
      <w:proofErr w:type="spellStart"/>
      <w:r w:rsidRPr="00984110">
        <w:rPr>
          <w:rFonts w:ascii="黑体" w:eastAsia="黑体" w:hAnsi="黑体" w:hint="eastAsia"/>
          <w:lang w:eastAsia="zh-CN"/>
        </w:rPr>
        <w:t>SOx</w:t>
      </w:r>
      <w:proofErr w:type="spellEnd"/>
      <w:r w:rsidRPr="00984110">
        <w:rPr>
          <w:rFonts w:ascii="黑体" w:eastAsia="黑体" w:hAnsi="黑体" w:hint="eastAsia"/>
          <w:lang w:eastAsia="zh-CN"/>
        </w:rPr>
        <w:t>）、氮氧化物（NOx）等空气污染物[1]。</w:t>
      </w:r>
    </w:p>
    <w:p w14:paraId="6E496A12" w14:textId="77777777" w:rsidR="003F09EE" w:rsidRPr="00984110" w:rsidRDefault="00000000">
      <w:pPr>
        <w:pStyle w:val="BodyText"/>
        <w:rPr>
          <w:rFonts w:ascii="黑体" w:eastAsia="黑体" w:hAnsi="黑体"/>
          <w:lang w:eastAsia="zh-CN"/>
        </w:rPr>
      </w:pPr>
      <w:r w:rsidRPr="00984110">
        <w:rPr>
          <w:rFonts w:ascii="黑体" w:eastAsia="黑体" w:hAnsi="黑体" w:hint="eastAsia"/>
          <w:lang w:eastAsia="zh-CN"/>
        </w:rPr>
        <w:t>这一“同根同源”的特性，揭示了一条极为高效的治理路径。报告明确指出，要有效减缓空气污染和气候变化，就必须解决化石燃料燃烧这一共同来源[1]。这意味着，任何旨在削减化石燃料消耗的</w:t>
      </w:r>
      <w:r w:rsidRPr="00984110">
        <w:rPr>
          <w:rFonts w:ascii="黑体" w:eastAsia="黑体" w:hAnsi="黑体" w:hint="eastAsia"/>
          <w:b/>
          <w:bCs/>
          <w:lang w:eastAsia="zh-CN"/>
        </w:rPr>
        <w:t>缓解</w:t>
      </w:r>
      <w:r w:rsidRPr="00984110">
        <w:rPr>
          <w:rFonts w:ascii="黑体" w:eastAsia="黑体" w:hAnsi="黑体" w:hint="eastAsia"/>
          <w:lang w:eastAsia="zh-CN"/>
        </w:rPr>
        <w:t>策略，都将自动产生“协同效益”（Co-benefits）。例如，用风能或太阳能取代燃煤发电，不仅可以从源头上切断温室气体的排放，也能立竿见影地改善我们呼吸的空气质量，为公众健康和经济带来直接的好处[1]。因此，我们的核心缓解策略不应仅仅被视为长期的气候投资，更应被看作是解决当下环境与健康危机的即时解决方案。</w:t>
      </w:r>
    </w:p>
    <w:p w14:paraId="11772502" w14:textId="77777777" w:rsidR="003F09EE" w:rsidRPr="00984110" w:rsidRDefault="00000000">
      <w:pPr>
        <w:pStyle w:val="Heading4"/>
        <w:rPr>
          <w:rFonts w:ascii="黑体" w:eastAsia="黑体" w:hAnsi="黑体"/>
          <w:i w:val="0"/>
          <w:iCs w:val="0"/>
          <w:color w:val="auto"/>
          <w:lang w:eastAsia="zh-CN"/>
        </w:rPr>
      </w:pPr>
      <w:bookmarkStart w:id="3" w:name="缓解策略的复杂性当解决方案遭遇反作用"/>
      <w:bookmarkEnd w:id="2"/>
      <w:r w:rsidRPr="00984110">
        <w:rPr>
          <w:rFonts w:ascii="黑体" w:eastAsia="黑体" w:hAnsi="黑体"/>
          <w:b/>
          <w:bCs/>
          <w:i w:val="0"/>
          <w:iCs w:val="0"/>
          <w:color w:val="auto"/>
          <w:lang w:eastAsia="zh-CN"/>
        </w:rPr>
        <w:t xml:space="preserve">2. </w:t>
      </w:r>
      <w:r w:rsidRPr="00984110">
        <w:rPr>
          <w:rFonts w:ascii="黑体" w:eastAsia="黑体" w:hAnsi="黑体" w:hint="eastAsia"/>
          <w:b/>
          <w:bCs/>
          <w:i w:val="0"/>
          <w:iCs w:val="0"/>
          <w:color w:val="auto"/>
          <w:lang w:eastAsia="zh-CN"/>
        </w:rPr>
        <w:t>缓解策略的复杂性：当解决方案遭遇“反作用”</w:t>
      </w:r>
    </w:p>
    <w:p w14:paraId="22D389EE"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然而，当我们全力推进以可再生能源为核心的缓解策略时，必须警惕一个严峻的复杂性：作为解决方案的可再生能源系统，其自身恰恰容易受到气候变化的冲击。这形成了一种棘手的“反作用”或反馈循环，为能源转型带来了新的不确定性[3]。</w:t>
      </w:r>
    </w:p>
    <w:p w14:paraId="285F3EE3" w14:textId="77777777" w:rsidR="003F09EE" w:rsidRPr="00984110" w:rsidRDefault="00000000">
      <w:pPr>
        <w:pStyle w:val="BodyText"/>
        <w:rPr>
          <w:rFonts w:ascii="黑体" w:eastAsia="黑体" w:hAnsi="黑体"/>
          <w:lang w:eastAsia="zh-CN"/>
        </w:rPr>
      </w:pPr>
      <w:r w:rsidRPr="00984110">
        <w:rPr>
          <w:rFonts w:ascii="黑体" w:eastAsia="黑体" w:hAnsi="黑体" w:hint="eastAsia"/>
          <w:lang w:eastAsia="zh-CN"/>
        </w:rPr>
        <w:t>具体而言，气候变化将从以下几个方面反作用于我们的核心缓解工具：</w:t>
      </w:r>
    </w:p>
    <w:p w14:paraId="68FC529E" w14:textId="77777777" w:rsidR="003F09EE" w:rsidRPr="00984110" w:rsidRDefault="00000000">
      <w:pPr>
        <w:pStyle w:val="Compact"/>
        <w:numPr>
          <w:ilvl w:val="0"/>
          <w:numId w:val="2"/>
        </w:numPr>
        <w:rPr>
          <w:rFonts w:ascii="黑体" w:eastAsia="黑体" w:hAnsi="黑体"/>
          <w:lang w:eastAsia="zh-CN"/>
        </w:rPr>
      </w:pPr>
      <w:r w:rsidRPr="00984110">
        <w:rPr>
          <w:rFonts w:ascii="黑体" w:eastAsia="黑体" w:hAnsi="黑体" w:hint="eastAsia"/>
          <w:b/>
          <w:bCs/>
          <w:lang w:eastAsia="zh-CN"/>
        </w:rPr>
        <w:t>对太阳能的挑战</w:t>
      </w:r>
      <w:r w:rsidRPr="00984110">
        <w:rPr>
          <w:rFonts w:ascii="黑体" w:eastAsia="黑体" w:hAnsi="黑体" w:hint="eastAsia"/>
          <w:lang w:eastAsia="zh-CN"/>
        </w:rPr>
        <w:t>：气候变化导致的全球升温会直接降低太阳能电池板的发电效率；同时，变化的气候模式可能在部分地区带来更多的云量和大气尘埃，这些都会削弱地表接收的太阳辐射，从而影响光伏（PV）和聚光太阳能（CSP）的发电量[3]。</w:t>
      </w:r>
    </w:p>
    <w:p w14:paraId="32FA7488" w14:textId="77777777" w:rsidR="003F09EE" w:rsidRPr="00984110" w:rsidRDefault="00000000">
      <w:pPr>
        <w:pStyle w:val="Compact"/>
        <w:numPr>
          <w:ilvl w:val="0"/>
          <w:numId w:val="2"/>
        </w:numPr>
        <w:rPr>
          <w:rFonts w:ascii="黑体" w:eastAsia="黑体" w:hAnsi="黑体"/>
          <w:lang w:eastAsia="zh-CN"/>
        </w:rPr>
      </w:pPr>
      <w:r w:rsidRPr="00984110">
        <w:rPr>
          <w:rFonts w:ascii="黑体" w:eastAsia="黑体" w:hAnsi="黑体" w:hint="eastAsia"/>
          <w:b/>
          <w:bCs/>
          <w:lang w:eastAsia="zh-CN"/>
        </w:rPr>
        <w:t>对风能的挑战</w:t>
      </w:r>
      <w:r w:rsidRPr="00984110">
        <w:rPr>
          <w:rFonts w:ascii="黑体" w:eastAsia="黑体" w:hAnsi="黑体" w:hint="eastAsia"/>
          <w:lang w:eastAsia="zh-CN"/>
        </w:rPr>
        <w:t>：全球风场模式的变化是气候变化的一个确定性后果，但其区域性影响却高度不确定，不同模型对未来风速的预测甚至会相互矛盾。这意味着，今天精心选址的风电场，在未来可能因风力资源的减少而效益大打折扣，给长期投资带来风险[3]。</w:t>
      </w:r>
    </w:p>
    <w:p w14:paraId="4D5545EB" w14:textId="77777777" w:rsidR="003F09EE" w:rsidRPr="00984110" w:rsidRDefault="00000000">
      <w:pPr>
        <w:pStyle w:val="Compact"/>
        <w:numPr>
          <w:ilvl w:val="0"/>
          <w:numId w:val="2"/>
        </w:numPr>
        <w:rPr>
          <w:rFonts w:ascii="黑体" w:eastAsia="黑体" w:hAnsi="黑体"/>
          <w:lang w:eastAsia="zh-CN"/>
        </w:rPr>
      </w:pPr>
      <w:r w:rsidRPr="00984110">
        <w:rPr>
          <w:rFonts w:ascii="黑体" w:eastAsia="黑体" w:hAnsi="黑体" w:hint="eastAsia"/>
          <w:b/>
          <w:bCs/>
          <w:lang w:eastAsia="zh-CN"/>
        </w:rPr>
        <w:lastRenderedPageBreak/>
        <w:t>对水力发电的挑战</w:t>
      </w:r>
      <w:r w:rsidRPr="00984110">
        <w:rPr>
          <w:rFonts w:ascii="黑体" w:eastAsia="黑体" w:hAnsi="黑体" w:hint="eastAsia"/>
          <w:lang w:eastAsia="zh-CN"/>
        </w:rPr>
        <w:t>：气候变化通过改变降水模式（更集中的暴雨）和加速冰雪融化，严重扰乱了水电站赖以为生的径流。春季的融雪洪水可能超出水库的调节能力而白白流失，而到了夏季用电高峰期，却可能因径流减少而无水发电，这种季节性的“失配”将使得水电站的管理愈发困难[3]。</w:t>
      </w:r>
    </w:p>
    <w:p w14:paraId="5B683145"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这一系列发现警示我们，缓解策略绝非一劳永逸。我们的能源转型规划必须具备“气候韧性”，在项目选址、技术选型和系统设计中，充分预估未来气候变化可能带来的冲击[3]。</w:t>
      </w:r>
    </w:p>
    <w:p w14:paraId="4737094B" w14:textId="77777777" w:rsidR="003F09EE" w:rsidRPr="00984110" w:rsidRDefault="00000000">
      <w:pPr>
        <w:pStyle w:val="Heading4"/>
        <w:rPr>
          <w:rFonts w:ascii="黑体" w:eastAsia="黑体" w:hAnsi="黑体"/>
          <w:i w:val="0"/>
          <w:iCs w:val="0"/>
          <w:color w:val="auto"/>
          <w:lang w:eastAsia="zh-CN"/>
        </w:rPr>
      </w:pPr>
      <w:bookmarkStart w:id="4" w:name="适应策略的必要性直面不可避免的农业冲击"/>
      <w:bookmarkEnd w:id="3"/>
      <w:r w:rsidRPr="00984110">
        <w:rPr>
          <w:rFonts w:ascii="黑体" w:eastAsia="黑体" w:hAnsi="黑体"/>
          <w:b/>
          <w:bCs/>
          <w:i w:val="0"/>
          <w:iCs w:val="0"/>
          <w:color w:val="auto"/>
          <w:lang w:eastAsia="zh-CN"/>
        </w:rPr>
        <w:t xml:space="preserve">3. </w:t>
      </w:r>
      <w:r w:rsidRPr="00984110">
        <w:rPr>
          <w:rFonts w:ascii="黑体" w:eastAsia="黑体" w:hAnsi="黑体" w:hint="eastAsia"/>
          <w:b/>
          <w:bCs/>
          <w:i w:val="0"/>
          <w:iCs w:val="0"/>
          <w:color w:val="auto"/>
          <w:lang w:eastAsia="zh-CN"/>
        </w:rPr>
        <w:t>适应策略的必要性：直面不可避免的农业冲击</w:t>
      </w:r>
    </w:p>
    <w:p w14:paraId="256C6B4C"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与缓解行动并行，我们必须认识到，由于过去排放的累积效应，相当一部分气候变化的影响已经不可避免。这就要求我们必须立即启动并加强</w:t>
      </w:r>
      <w:r w:rsidRPr="00984110">
        <w:rPr>
          <w:rFonts w:ascii="黑体" w:eastAsia="黑体" w:hAnsi="黑体" w:hint="eastAsia"/>
          <w:b/>
          <w:bCs/>
          <w:lang w:eastAsia="zh-CN"/>
        </w:rPr>
        <w:t>适应</w:t>
      </w:r>
      <w:r w:rsidRPr="00984110">
        <w:rPr>
          <w:rFonts w:ascii="黑体" w:eastAsia="黑体" w:hAnsi="黑体" w:hint="eastAsia"/>
          <w:lang w:eastAsia="zh-CN"/>
        </w:rPr>
        <w:t>策略，以保护社会经济的薄弱环节，而农业正是这条战线的最前沿[2]。</w:t>
      </w:r>
    </w:p>
    <w:p w14:paraId="4B5D0F69" w14:textId="77777777" w:rsidR="003F09EE" w:rsidRPr="00984110" w:rsidRDefault="00000000">
      <w:pPr>
        <w:pStyle w:val="BodyText"/>
        <w:rPr>
          <w:rFonts w:ascii="黑体" w:eastAsia="黑体" w:hAnsi="黑体"/>
          <w:lang w:eastAsia="zh-CN"/>
        </w:rPr>
      </w:pPr>
      <w:r w:rsidRPr="00984110">
        <w:rPr>
          <w:rFonts w:ascii="黑体" w:eastAsia="黑体" w:hAnsi="黑体" w:hint="eastAsia"/>
          <w:lang w:eastAsia="zh-CN"/>
        </w:rPr>
        <w:t>文献系统地揭示了气候变化如何从多个维度威胁农业的可持续性：</w:t>
      </w:r>
    </w:p>
    <w:p w14:paraId="4C250FF4" w14:textId="77777777" w:rsidR="003F09EE" w:rsidRPr="00984110" w:rsidRDefault="00000000">
      <w:pPr>
        <w:pStyle w:val="Compact"/>
        <w:numPr>
          <w:ilvl w:val="0"/>
          <w:numId w:val="3"/>
        </w:numPr>
        <w:rPr>
          <w:rFonts w:ascii="黑体" w:eastAsia="黑体" w:hAnsi="黑体"/>
          <w:lang w:eastAsia="zh-CN"/>
        </w:rPr>
      </w:pPr>
      <w:r w:rsidRPr="00984110">
        <w:rPr>
          <w:rFonts w:ascii="黑体" w:eastAsia="黑体" w:hAnsi="黑体" w:hint="eastAsia"/>
          <w:b/>
          <w:bCs/>
          <w:lang w:eastAsia="zh-CN"/>
        </w:rPr>
        <w:t>直接的物理冲击</w:t>
      </w:r>
      <w:r w:rsidRPr="00984110">
        <w:rPr>
          <w:rFonts w:ascii="黑体" w:eastAsia="黑体" w:hAnsi="黑体" w:hint="eastAsia"/>
          <w:lang w:eastAsia="zh-CN"/>
        </w:rPr>
        <w:t>：水分胁迫、热浪、不规律的降雨、风暴和洪水等极端天气事件的频发，正在严重破坏农业的生产力[2]。</w:t>
      </w:r>
    </w:p>
    <w:p w14:paraId="44E1D131" w14:textId="77777777" w:rsidR="003F09EE" w:rsidRPr="00984110" w:rsidRDefault="00000000">
      <w:pPr>
        <w:pStyle w:val="Compact"/>
        <w:numPr>
          <w:ilvl w:val="0"/>
          <w:numId w:val="3"/>
        </w:numPr>
        <w:rPr>
          <w:rFonts w:ascii="黑体" w:eastAsia="黑体" w:hAnsi="黑体"/>
          <w:lang w:eastAsia="zh-CN"/>
        </w:rPr>
      </w:pPr>
      <w:r w:rsidRPr="00984110">
        <w:rPr>
          <w:rFonts w:ascii="黑体" w:eastAsia="黑体" w:hAnsi="黑体" w:hint="eastAsia"/>
          <w:b/>
          <w:bCs/>
          <w:lang w:eastAsia="zh-CN"/>
        </w:rPr>
        <w:t>对核心作物产量的威胁</w:t>
      </w:r>
      <w:r w:rsidRPr="00984110">
        <w:rPr>
          <w:rFonts w:ascii="黑体" w:eastAsia="黑体" w:hAnsi="黑体" w:hint="eastAsia"/>
          <w:lang w:eastAsia="zh-CN"/>
        </w:rPr>
        <w:t>：研究和模型已明确指出，全球主要粮食作物——小麦、玉米和水稻的产量和品质已经并会继续受到气候变化的不利影响。预测显示，未来玉米产量可能下降20-45%，水稻下降20-30%，大豆下降30-60%[2]。</w:t>
      </w:r>
    </w:p>
    <w:p w14:paraId="26231E91" w14:textId="77777777" w:rsidR="003F09EE" w:rsidRPr="00984110" w:rsidRDefault="00000000">
      <w:pPr>
        <w:pStyle w:val="Compact"/>
        <w:numPr>
          <w:ilvl w:val="0"/>
          <w:numId w:val="3"/>
        </w:numPr>
        <w:rPr>
          <w:rFonts w:ascii="黑体" w:eastAsia="黑体" w:hAnsi="黑体"/>
          <w:lang w:eastAsia="zh-CN"/>
        </w:rPr>
      </w:pPr>
      <w:r w:rsidRPr="00984110">
        <w:rPr>
          <w:rFonts w:ascii="黑体" w:eastAsia="黑体" w:hAnsi="黑体" w:hint="eastAsia"/>
          <w:b/>
          <w:bCs/>
          <w:lang w:eastAsia="zh-CN"/>
        </w:rPr>
        <w:t>生态系统的失衡</w:t>
      </w:r>
      <w:r w:rsidRPr="00984110">
        <w:rPr>
          <w:rFonts w:ascii="黑体" w:eastAsia="黑体" w:hAnsi="黑体" w:hint="eastAsia"/>
          <w:lang w:eastAsia="zh-CN"/>
        </w:rPr>
        <w:t>：气温升高会改变害虫的生命周期，可能导致其更早出现且破坏性更强，沙漠蝗虫的爆发就是例证。同时，温度与湿度的变化也为小麦锈病等作物病害的流行创造了更有利的条件[2]。</w:t>
      </w:r>
    </w:p>
    <w:p w14:paraId="2C586B61"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面对这场生存危机，适应策略必须具体且有效。文献中提出的关键措施包括：利用基因测序等先进技术，积极开发能够抵抗高温、干旱和病虫害的耐逆作物品种；通过优化灌溉、建立预警系统来精细化管理日益宝贵的水资源；以及通过作物多样化和保护性耕作，摆脱对单一作物的依赖，构建更有韧性的农业生态系统[2]。</w:t>
      </w:r>
    </w:p>
    <w:p w14:paraId="571C45BF" w14:textId="77777777" w:rsidR="003F09EE" w:rsidRPr="00984110" w:rsidRDefault="00000000">
      <w:pPr>
        <w:pStyle w:val="Heading4"/>
        <w:rPr>
          <w:rFonts w:ascii="黑体" w:eastAsia="黑体" w:hAnsi="黑体"/>
          <w:i w:val="0"/>
          <w:iCs w:val="0"/>
          <w:color w:val="auto"/>
          <w:lang w:eastAsia="zh-CN"/>
        </w:rPr>
      </w:pPr>
      <w:bookmarkStart w:id="5" w:name="结论迈向一体化的未来"/>
      <w:bookmarkEnd w:id="4"/>
      <w:r w:rsidRPr="00984110">
        <w:rPr>
          <w:rFonts w:ascii="黑体" w:eastAsia="黑体" w:hAnsi="黑体" w:hint="eastAsia"/>
          <w:b/>
          <w:bCs/>
          <w:i w:val="0"/>
          <w:iCs w:val="0"/>
          <w:color w:val="auto"/>
          <w:lang w:eastAsia="zh-CN"/>
        </w:rPr>
        <w:t>结论：迈向一体化的未来</w:t>
      </w:r>
    </w:p>
    <w:p w14:paraId="72ACA499" w14:textId="77777777" w:rsidR="003F09EE" w:rsidRPr="00984110" w:rsidRDefault="00000000">
      <w:pPr>
        <w:pStyle w:val="FirstParagraph"/>
        <w:rPr>
          <w:rFonts w:ascii="黑体" w:eastAsia="黑体" w:hAnsi="黑体"/>
          <w:lang w:eastAsia="zh-CN"/>
        </w:rPr>
      </w:pPr>
      <w:r w:rsidRPr="00984110">
        <w:rPr>
          <w:rFonts w:ascii="黑体" w:eastAsia="黑体" w:hAnsi="黑体" w:hint="eastAsia"/>
          <w:lang w:eastAsia="zh-CN"/>
        </w:rPr>
        <w:t>综合以上分析，一条清晰且务实的路径已然浮现。首先，我们必须将应对全球变暖和治理空气污染的目标合二为一，通过聚焦于能源转型来攻击其共同的根源，以求获得最大的协同效益[1]。其次，我们的缓解策略本身必须具有高度的智慧和前瞻性，充分考虑到气候变化对可再生能源系统自身的反作用，建设有韧性的清洁能源体系[3]。最后，我们必须毫不迟疑地推行强有力的适应议程，尤其是在农业等关键领域，通过技术和管理创新，为我们社会装上抵御气候冲击的“减震器”[2]。</w:t>
      </w:r>
    </w:p>
    <w:p w14:paraId="64337738" w14:textId="77777777" w:rsidR="003F09EE" w:rsidRPr="00984110" w:rsidRDefault="00000000">
      <w:pPr>
        <w:pStyle w:val="BodyText"/>
        <w:rPr>
          <w:rFonts w:ascii="黑体" w:eastAsia="黑体" w:hAnsi="黑体"/>
          <w:lang w:eastAsia="zh-CN"/>
        </w:rPr>
      </w:pPr>
      <w:r w:rsidRPr="00984110">
        <w:rPr>
          <w:rFonts w:ascii="黑体" w:eastAsia="黑体" w:hAnsi="黑体" w:hint="eastAsia"/>
          <w:lang w:eastAsia="zh-CN"/>
        </w:rPr>
        <w:t>缓解与适应并非二选一的选项，而是我们应对气候危机这辆战车的两个车轮，缺一不可。未来的成功，取决于我们能否将二者紧密结合，以科学洞见为罗盘，走出一条既能减缓全球变暖，又能适应其影响的综合性可持续发展之路。</w:t>
      </w:r>
    </w:p>
    <w:p w14:paraId="25718014" w14:textId="77777777" w:rsidR="003F09EE" w:rsidRPr="00984110" w:rsidRDefault="00000000">
      <w:pPr>
        <w:pStyle w:val="Heading3"/>
        <w:rPr>
          <w:rFonts w:ascii="黑体" w:eastAsia="黑体" w:hAnsi="黑体"/>
          <w:color w:val="auto"/>
        </w:rPr>
      </w:pPr>
      <w:bookmarkStart w:id="6" w:name="参考文献"/>
      <w:bookmarkEnd w:id="0"/>
      <w:bookmarkEnd w:id="5"/>
      <w:proofErr w:type="spellStart"/>
      <w:r w:rsidRPr="00984110">
        <w:rPr>
          <w:rFonts w:ascii="黑体" w:eastAsia="黑体" w:hAnsi="黑体" w:hint="eastAsia"/>
          <w:b/>
          <w:bCs/>
          <w:color w:val="auto"/>
        </w:rPr>
        <w:lastRenderedPageBreak/>
        <w:t>参考文献</w:t>
      </w:r>
      <w:proofErr w:type="spellEnd"/>
    </w:p>
    <w:p w14:paraId="0E4B45DA" w14:textId="77777777" w:rsidR="003F09EE" w:rsidRPr="00984110" w:rsidRDefault="00000000">
      <w:pPr>
        <w:pStyle w:val="FirstParagraph"/>
        <w:rPr>
          <w:rFonts w:ascii="黑体" w:eastAsia="黑体" w:hAnsi="黑体"/>
        </w:rPr>
      </w:pPr>
      <w:r w:rsidRPr="00984110">
        <w:rPr>
          <w:rFonts w:ascii="黑体" w:eastAsia="黑体" w:hAnsi="黑体"/>
        </w:rPr>
        <w:t>[1] Saxena, V. (2025). Water quality, air pollution, and climate change: investigating the environmental impacts of industrialization and urbanization. Water, Air, &amp; Soil Pollution, 236(2), 73.</w:t>
      </w:r>
      <w:r w:rsidRPr="00984110">
        <w:rPr>
          <w:rFonts w:ascii="黑体" w:eastAsia="黑体" w:hAnsi="黑体"/>
        </w:rPr>
        <w:br/>
        <w:t>[2] Verma, K. K., Song, X. P., Kumari, A., Jagadesh, M., Singh, S. K., Bhatt, R., … &amp; Li, Y. R. (2025). Climate change adaptation: challenges for agricultural sustainability. Plant, Cell &amp; Environment, 48(4), 2522-2533.</w:t>
      </w:r>
      <w:r w:rsidRPr="00984110">
        <w:rPr>
          <w:rFonts w:ascii="黑体" w:eastAsia="黑体" w:hAnsi="黑体"/>
        </w:rPr>
        <w:br/>
        <w:t>[3] Kumler, A., Kravitz, B., Draxl, C., Vimmerstedt, L., Benton, B., Lundquist, J. K., … &amp; Tao, L. (2025). Potential effects of climate change and solar radiation modification on renewable energy resources. Renewable and Sustainable Energy Reviews, 207, 114934.</w:t>
      </w:r>
      <w:bookmarkEnd w:id="6"/>
    </w:p>
    <w:sectPr w:rsidR="003F09EE" w:rsidRPr="0098411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E4FA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C822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5076126">
    <w:abstractNumId w:val="0"/>
  </w:num>
  <w:num w:numId="2" w16cid:durableId="87432633">
    <w:abstractNumId w:val="1"/>
  </w:num>
  <w:num w:numId="3" w16cid:durableId="188302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F09EE"/>
    <w:rsid w:val="00251BC1"/>
    <w:rsid w:val="003F09EE"/>
    <w:rsid w:val="00984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B4FC"/>
  <w15:docId w15:val="{E6FCD454-64C9-42DF-8862-60FA095D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HCID274</cp:lastModifiedBy>
  <cp:revision>2</cp:revision>
  <dcterms:created xsi:type="dcterms:W3CDTF">2025-07-29T01:58:00Z</dcterms:created>
  <dcterms:modified xsi:type="dcterms:W3CDTF">2025-07-29T02:07:00Z</dcterms:modified>
</cp:coreProperties>
</file>