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4  Tối ưu chi phí Token</w:t>
      </w:r>
    </w:p>
    <w:p>
      <w:pPr>
        <w:jc w:val="center"/>
      </w:pPr>
      <w:r>
        <w:rPr>
          <w:i/>
          <w:color w:val="5F6C78"/>
        </w:rPr>
        <w:t>So sánh Markdown và HTML trong hệ thống AI</w:t>
      </w:r>
    </w:p>
    <w:p>
      <w:r>
        <w:rPr>
          <w:b/>
        </w:rPr>
        <w:t xml:space="preserve">Kết luận: </w:t>
      </w:r>
      <w:r>
        <w:t>Với tài liệu thông thường như README, nên ưu tiên Markdown vì cú pháp gọn, dễ đọc và thường cần ít token hơn HTML. Lượng token thực tế còn tùy nội dung và bộ tách token; Markdown không tự động làm AI chính xác hơn trong mọi trường hợp.</w:t>
      </w:r>
    </w:p>
    <w:p>
      <w:pPr>
        <w:pStyle w:val="Heading1"/>
      </w:pPr>
      <w:r>
        <w:t>1. Phân tích bài toán</w:t>
      </w:r>
    </w:p>
    <w:p>
      <w:r>
        <w:t>Token là đơn vị văn bản mà mô hình AI dùng để đọc và tạo nội dung; token không tương đương cố định với một ký tự hay một từ. HTML thường thêm nhiều thẻ mở, thẻ đóng và thuộc tính như &lt;p&gt;, &lt;h1&gt;, &lt;strong&gt;. Markdown biểu diễn cùng cấu trúc bằng dấu ngắn như #, ** và dấu gạch đầu dòng, nên thường giảm phần ký tự định dạng và số token phải gửi.</w:t>
      </w:r>
    </w:p>
    <w:p>
      <w:r>
        <w:t>Khi đầu vào ít token hơn, hệ thống thường giảm chi phí và thời gian truyền, đồng thời dành được nhiều giới hạn ngữ cảnh hơn cho nội dung. Ít mã đánh dấu dư thừa cũng giúp nội dung nổi bật hơn. Tuy vậy, độ chính xác còn phụ thuộc cách viết, cấu trúc và mô hình; cần giữ tiêu đề, danh sách, bảng và code block rõ ràng.</w:t>
      </w:r>
    </w:p>
    <w:p>
      <w:pPr>
        <w:pStyle w:val="Heading1"/>
      </w:pPr>
      <w:r>
        <w:t>2. So sánh và đánh giá</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800"/>
            <w:shd w:fill="17365D"/>
          </w:tcPr>
          <w:p>
            <w:r>
              <w:rPr>
                <w:b/>
                <w:color w:val="FFFFFF"/>
                <w:sz w:val="18"/>
              </w:rPr>
              <w:t>Tiêu chí</w:t>
            </w:r>
          </w:p>
        </w:tc>
        <w:tc>
          <w:tcPr>
            <w:tcW w:type="dxa" w:w="2304"/>
            <w:shd w:fill="17365D"/>
          </w:tcPr>
          <w:p>
            <w:r>
              <w:rPr>
                <w:b/>
                <w:color w:val="FFFFFF"/>
                <w:sz w:val="18"/>
              </w:rPr>
              <w:t>Markdown</w:t>
            </w:r>
          </w:p>
        </w:tc>
        <w:tc>
          <w:tcPr>
            <w:tcW w:type="dxa" w:w="2376"/>
            <w:shd w:fill="17365D"/>
          </w:tcPr>
          <w:p>
            <w:r>
              <w:rPr>
                <w:b/>
                <w:color w:val="FFFFFF"/>
                <w:sz w:val="18"/>
              </w:rPr>
              <w:t>HTML</w:t>
            </w:r>
          </w:p>
        </w:tc>
        <w:tc>
          <w:tcPr>
            <w:tcW w:type="dxa" w:w="3240"/>
            <w:shd w:fill="17365D"/>
          </w:tcPr>
          <w:p>
            <w:r>
              <w:rPr>
                <w:b/>
                <w:color w:val="FFFFFF"/>
                <w:sz w:val="18"/>
              </w:rPr>
              <w:t>Nhận xét</w:t>
            </w:r>
          </w:p>
        </w:tc>
      </w:tr>
      <w:tr>
        <w:tc>
          <w:tcPr>
            <w:tcW w:type="dxa" w:w="1800"/>
            <w:vAlign w:val="center"/>
          </w:tcPr>
          <w:p>
            <w:pPr>
              <w:spacing w:after="40"/>
            </w:pPr>
            <w:r>
              <w:rPr>
                <w:sz w:val="17"/>
              </w:rPr>
              <w:t>Số ký tự / token</w:t>
            </w:r>
          </w:p>
        </w:tc>
        <w:tc>
          <w:tcPr>
            <w:tcW w:type="dxa" w:w="2304"/>
            <w:vAlign w:val="center"/>
          </w:tcPr>
          <w:p>
            <w:pPr>
              <w:spacing w:after="40"/>
            </w:pPr>
            <w:r>
              <w:rPr>
                <w:sz w:val="17"/>
              </w:rPr>
              <w:t>Thường ngắn hơn</w:t>
            </w:r>
          </w:p>
        </w:tc>
        <w:tc>
          <w:tcPr>
            <w:tcW w:type="dxa" w:w="2376"/>
            <w:vAlign w:val="center"/>
          </w:tcPr>
          <w:p>
            <w:pPr>
              <w:spacing w:after="40"/>
            </w:pPr>
            <w:r>
              <w:rPr>
                <w:sz w:val="17"/>
              </w:rPr>
              <w:t>Thường dài hơn do nhiều thẻ</w:t>
            </w:r>
          </w:p>
        </w:tc>
        <w:tc>
          <w:tcPr>
            <w:tcW w:type="dxa" w:w="3240"/>
            <w:vAlign w:val="center"/>
          </w:tcPr>
          <w:p>
            <w:pPr>
              <w:spacing w:after="40"/>
            </w:pPr>
            <w:r>
              <w:rPr>
                <w:sz w:val="17"/>
              </w:rPr>
              <w:t>Markdown thường tiết kiệm hơn; kết quả token cụ thể tùy bộ tách token.</w:t>
            </w:r>
          </w:p>
        </w:tc>
      </w:tr>
      <w:tr>
        <w:tc>
          <w:tcPr>
            <w:tcW w:type="dxa" w:w="1800"/>
            <w:vAlign w:val="center"/>
          </w:tcPr>
          <w:p>
            <w:pPr>
              <w:spacing w:after="40"/>
            </w:pPr>
            <w:r>
              <w:rPr>
                <w:sz w:val="17"/>
              </w:rPr>
              <w:t>Dễ đọc với người</w:t>
            </w:r>
          </w:p>
        </w:tc>
        <w:tc>
          <w:tcPr>
            <w:tcW w:type="dxa" w:w="2304"/>
            <w:vAlign w:val="center"/>
          </w:tcPr>
          <w:p>
            <w:pPr>
              <w:spacing w:after="40"/>
            </w:pPr>
            <w:r>
              <w:rPr>
                <w:sz w:val="17"/>
              </w:rPr>
              <w:t>Gần văn bản thường, dễ sửa</w:t>
            </w:r>
          </w:p>
        </w:tc>
        <w:tc>
          <w:tcPr>
            <w:tcW w:type="dxa" w:w="2376"/>
            <w:vAlign w:val="center"/>
          </w:tcPr>
          <w:p>
            <w:pPr>
              <w:spacing w:after="40"/>
            </w:pPr>
            <w:r>
              <w:rPr>
                <w:sz w:val="17"/>
              </w:rPr>
              <w:t>Có nhiều thẻ bao quanh nội dung</w:t>
            </w:r>
          </w:p>
        </w:tc>
        <w:tc>
          <w:tcPr>
            <w:tcW w:type="dxa" w:w="3240"/>
            <w:vAlign w:val="center"/>
          </w:tcPr>
          <w:p>
            <w:pPr>
              <w:spacing w:after="40"/>
            </w:pPr>
            <w:r>
              <w:rPr>
                <w:sz w:val="17"/>
              </w:rPr>
              <w:t>Markdown thuận tiện cho người viết tài liệu.</w:t>
            </w:r>
          </w:p>
        </w:tc>
      </w:tr>
      <w:tr>
        <w:tc>
          <w:tcPr>
            <w:tcW w:type="dxa" w:w="1800"/>
            <w:vAlign w:val="center"/>
          </w:tcPr>
          <w:p>
            <w:pPr>
              <w:spacing w:after="40"/>
            </w:pPr>
            <w:r>
              <w:rPr>
                <w:sz w:val="17"/>
              </w:rPr>
              <w:t>Xử lý của AI</w:t>
            </w:r>
          </w:p>
        </w:tc>
        <w:tc>
          <w:tcPr>
            <w:tcW w:type="dxa" w:w="2304"/>
            <w:vAlign w:val="center"/>
          </w:tcPr>
          <w:p>
            <w:pPr>
              <w:spacing w:after="40"/>
            </w:pPr>
            <w:r>
              <w:rPr>
                <w:sz w:val="17"/>
              </w:rPr>
              <w:t>Ít phần đánh dấu dư thừa</w:t>
            </w:r>
          </w:p>
        </w:tc>
        <w:tc>
          <w:tcPr>
            <w:tcW w:type="dxa" w:w="2376"/>
            <w:vAlign w:val="center"/>
          </w:tcPr>
          <w:p>
            <w:pPr>
              <w:spacing w:after="40"/>
            </w:pPr>
            <w:r>
              <w:rPr>
                <w:sz w:val="17"/>
              </w:rPr>
              <w:t>Cấu trúc chi tiết, nhưng nhiều cú pháp</w:t>
            </w:r>
          </w:p>
        </w:tc>
        <w:tc>
          <w:tcPr>
            <w:tcW w:type="dxa" w:w="3240"/>
            <w:vAlign w:val="center"/>
          </w:tcPr>
          <w:p>
            <w:pPr>
              <w:spacing w:after="40"/>
            </w:pPr>
            <w:r>
              <w:rPr>
                <w:sz w:val="17"/>
              </w:rPr>
              <w:t>Markdown có thể giảm đầu vào; tốc độ và độ chính xác không được bảo đảm chỉ bởi định dạng.</w:t>
            </w:r>
          </w:p>
        </w:tc>
      </w:tr>
      <w:tr>
        <w:tc>
          <w:tcPr>
            <w:tcW w:type="dxa" w:w="1800"/>
            <w:vAlign w:val="center"/>
          </w:tcPr>
          <w:p>
            <w:pPr>
              <w:spacing w:after="40"/>
            </w:pPr>
            <w:r>
              <w:rPr>
                <w:sz w:val="17"/>
              </w:rPr>
              <w:t>Khả năng cấu trúc</w:t>
            </w:r>
          </w:p>
        </w:tc>
        <w:tc>
          <w:tcPr>
            <w:tcW w:type="dxa" w:w="2304"/>
            <w:vAlign w:val="center"/>
          </w:tcPr>
          <w:p>
            <w:pPr>
              <w:spacing w:after="40"/>
            </w:pPr>
            <w:r>
              <w:rPr>
                <w:sz w:val="17"/>
              </w:rPr>
              <w:t>Đủ cho tiêu đề, danh sách, liên kết, code</w:t>
            </w:r>
          </w:p>
        </w:tc>
        <w:tc>
          <w:tcPr>
            <w:tcW w:type="dxa" w:w="2376"/>
            <w:vAlign w:val="center"/>
          </w:tcPr>
          <w:p>
            <w:pPr>
              <w:spacing w:after="40"/>
            </w:pPr>
            <w:r>
              <w:rPr>
                <w:sz w:val="17"/>
              </w:rPr>
              <w:t>Rất linh hoạt, hỗ trợ cấu trúc phức tạp</w:t>
            </w:r>
          </w:p>
        </w:tc>
        <w:tc>
          <w:tcPr>
            <w:tcW w:type="dxa" w:w="3240"/>
            <w:vAlign w:val="center"/>
          </w:tcPr>
          <w:p>
            <w:pPr>
              <w:spacing w:after="40"/>
            </w:pPr>
            <w:r>
              <w:rPr>
                <w:sz w:val="17"/>
              </w:rPr>
              <w:t>HTML phù hợp khi cần kiểm soát hiển thị hoặc cấu trúc nâng cao.</w:t>
            </w:r>
          </w:p>
        </w:tc>
      </w:tr>
    </w:tbl>
    <w:p>
      <w:pPr>
        <w:pStyle w:val="Heading2"/>
      </w:pPr>
      <w:r>
        <w:t>Lựa chọn cuối cùng</w:t>
      </w:r>
    </w:p>
    <w:p>
      <w:r>
        <w:t>Chọn Markdown cho README vì cú pháp đơn giản, hiển thị dễ đọc ngay cả dưới dạng văn bản thuần, dễ chỉnh sửa và được nhiều nền tảng quản lý mã nguồn hỗ trợ. Markdown đáp ứng tốt nhu cầu giới thiệu dự án, hướng dẫn cài đặt và ví dụ sử dụng mà không phải viết nhiều thẻ HTML. Có thể dùng HTML bổ sung khi README cần bố cục hoặc thành phần mà Markdown không hỗ trợ thuận tiện.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Bài tập: Tối ưu chi phí Token cho hệ thống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