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6: Mô hình DIKW cho MoMo-Lite</w:t>
      </w:r>
    </w:p>
    <w:p>
      <w:pPr>
        <w:jc w:val="center"/>
      </w:pPr>
      <w:r>
        <w:rPr>
          <w:i/>
        </w:rPr>
        <w:t>Thiết kế ứng dụng và quản lý cấu hình</w:t>
      </w:r>
    </w:p>
    <w:p>
      <w:pPr>
        <w:pStyle w:val="Heading1"/>
      </w:pPr>
      <w:r>
        <w:t>1. Bốn tầng DIKW</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40"/>
            </w:pPr>
            <w:r>
              <w:rPr>
                <w:sz w:val="19"/>
              </w:rPr>
              <w:t>Tầng</w:t>
            </w:r>
          </w:p>
        </w:tc>
        <w:tc>
          <w:tcPr>
            <w:tcW w:type="dxa" w:w="5040"/>
            <w:vAlign w:val="center"/>
          </w:tcPr>
          <w:p>
            <w:pPr>
              <w:spacing w:after="40"/>
            </w:pPr>
            <w:r>
              <w:rPr>
                <w:sz w:val="19"/>
              </w:rPr>
              <w:t>Áp dụng trong ứng dụng</w:t>
            </w:r>
          </w:p>
        </w:tc>
      </w:tr>
      <w:tr>
        <w:tc>
          <w:tcPr>
            <w:tcW w:type="dxa" w:w="5040"/>
            <w:vAlign w:val="center"/>
          </w:tcPr>
          <w:p>
            <w:pPr>
              <w:spacing w:after="40"/>
            </w:pPr>
            <w:r>
              <w:rPr>
                <w:sz w:val="19"/>
              </w:rPr>
              <w:t>Data (Dữ liệu)</w:t>
            </w:r>
          </w:p>
        </w:tc>
        <w:tc>
          <w:tcPr>
            <w:tcW w:type="dxa" w:w="5040"/>
            <w:vAlign w:val="center"/>
          </w:tcPr>
          <w:p>
            <w:pPr>
              <w:spacing w:after="40"/>
            </w:pPr>
            <w:r>
              <w:rPr>
                <w:sz w:val="19"/>
              </w:rPr>
              <w:t>Lưu từng giao dịch: số tiền, thời gian, nơi chi và danh mục.</w:t>
            </w:r>
          </w:p>
        </w:tc>
      </w:tr>
      <w:tr>
        <w:tc>
          <w:tcPr>
            <w:tcW w:type="dxa" w:w="5040"/>
            <w:vAlign w:val="center"/>
          </w:tcPr>
          <w:p>
            <w:pPr>
              <w:spacing w:after="40"/>
            </w:pPr>
            <w:r>
              <w:rPr>
                <w:sz w:val="19"/>
              </w:rPr>
              <w:t>Information (Thông tin)</w:t>
            </w:r>
          </w:p>
        </w:tc>
        <w:tc>
          <w:tcPr>
            <w:tcW w:type="dxa" w:w="5040"/>
            <w:vAlign w:val="center"/>
          </w:tcPr>
          <w:p>
            <w:pPr>
              <w:spacing w:after="40"/>
            </w:pPr>
            <w:r>
              <w:rPr>
                <w:sz w:val="19"/>
              </w:rPr>
              <w:t>Tổng hợp thành báo cáo chi tiêu theo tháng và theo danh mục.</w:t>
            </w:r>
          </w:p>
        </w:tc>
      </w:tr>
      <w:tr>
        <w:tc>
          <w:tcPr>
            <w:tcW w:type="dxa" w:w="5040"/>
            <w:vAlign w:val="center"/>
          </w:tcPr>
          <w:p>
            <w:pPr>
              <w:spacing w:after="40"/>
            </w:pPr>
            <w:r>
              <w:rPr>
                <w:sz w:val="19"/>
              </w:rPr>
              <w:t>Knowledge (Kiến thức)</w:t>
            </w:r>
          </w:p>
        </w:tc>
        <w:tc>
          <w:tcPr>
            <w:tcW w:type="dxa" w:w="5040"/>
            <w:vAlign w:val="center"/>
          </w:tcPr>
          <w:p>
            <w:pPr>
              <w:spacing w:after="40"/>
            </w:pPr>
            <w:r>
              <w:rPr>
                <w:sz w:val="19"/>
              </w:rPr>
              <w:t>So sánh với ngân sách, nhận ra khi chi tiêu vượt mức.</w:t>
            </w:r>
          </w:p>
        </w:tc>
      </w:tr>
      <w:tr>
        <w:tc>
          <w:tcPr>
            <w:tcW w:type="dxa" w:w="5040"/>
            <w:vAlign w:val="center"/>
          </w:tcPr>
          <w:p>
            <w:pPr>
              <w:spacing w:after="40"/>
            </w:pPr>
            <w:r>
              <w:rPr>
                <w:sz w:val="19"/>
              </w:rPr>
              <w:t>Wisdom (Trí tuệ)</w:t>
            </w:r>
          </w:p>
        </w:tc>
        <w:tc>
          <w:tcPr>
            <w:tcW w:type="dxa" w:w="5040"/>
            <w:vAlign w:val="center"/>
          </w:tcPr>
          <w:p>
            <w:pPr>
              <w:spacing w:after="40"/>
            </w:pPr>
            <w:r>
              <w:rPr>
                <w:sz w:val="19"/>
              </w:rPr>
              <w:t>Đưa ra gợi ý tiết kiệm phù hợp với thói quen chi tiêu.</w:t>
            </w:r>
          </w:p>
        </w:tc>
      </w:tr>
    </w:tbl>
    <w:p>
      <w:pPr>
        <w:pStyle w:val="Heading1"/>
      </w:pPr>
      <w:r>
        <w:t>2. Các module IPO</w:t>
      </w:r>
    </w:p>
    <w:tbl>
      <w:tblPr>
        <w:tblStyle w:val="LightShading-Accent1"/>
        <w:tblW w:type="auto" w:w="0"/>
        <w:jc w:val="center"/>
        <w:tblLook w:firstColumn="1" w:firstRow="1" w:lastColumn="0" w:lastRow="0" w:noHBand="0" w:noVBand="1" w:val="04A0"/>
      </w:tblPr>
      <w:tblGrid>
        <w:gridCol w:w="5040"/>
        <w:gridCol w:w="5040"/>
      </w:tblGrid>
      <w:tr>
        <w:tc>
          <w:tcPr>
            <w:tcW w:type="dxa" w:w="5040"/>
          </w:tcPr>
          <w:p>
            <w:pPr>
              <w:spacing w:after="40"/>
            </w:pPr>
            <w:r>
              <w:rPr>
                <w:sz w:val="19"/>
              </w:rPr>
              <w:t>Phần</w:t>
            </w:r>
          </w:p>
        </w:tc>
        <w:tc>
          <w:tcPr>
            <w:tcW w:type="dxa" w:w="5040"/>
          </w:tcPr>
          <w:p>
            <w:pPr>
              <w:spacing w:after="40"/>
            </w:pPr>
            <w:r>
              <w:rPr>
                <w:sz w:val="19"/>
              </w:rPr>
              <w:t>Module</w:t>
            </w:r>
          </w:p>
        </w:tc>
      </w:tr>
      <w:tr>
        <w:tc>
          <w:tcPr>
            <w:tcW w:type="dxa" w:w="5040"/>
          </w:tcPr>
          <w:p>
            <w:pPr>
              <w:spacing w:after="40"/>
            </w:pPr>
            <w:r>
              <w:rPr>
                <w:sz w:val="19"/>
              </w:rPr>
              <w:t>Input</w:t>
            </w:r>
          </w:p>
        </w:tc>
        <w:tc>
          <w:tcPr>
            <w:tcW w:type="dxa" w:w="5040"/>
          </w:tcPr>
          <w:p>
            <w:pPr>
              <w:spacing w:after="40"/>
            </w:pPr>
            <w:r>
              <w:rPr>
                <w:sz w:val="19"/>
              </w:rPr>
              <w:t>Nhập giao dịch, ngân sách và danh mục chi tiêu.</w:t>
            </w:r>
          </w:p>
        </w:tc>
      </w:tr>
      <w:tr>
        <w:tc>
          <w:tcPr>
            <w:tcW w:type="dxa" w:w="5040"/>
          </w:tcPr>
          <w:p>
            <w:pPr>
              <w:spacing w:after="40"/>
            </w:pPr>
            <w:r>
              <w:rPr>
                <w:sz w:val="19"/>
              </w:rPr>
              <w:t>Process</w:t>
            </w:r>
          </w:p>
        </w:tc>
        <w:tc>
          <w:tcPr>
            <w:tcW w:type="dxa" w:w="5040"/>
          </w:tcPr>
          <w:p>
            <w:pPr>
              <w:spacing w:after="40"/>
            </w:pPr>
            <w:r>
              <w:rPr>
                <w:sz w:val="19"/>
              </w:rPr>
              <w:t>Kiểm tra, lưu giao dịch; tính tổng và so sánh với ngân sách.</w:t>
            </w:r>
          </w:p>
        </w:tc>
      </w:tr>
      <w:tr>
        <w:tc>
          <w:tcPr>
            <w:tcW w:type="dxa" w:w="5040"/>
          </w:tcPr>
          <w:p>
            <w:pPr>
              <w:spacing w:after="40"/>
            </w:pPr>
            <w:r>
              <w:rPr>
                <w:sz w:val="19"/>
              </w:rPr>
              <w:t>Output</w:t>
            </w:r>
          </w:p>
        </w:tc>
        <w:tc>
          <w:tcPr>
            <w:tcW w:type="dxa" w:w="5040"/>
          </w:tcPr>
          <w:p>
            <w:pPr>
              <w:spacing w:after="40"/>
            </w:pPr>
            <w:r>
              <w:rPr>
                <w:sz w:val="19"/>
              </w:rPr>
              <w:t>Hiện báo cáo, cảnh báo vượt mức và gợi ý tiết kiệm.</w:t>
            </w:r>
          </w:p>
        </w:tc>
      </w:tr>
    </w:tbl>
    <w:p>
      <w:pPr>
        <w:pStyle w:val="Heading1"/>
      </w:pPr>
      <w:r>
        <w:t>3. Cấu hình và dung lượng</w:t>
      </w:r>
    </w:p>
    <w:p>
      <w:r>
        <w:t>Mỗi ngày: 1.000.000 giao dịch × 1 KB = 1.000.000 KB. Đổi theo 1 MB = 1.024 KB: khoảng 976,6 MB (xấp xỉ 977 MB).</w:t>
      </w:r>
    </w:p>
    <w:p>
      <w:r>
        <w:t>Tệp .env thường bị ẩn, có thể bật View → Show → Hidden items để nhìn thấy. Chỉ người được phép mới xem mã API; không đưa .env lên nơi chia sẻ mã nguồn. SoC tích hợp nhiều bộ phận như CPU và bộ nhớ trên một chip, giúp thiết bị gọn và tiết kiệm điện.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B668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53B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Mô hình DIKW cho MoMo-Lite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