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7D73"/>
          <w:sz w:val="24"/>
        </w:rPr>
        <w:t>BÀI 7</w:t>
      </w:r>
    </w:p>
    <w:p>
      <w:pPr>
        <w:jc w:val="center"/>
      </w:pPr>
      <w:r>
        <w:rPr>
          <w:rFonts w:ascii="Aptos Display" w:hAnsi="Aptos Display"/>
          <w:b/>
          <w:color w:val="173B5E"/>
          <w:sz w:val="36"/>
        </w:rPr>
        <w:t>GỠ LỖI TÀI LIỆU KẾ HOẠCH HỘI NGHỊ</w:t>
      </w:r>
    </w:p>
    <w:p>
      <w:pPr>
        <w:jc w:val="center"/>
      </w:pPr>
      <w:r>
        <w:rPr>
          <w:color w:val="5A646E"/>
          <w:sz w:val="22"/>
        </w:rPr>
        <w:t>Hội nghị Khoa học Sinh viên PTIT 2026</w:t>
      </w:r>
    </w:p>
    <w:p>
      <w:pPr>
        <w:pStyle w:val="Heading1"/>
      </w:pPr>
      <w:r>
        <w:t>Mục lục</w:t>
      </w:r>
    </w:p>
    <w:p>
      <w:fldSimple w:instr="TOC \o &quot;1-2&quot; \h \z \u">
        <w:r>
          <w:t>Mở trong Word và chọn Update Field để cập nhật mục lục.</w:t>
        </w:r>
      </w:fldSimple>
    </w:p>
    <w:p>
      <w:r>
        <w:br w:type="page"/>
      </w:r>
    </w:p>
    <w:p>
      <w:pPr>
        <w:pStyle w:val="Heading1"/>
      </w:pPr>
      <w:r>
        <w:t>1. Phân tích lỗi</w:t>
      </w:r>
    </w:p>
    <w:p>
      <w:pPr>
        <w:pStyle w:val="Heading2"/>
      </w:pPr>
      <w:r>
        <w:t>1.1. Lỗi định dạng và cấp tiêu đề</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173B5E"/>
          </w:tcPr>
          <w:p>
            <w:pPr>
              <w:spacing w:after="40"/>
            </w:pPr>
            <w:r>
              <w:rPr>
                <w:rFonts w:ascii="Aptos" w:hAnsi="Aptos"/>
                <w:b/>
                <w:color w:val="FFFFFF"/>
                <w:sz w:val="16"/>
              </w:rPr>
              <w:t>Dòng tiêu đề</w:t>
            </w:r>
          </w:p>
        </w:tc>
        <w:tc>
          <w:tcPr>
            <w:tcW w:type="dxa" w:w="2232"/>
            <w:vAlign w:val="center"/>
            <w:shd w:fill="173B5E"/>
          </w:tcPr>
          <w:p>
            <w:pPr>
              <w:spacing w:after="40"/>
            </w:pPr>
            <w:r>
              <w:rPr>
                <w:rFonts w:ascii="Aptos" w:hAnsi="Aptos"/>
                <w:b/>
                <w:color w:val="FFFFFF"/>
                <w:sz w:val="16"/>
              </w:rPr>
              <w:t>Hiện trạng</w:t>
            </w:r>
          </w:p>
        </w:tc>
        <w:tc>
          <w:tcPr>
            <w:tcW w:type="dxa" w:w="1224"/>
            <w:vAlign w:val="center"/>
            <w:shd w:fill="173B5E"/>
          </w:tcPr>
          <w:p>
            <w:pPr>
              <w:spacing w:after="40"/>
            </w:pPr>
            <w:r>
              <w:rPr>
                <w:rFonts w:ascii="Aptos" w:hAnsi="Aptos"/>
                <w:b/>
                <w:color w:val="FFFFFF"/>
                <w:sz w:val="16"/>
              </w:rPr>
              <w:t>Cấp đúng</w:t>
            </w:r>
          </w:p>
        </w:tc>
        <w:tc>
          <w:tcPr>
            <w:tcW w:type="dxa" w:w="4464"/>
            <w:vAlign w:val="center"/>
            <w:shd w:fill="173B5E"/>
          </w:tcPr>
          <w:p>
            <w:pPr>
              <w:spacing w:after="40"/>
            </w:pPr>
            <w:r>
              <w:rPr>
                <w:rFonts w:ascii="Aptos" w:hAnsi="Aptos"/>
                <w:b/>
                <w:color w:val="FFFFFF"/>
                <w:sz w:val="16"/>
              </w:rPr>
              <w:t>Lỗi và cách hiểu</w:t>
            </w:r>
          </w:p>
        </w:tc>
      </w:tr>
      <w:tr>
        <w:tc>
          <w:tcPr>
            <w:tcW w:type="dxa" w:w="2160"/>
            <w:vAlign w:val="center"/>
          </w:tcPr>
          <w:p>
            <w:pPr>
              <w:spacing w:after="40"/>
            </w:pPr>
            <w:r>
              <w:rPr>
                <w:rFonts w:ascii="Aptos" w:hAnsi="Aptos"/>
                <w:sz w:val="16"/>
              </w:rPr>
              <w:t>1. Thông tin chung hội nghị</w:t>
            </w:r>
          </w:p>
        </w:tc>
        <w:tc>
          <w:tcPr>
            <w:tcW w:type="dxa" w:w="2232"/>
            <w:vAlign w:val="center"/>
          </w:tcPr>
          <w:p>
            <w:pPr>
              <w:spacing w:after="40"/>
            </w:pPr>
            <w:r>
              <w:rPr>
                <w:rFonts w:ascii="Aptos" w:hAnsi="Aptos"/>
                <w:sz w:val="16"/>
              </w:rPr>
              <w:t>Chữ thường, 16 pt, đậm, tô vàng (định dạng thủ công)</w:t>
            </w:r>
          </w:p>
        </w:tc>
        <w:tc>
          <w:tcPr>
            <w:tcW w:type="dxa" w:w="1224"/>
            <w:vAlign w:val="center"/>
          </w:tcPr>
          <w:p>
            <w:pPr>
              <w:spacing w:after="40"/>
            </w:pPr>
            <w:r>
              <w:rPr>
                <w:rFonts w:ascii="Aptos" w:hAnsi="Aptos"/>
                <w:sz w:val="16"/>
              </w:rPr>
              <w:t>Heading 1</w:t>
            </w:r>
          </w:p>
        </w:tc>
        <w:tc>
          <w:tcPr>
            <w:tcW w:type="dxa" w:w="4464"/>
            <w:vAlign w:val="center"/>
          </w:tcPr>
          <w:p>
            <w:pPr>
              <w:spacing w:after="40"/>
            </w:pPr>
            <w:r>
              <w:rPr>
                <w:rFonts w:ascii="Aptos" w:hAnsi="Aptos"/>
                <w:sz w:val="16"/>
              </w:rPr>
              <w:t>Hình thức không tạo cấu trúc; Auto TOC không nhận dòng này là tiêu đề.</w:t>
            </w:r>
          </w:p>
        </w:tc>
      </w:tr>
      <w:tr>
        <w:tc>
          <w:tcPr>
            <w:tcW w:type="dxa" w:w="2160"/>
            <w:vAlign w:val="center"/>
          </w:tcPr>
          <w:p>
            <w:pPr>
              <w:spacing w:after="40"/>
            </w:pPr>
            <w:r>
              <w:rPr>
                <w:rFonts w:ascii="Aptos" w:hAnsi="Aptos"/>
                <w:sz w:val="16"/>
              </w:rPr>
              <w:t>1.1. Tên hội nghị</w:t>
            </w:r>
          </w:p>
        </w:tc>
        <w:tc>
          <w:tcPr>
            <w:tcW w:type="dxa" w:w="2232"/>
            <w:vAlign w:val="center"/>
          </w:tcPr>
          <w:p>
            <w:pPr>
              <w:spacing w:after="40"/>
            </w:pPr>
            <w:r>
              <w:rPr>
                <w:rFonts w:ascii="Aptos" w:hAnsi="Aptos"/>
                <w:sz w:val="16"/>
              </w:rPr>
              <w:t>Normal, đậm, 14 pt</w:t>
            </w:r>
          </w:p>
        </w:tc>
        <w:tc>
          <w:tcPr>
            <w:tcW w:type="dxa" w:w="1224"/>
            <w:vAlign w:val="center"/>
          </w:tcPr>
          <w:p>
            <w:pPr>
              <w:spacing w:after="40"/>
            </w:pPr>
            <w:r>
              <w:rPr>
                <w:rFonts w:ascii="Aptos" w:hAnsi="Aptos"/>
                <w:sz w:val="16"/>
              </w:rPr>
              <w:t>Heading 2</w:t>
            </w:r>
          </w:p>
        </w:tc>
        <w:tc>
          <w:tcPr>
            <w:tcW w:type="dxa" w:w="4464"/>
            <w:vAlign w:val="center"/>
          </w:tcPr>
          <w:p>
            <w:pPr>
              <w:spacing w:after="40"/>
            </w:pPr>
            <w:r>
              <w:rPr>
                <w:rFonts w:ascii="Aptos" w:hAnsi="Aptos"/>
                <w:sz w:val="16"/>
              </w:rPr>
              <w:t>In đậm và đổi cỡ chữ vẫn là Normal, nên không được quét vào mục lục.</w:t>
            </w:r>
          </w:p>
        </w:tc>
      </w:tr>
      <w:tr>
        <w:tc>
          <w:tcPr>
            <w:tcW w:type="dxa" w:w="2160"/>
            <w:vAlign w:val="center"/>
          </w:tcPr>
          <w:p>
            <w:pPr>
              <w:spacing w:after="40"/>
            </w:pPr>
            <w:r>
              <w:rPr>
                <w:rFonts w:ascii="Aptos" w:hAnsi="Aptos"/>
                <w:sz w:val="16"/>
              </w:rPr>
              <w:t>1.2. Thời gian &amp; địa điểm</w:t>
            </w:r>
          </w:p>
        </w:tc>
        <w:tc>
          <w:tcPr>
            <w:tcW w:type="dxa" w:w="2232"/>
            <w:vAlign w:val="center"/>
          </w:tcPr>
          <w:p>
            <w:pPr>
              <w:spacing w:after="40"/>
            </w:pPr>
            <w:r>
              <w:rPr>
                <w:rFonts w:ascii="Aptos" w:hAnsi="Aptos"/>
                <w:sz w:val="16"/>
              </w:rPr>
              <w:t>Normal, đậm, 14 pt</w:t>
            </w:r>
          </w:p>
        </w:tc>
        <w:tc>
          <w:tcPr>
            <w:tcW w:type="dxa" w:w="1224"/>
            <w:vAlign w:val="center"/>
          </w:tcPr>
          <w:p>
            <w:pPr>
              <w:spacing w:after="40"/>
            </w:pPr>
            <w:r>
              <w:rPr>
                <w:rFonts w:ascii="Aptos" w:hAnsi="Aptos"/>
                <w:sz w:val="16"/>
              </w:rPr>
              <w:t>Heading 2</w:t>
            </w:r>
          </w:p>
        </w:tc>
        <w:tc>
          <w:tcPr>
            <w:tcW w:type="dxa" w:w="4464"/>
            <w:vAlign w:val="center"/>
          </w:tcPr>
          <w:p>
            <w:pPr>
              <w:spacing w:after="40"/>
            </w:pPr>
            <w:r>
              <w:rPr>
                <w:rFonts w:ascii="Aptos" w:hAnsi="Aptos"/>
                <w:sz w:val="16"/>
              </w:rPr>
              <w:t>Cùng cấp với 1.1 nên cũng phải dùng Heading 2.</w:t>
            </w:r>
          </w:p>
        </w:tc>
      </w:tr>
      <w:tr>
        <w:tc>
          <w:tcPr>
            <w:tcW w:type="dxa" w:w="2160"/>
            <w:vAlign w:val="center"/>
          </w:tcPr>
          <w:p>
            <w:pPr>
              <w:spacing w:after="40"/>
            </w:pPr>
            <w:r>
              <w:rPr>
                <w:rFonts w:ascii="Aptos" w:hAnsi="Aptos"/>
                <w:sz w:val="16"/>
              </w:rPr>
              <w:t>2. Cơ cấu ban tổ chức</w:t>
            </w:r>
          </w:p>
        </w:tc>
        <w:tc>
          <w:tcPr>
            <w:tcW w:type="dxa" w:w="2232"/>
            <w:vAlign w:val="center"/>
          </w:tcPr>
          <w:p>
            <w:pPr>
              <w:spacing w:after="40"/>
            </w:pPr>
            <w:r>
              <w:rPr>
                <w:rFonts w:ascii="Aptos" w:hAnsi="Aptos"/>
                <w:sz w:val="16"/>
              </w:rPr>
              <w:t>Chữ thường, 16 pt, đậm, tô vàng (định dạng thủ công)</w:t>
            </w:r>
          </w:p>
        </w:tc>
        <w:tc>
          <w:tcPr>
            <w:tcW w:type="dxa" w:w="1224"/>
            <w:vAlign w:val="center"/>
          </w:tcPr>
          <w:p>
            <w:pPr>
              <w:spacing w:after="40"/>
            </w:pPr>
            <w:r>
              <w:rPr>
                <w:rFonts w:ascii="Aptos" w:hAnsi="Aptos"/>
                <w:sz w:val="16"/>
              </w:rPr>
              <w:t>Heading 1</w:t>
            </w:r>
          </w:p>
        </w:tc>
        <w:tc>
          <w:tcPr>
            <w:tcW w:type="dxa" w:w="4464"/>
            <w:vAlign w:val="center"/>
          </w:tcPr>
          <w:p>
            <w:pPr>
              <w:spacing w:after="40"/>
            </w:pPr>
            <w:r>
              <w:rPr>
                <w:rFonts w:ascii="Aptos" w:hAnsi="Aptos"/>
                <w:sz w:val="16"/>
              </w:rPr>
              <w:t>Là chương cấp cao, nhưng định dạng tay khiến Word không nhận diện.</w:t>
            </w:r>
          </w:p>
        </w:tc>
      </w:tr>
      <w:tr>
        <w:tc>
          <w:tcPr>
            <w:tcW w:type="dxa" w:w="2160"/>
            <w:vAlign w:val="center"/>
          </w:tcPr>
          <w:p>
            <w:pPr>
              <w:spacing w:after="40"/>
            </w:pPr>
            <w:r>
              <w:rPr>
                <w:rFonts w:ascii="Aptos" w:hAnsi="Aptos"/>
                <w:sz w:val="16"/>
              </w:rPr>
              <w:t>2.1. Ban Nội dung</w:t>
            </w:r>
          </w:p>
        </w:tc>
        <w:tc>
          <w:tcPr>
            <w:tcW w:type="dxa" w:w="2232"/>
            <w:vAlign w:val="center"/>
          </w:tcPr>
          <w:p>
            <w:pPr>
              <w:spacing w:after="40"/>
            </w:pPr>
            <w:r>
              <w:rPr>
                <w:rFonts w:ascii="Aptos" w:hAnsi="Aptos"/>
                <w:sz w:val="16"/>
              </w:rPr>
              <w:t>Normal, 13 pt, màu xanh</w:t>
            </w:r>
          </w:p>
        </w:tc>
        <w:tc>
          <w:tcPr>
            <w:tcW w:type="dxa" w:w="1224"/>
            <w:vAlign w:val="center"/>
          </w:tcPr>
          <w:p>
            <w:pPr>
              <w:spacing w:after="40"/>
            </w:pPr>
            <w:r>
              <w:rPr>
                <w:rFonts w:ascii="Aptos" w:hAnsi="Aptos"/>
                <w:sz w:val="16"/>
              </w:rPr>
              <w:t>Heading 2</w:t>
            </w:r>
          </w:p>
        </w:tc>
        <w:tc>
          <w:tcPr>
            <w:tcW w:type="dxa" w:w="4464"/>
            <w:vAlign w:val="center"/>
          </w:tcPr>
          <w:p>
            <w:pPr>
              <w:spacing w:after="40"/>
            </w:pPr>
            <w:r>
              <w:rPr>
                <w:rFonts w:ascii="Aptos" w:hAnsi="Aptos"/>
                <w:sz w:val="16"/>
              </w:rPr>
              <w:t>Màu sắc không biểu thị cấp cấu trúc; cần gán Heading 2.</w:t>
            </w:r>
          </w:p>
        </w:tc>
      </w:tr>
      <w:tr>
        <w:tc>
          <w:tcPr>
            <w:tcW w:type="dxa" w:w="2160"/>
            <w:vAlign w:val="center"/>
          </w:tcPr>
          <w:p>
            <w:pPr>
              <w:spacing w:after="40"/>
            </w:pPr>
            <w:r>
              <w:rPr>
                <w:rFonts w:ascii="Aptos" w:hAnsi="Aptos"/>
                <w:sz w:val="16"/>
              </w:rPr>
              <w:t>2.1.1. Tiểu ban Kỹ thuật</w:t>
            </w:r>
          </w:p>
        </w:tc>
        <w:tc>
          <w:tcPr>
            <w:tcW w:type="dxa" w:w="2232"/>
            <w:vAlign w:val="center"/>
          </w:tcPr>
          <w:p>
            <w:pPr>
              <w:spacing w:after="40"/>
            </w:pPr>
            <w:r>
              <w:rPr>
                <w:rFonts w:ascii="Aptos" w:hAnsi="Aptos"/>
                <w:sz w:val="16"/>
              </w:rPr>
              <w:t>Normal, 13 pt, màu xanh</w:t>
            </w:r>
          </w:p>
        </w:tc>
        <w:tc>
          <w:tcPr>
            <w:tcW w:type="dxa" w:w="1224"/>
            <w:vAlign w:val="center"/>
          </w:tcPr>
          <w:p>
            <w:pPr>
              <w:spacing w:after="40"/>
            </w:pPr>
            <w:r>
              <w:rPr>
                <w:rFonts w:ascii="Aptos" w:hAnsi="Aptos"/>
                <w:sz w:val="16"/>
              </w:rPr>
              <w:t>Heading 3</w:t>
            </w:r>
          </w:p>
        </w:tc>
        <w:tc>
          <w:tcPr>
            <w:tcW w:type="dxa" w:w="4464"/>
            <w:vAlign w:val="center"/>
          </w:tcPr>
          <w:p>
            <w:pPr>
              <w:spacing w:after="40"/>
            </w:pPr>
            <w:r>
              <w:rPr>
                <w:rFonts w:ascii="Aptos" w:hAnsi="Aptos"/>
                <w:sz w:val="16"/>
              </w:rPr>
              <w:t>Đây là chi tiết dưới 2.1 nên phải là Heading 3. Nếu gán nhầm Heading 2, nó sẽ thụt cùng cấp Ban Nội dung; nếu mục cha 2.1 bị gán Heading 3 thì phân cấp sẽ đảo/lệch.</w:t>
            </w:r>
          </w:p>
        </w:tc>
      </w:tr>
      <w:tr>
        <w:tc>
          <w:tcPr>
            <w:tcW w:type="dxa" w:w="2160"/>
            <w:vAlign w:val="center"/>
          </w:tcPr>
          <w:p>
            <w:pPr>
              <w:spacing w:after="40"/>
            </w:pPr>
            <w:r>
              <w:rPr>
                <w:rFonts w:ascii="Aptos" w:hAnsi="Aptos"/>
                <w:sz w:val="16"/>
              </w:rPr>
              <w:t>3. Lịch trình sự kiện</w:t>
            </w:r>
          </w:p>
        </w:tc>
        <w:tc>
          <w:tcPr>
            <w:tcW w:type="dxa" w:w="2232"/>
            <w:vAlign w:val="center"/>
          </w:tcPr>
          <w:p>
            <w:pPr>
              <w:spacing w:after="40"/>
            </w:pPr>
            <w:r>
              <w:rPr>
                <w:rFonts w:ascii="Aptos" w:hAnsi="Aptos"/>
                <w:sz w:val="16"/>
              </w:rPr>
              <w:t>Normal, không định dạng</w:t>
            </w:r>
          </w:p>
        </w:tc>
        <w:tc>
          <w:tcPr>
            <w:tcW w:type="dxa" w:w="1224"/>
            <w:vAlign w:val="center"/>
          </w:tcPr>
          <w:p>
            <w:pPr>
              <w:spacing w:after="40"/>
            </w:pPr>
            <w:r>
              <w:rPr>
                <w:rFonts w:ascii="Aptos" w:hAnsi="Aptos"/>
                <w:sz w:val="16"/>
              </w:rPr>
              <w:t>Heading 1</w:t>
            </w:r>
          </w:p>
        </w:tc>
        <w:tc>
          <w:tcPr>
            <w:tcW w:type="dxa" w:w="4464"/>
            <w:vAlign w:val="center"/>
          </w:tcPr>
          <w:p>
            <w:pPr>
              <w:spacing w:after="40"/>
            </w:pPr>
            <w:r>
              <w:rPr>
                <w:rFonts w:ascii="Aptos" w:hAnsi="Aptos"/>
                <w:sz w:val="16"/>
              </w:rPr>
              <w:t>Là chương cấp cao dù chưa được định dạng; gán Heading 1 để đưa vào mục lục.</w:t>
            </w:r>
          </w:p>
        </w:tc>
      </w:tr>
    </w:tbl>
    <w:p>
      <w:r>
        <w:t>Cơ chế Auto TOC: Word quét các đoạn được gán Heading Styles (hoặc các cấp Outline Level tương ứng), rồi dùng cấp đó để đưa mục vào mục lục và xác định thụt lề. Định dạng ký tự như cỡ chữ, màu, tô nền hoặc in đậm chỉ là trình bày trực quan; nó không thay thế nhãn Heading.</w:t>
      </w:r>
    </w:p>
    <w:p>
      <w:pPr>
        <w:pStyle w:val="Heading2"/>
      </w:pPr>
      <w:r>
        <w:t>1.2. Vì sao nhầm Heading làm mục lục thụt lề sai</w:t>
      </w:r>
    </w:p>
    <w:p>
      <w:r>
        <w:t>Mục lục phản ánh cấp Heading: Heading 1 là chương, Heading 2 là mục con, Heading 3 là chi tiết dưới Heading 2. Word thường thụt lề sâu hơn ở cấp thấp hơn. Vì vậy, “2.1.1. Tiểu ban Kỹ thuật” phải ở Heading 3 dưới “2.1. Ban Nội dung” (Heading 2). Gán nó thành Heading 2 khiến nó ngang hàng với mục cha; gán mục cha thành Heading 3 lại khiến mục cha thấp cấp hơn mục con. Cả hai đều làm cấu trúc và thụt lề sai.</w:t>
      </w:r>
    </w:p>
    <w:p>
      <w:pPr>
        <w:pStyle w:val="Heading1"/>
      </w:pPr>
      <w:r>
        <w:t>2. Sửa cấu trúc Heading</w:t>
      </w:r>
    </w:p>
    <w:p>
      <w:pPr>
        <w:pStyle w:val="Heading2"/>
      </w:pPr>
      <w:r>
        <w:t>2.1. Gán đúng kiểu cho cả bảy dòng</w:t>
      </w:r>
    </w:p>
    <w:p>
      <w:pPr>
        <w:pStyle w:val="ListNumber"/>
      </w:pPr>
      <w:r>
        <w:t>Bật Navigation Pane hoặc dùng Ctrl+f để tìm từng dòng tiêu đề; chọn cả đoạn tiêu đề, không chọn phần văn xuôi kế tiếp.</w:t>
      </w:r>
    </w:p>
    <w:p>
      <w:pPr>
        <w:pStyle w:val="ListNumber"/>
      </w:pPr>
      <w:r>
        <w:t>Chọn “1. Thông tin chung hội nghị” và “2. Cơ cấu ban tổ chức”, gán Heading 1 bằng Home → Styles → Heading 1 hoặc Ctrl+Alt+1.</w:t>
      </w:r>
    </w:p>
    <w:p>
      <w:pPr>
        <w:pStyle w:val="ListNumber"/>
      </w:pPr>
      <w:r>
        <w:t>Chọn “1.1. Tên hội nghị”, “1.2. Thời gian &amp; địa điểm” và “2.1. Ban Nội dung”, gán Heading 2 hoặc Ctrl+Alt+2.</w:t>
      </w:r>
    </w:p>
    <w:p>
      <w:pPr>
        <w:pStyle w:val="ListNumber"/>
      </w:pPr>
      <w:r>
        <w:t>Chọn “2.1.1. Tiểu ban Kỹ thuật”, gán Heading 3 hoặc Ctrl+Alt+3.</w:t>
      </w:r>
    </w:p>
    <w:p>
      <w:pPr>
        <w:pStyle w:val="ListNumber"/>
      </w:pPr>
      <w:r>
        <w:t>Chọn “3. Lịch trình sự kiện”, gán Heading 1 hoặc Ctrl+Alt+1.</w:t>
      </w:r>
    </w:p>
    <w:p>
      <w:pPr>
        <w:pStyle w:val="ListNumber"/>
      </w:pPr>
      <w:r>
        <w:t>Nếu cần bỏ kiểu Heading gán nhầm, chọn đúng đoạn và nhấn Ctrl+Shift+N để chuyển về Normal, sau đó áp dụng Heading cấp đúng. Không cần dùng Normal làm bước trung gian nếu có thể chọn trực tiếp Style đúng.</w:t>
      </w:r>
    </w:p>
    <w:p>
      <w:pPr>
        <w:pStyle w:val="ListNumber"/>
      </w:pPr>
      <w:r>
        <w:t>Sau khi gán Styles, có thể chỉnh giao diện bằng cách sửa định nghĩa Heading 1/2/3 trong Styles; như vậy mọi tiêu đề cùng cấp sẽ đổi đồng nhất.</w:t>
      </w:r>
    </w:p>
    <w:p>
      <w:pPr>
        <w:pStyle w:val="Heading2"/>
      </w:pPr>
      <w:r>
        <w:t>2.2. Chèn mục lục và nghiệm thu đủ ba cấp</w:t>
      </w:r>
    </w:p>
    <w:p>
      <w:r>
        <w:t>Đặt con trỏ ở đầu tài liệu, chọn References → Table of Contents → Automatic Table. Mục lục cần có hai chương cấp Heading 1, các mục con Heading 2 và dòng “2.1.1. Tiểu ban Kỹ thuật” ở Heading 3. Kiểm tra thứ tự, thụt lề và số trang; nếu TOC cũ đang trống, hãy chọn lại một mẫu Automatic Table sau khi sửa Styles.</w:t>
      </w:r>
    </w:p>
    <w:p>
      <w:pPr>
        <w:pStyle w:val="Heading2"/>
      </w:pPr>
      <w:r>
        <w:t>2.3. Cập nhật khi số trang thay đổi</w:t>
      </w:r>
    </w:p>
    <w:p>
      <w:r>
        <w:t>Nếu nội dung mới làm “3. Lịch trình sự kiện” chuyển từ trang 2 sang trang 4, mục lục cũ không tự cập nhật ngay. Nhấp phải vào mục lục → Update Field → Update entire table để làm mới tiêu đề và số trang. Nếu chỉ đổi phân trang mà không thêm/đổi tiêu đề, có thể chọn Update page numbers only. Phím tắt F9 cập nhật trường đang chọn; trước tiên bấm vào mục lục hoặc chọn trường mục lục rồi nhấn F9. Dùng Update entire table khi cần cập nhật toàn bộ mục lục.</w:t>
      </w:r>
    </w:p>
    <w:p>
      <w:pPr>
        <w:pStyle w:val="Heading1"/>
      </w:pPr>
      <w:r>
        <w:t>3. Kết quả nghiệm thu</w:t>
      </w:r>
    </w:p>
    <w:p>
      <w:r>
        <w:t>Cả bảy dòng tiêu đề dùng đúng Heading 1, Heading 2 hoặc Heading 3; nội dung thân bài không mang nhãn Heading. Auto TOC hiển thị đủ ba cấp theo thứ tự phân cấp và số trang phản ánh bản tài liệu mới nhất sau khi cập nhật trường.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B5E"/>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73B5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