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QUY TRÌNH VẬN HÀNH KHO FASTMOVE</w:t>
      </w:r>
    </w:p>
    <w:p>
      <w:pPr>
        <w:pStyle w:val="Subtitle"/>
      </w:pPr>
      <w:r>
        <w:t xml:space="preserve">Hướng dẫn chuẩn cho nhân viên kho và shipper – Phiên bản 1.0 – Tháng 10/2026</w:t>
      </w:r>
    </w:p>
    <w:p>
      <w:pPr>
        <w:pStyle w:val="Heading1"/>
      </w:pPr>
      <w:r>
        <w:t xml:space="preserve">1. Mục đích và phạm vi</w:t>
      </w:r>
    </w:p>
    <w:p>
      <w:pPr>
        <w:pStyle w:val="Body"/>
      </w:pPr>
      <w:r>
        <w:t xml:space="preserve">Quy trình thống nhất cách nhập kho, phân loại, xuất kho và bàn giao đơn cho shipper tại các kho FastMove. Mục tiêu là tra cứu giá cước tự động, giảm 16 giờ làm thủ công mỗi ngày và tăng tỷ lệ giao đúng hạn.</w:t>
      </w:r>
    </w:p>
    <w:p>
      <w:pPr>
        <w:pStyle w:val="Heading1"/>
      </w:pPr>
      <w:r>
        <w:t xml:space="preserve">2. Quy trình nhập và phân loại</w:t>
      </w:r>
    </w:p>
    <w:p>
      <w:pPr>
        <w:pStyle w:val="Heading2"/>
      </w:pPr>
      <w:r>
        <w:t xml:space="preserve">2.1 Nhập kho</w:t>
      </w:r>
    </w:p>
    <w:p>
      <w:pPr>
        <w:pStyle w:val="Body"/>
        <w:numPr>
          <w:ilvl w:val="0"/>
          <w:numId w:val="2"/>
        </w:numPr>
      </w:pPr>
      <w:r>
        <w:t xml:space="preserve">Quét mã vận đơn trên kiện hàng bằng máy quét.</w:t>
      </w:r>
    </w:p>
    <w:p>
      <w:pPr>
        <w:pStyle w:val="Body"/>
        <w:numPr>
          <w:ilvl w:val="0"/>
          <w:numId w:val="2"/>
        </w:numPr>
      </w:pPr>
      <w:r>
        <w:t xml:space="preserve">Đối chiếu mã với danh sách đơn của ngày; mã không khớp chuyển khu vực kiểm tra.</w:t>
      </w:r>
    </w:p>
    <w:p>
      <w:pPr>
        <w:pStyle w:val="Body"/>
        <w:numPr>
          <w:ilvl w:val="0"/>
          <w:numId w:val="2"/>
        </w:numPr>
      </w:pPr>
      <w:r>
        <w:t xml:space="preserve">Dán nhãn khu vực giao và đặt kiện lên kệ tương ứng.</w:t>
      </w:r>
    </w:p>
    <w:p>
      <w:pPr>
        <w:pStyle w:val="Heading2"/>
      </w:pPr>
      <w:r>
        <w:t xml:space="preserve">2.2 Phân loại theo khu vực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BBBBB" w:sz="4"/>
              <w:left w:val="single" w:color="BBBBBB" w:sz="4"/>
              <w:bottom w:val="single" w:color="BBBBBB" w:sz="4"/>
              <w:right w:val="single" w:color="BBBBBB" w:sz="4"/>
            </w:tcBorders>
            <w:shd w:fill="0A3D91" w:val="clear"/>
            <w:tcMar>
              <w:top w:type="dxa" w:w="60"/>
              <w:left w:type="dxa" w:w="100"/>
              <w:bottom w:type="dxa" w:w="60"/>
              <w:right w:type="dxa" w:w="100"/>
            </w:tcMar>
          </w:tcPr>
          <w:p>
            <w:r>
              <w:rPr>
                <w:b/>
                <w:bCs/>
                <w:color w:val="FFFFFF"/>
              </w:rPr>
              <w:t xml:space="preserve">Khu vực</w:t>
            </w:r>
          </w:p>
        </w:tc>
        <w:tc>
          <w:tcPr>
            <w:tcW w:type="dxa" w:w="3400"/>
            <w:tcBorders>
              <w:top w:val="single" w:color="BBBBBB" w:sz="4"/>
              <w:left w:val="single" w:color="BBBBBB" w:sz="4"/>
              <w:bottom w:val="single" w:color="BBBBBB" w:sz="4"/>
              <w:right w:val="single" w:color="BBBBBB" w:sz="4"/>
            </w:tcBorders>
            <w:shd w:fill="0A3D91" w:val="clear"/>
            <w:tcMar>
              <w:top w:type="dxa" w:w="60"/>
              <w:left w:type="dxa" w:w="100"/>
              <w:bottom w:type="dxa" w:w="60"/>
              <w:right w:type="dxa" w:w="100"/>
            </w:tcMar>
          </w:tcPr>
          <w:p>
            <w:r>
              <w:rPr>
                <w:b/>
                <w:bCs/>
                <w:color w:val="FFFFFF"/>
              </w:rPr>
              <w:t xml:space="preserve">Kệ phân loại</w:t>
            </w:r>
          </w:p>
        </w:tc>
        <w:tc>
          <w:tcPr>
            <w:tcW w:type="dxa" w:w="3760"/>
            <w:tcBorders>
              <w:top w:val="single" w:color="BBBBBB" w:sz="4"/>
              <w:left w:val="single" w:color="BBBBBB" w:sz="4"/>
              <w:bottom w:val="single" w:color="BBBBBB" w:sz="4"/>
              <w:right w:val="single" w:color="BBBBBB" w:sz="4"/>
            </w:tcBorders>
            <w:shd w:fill="0A3D91" w:val="clear"/>
            <w:tcMar>
              <w:top w:type="dxa" w:w="60"/>
              <w:left w:type="dxa" w:w="100"/>
              <w:bottom w:type="dxa" w:w="60"/>
              <w:right w:type="dxa" w:w="100"/>
            </w:tcMar>
          </w:tcPr>
          <w:p>
            <w:r>
              <w:rPr>
                <w:b/>
                <w:bCs/>
                <w:color w:val="FFFFFF"/>
              </w:rPr>
              <w:t xml:space="preserve">Mốc xuất kho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Quận 1, Quận 3</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Kệ A</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8:00 sáng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Quận 7, Thủ Đức</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Kệ B</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9:00 sáng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Bình Thạnh</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Kệ C</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9:30 sáng</w:t>
            </w:r>
          </w:p>
        </w:tc>
      </w:tr>
    </w:tbl>
    <w:p>
      <w:pPr>
        <w:pStyle w:val="Body"/>
      </w:pPr>
      <w:r>
        <w:t xml:space="preserve"/>
      </w:r>
    </w:p>
    <w:p>
      <w:pPr>
        <w:pStyle w:val="Heading1"/>
      </w:pPr>
      <w:r>
        <w:t xml:space="preserve">3. Quy trình xuất kho và bàn giao</w:t>
      </w:r>
    </w:p>
    <w:p>
      <w:pPr>
        <w:pStyle w:val="Heading2"/>
      </w:pPr>
      <w:r>
        <w:t xml:space="preserve">3.1 Tra cứu giá cước</w:t>
      </w:r>
    </w:p>
    <w:p>
      <w:pPr>
        <w:pStyle w:val="Body"/>
      </w:pPr>
      <w:r>
        <w:t xml:space="preserve">Nhân viên nhập mã vận đơn vào bảng tính; hệ thống tự tra giá cước từ bảng giá bằng hàm VLOOKUP. Mã không tìm thấy hiển thị thông báo để kiểm tra lại, không tự đoán giá.</w:t>
      </w:r>
    </w:p>
    <w:p>
      <w:pPr>
        <w:pStyle w:val="Heading2"/>
      </w:pPr>
      <w:r>
        <w:t xml:space="preserve">3.2 Bàn giao cho shipper</w:t>
      </w:r>
    </w:p>
    <w:p>
      <w:pPr>
        <w:pStyle w:val="Body"/>
        <w:numPr>
          <w:ilvl w:val="0"/>
          <w:numId w:val="2"/>
        </w:numPr>
      </w:pPr>
      <w:r>
        <w:t xml:space="preserve">Shipper xuất trình mã nhân viên và nhận danh sách đơn.</w:t>
      </w:r>
    </w:p>
    <w:p>
      <w:pPr>
        <w:pStyle w:val="Body"/>
        <w:numPr>
          <w:ilvl w:val="0"/>
          <w:numId w:val="2"/>
        </w:numPr>
      </w:pPr>
      <w:r>
        <w:t xml:space="preserve">Nhân viên kho đối chiếu số kiện, ký xác nhận hai bên.</w:t>
      </w:r>
    </w:p>
    <w:p>
      <w:pPr>
        <w:pStyle w:val="Body"/>
        <w:numPr>
          <w:ilvl w:val="0"/>
          <w:numId w:val="2"/>
        </w:numPr>
      </w:pPr>
      <w:r>
        <w:t xml:space="preserve">Kiện dễ vỡ hoặc giá trị cao được ghi chú và chụp ảnh trước khi giao.</w:t>
      </w:r>
    </w:p>
    <w:p>
      <w:pPr>
        <w:pStyle w:val="Heading1"/>
      </w:pPr>
      <w:r>
        <w:t xml:space="preserve">4. Xử lý ngoại lệ và chỉ số KPI</w:t>
      </w:r>
    </w:p>
    <w:p>
      <w:pPr>
        <w:pStyle w:val="Heading2"/>
      </w:pPr>
      <w:r>
        <w:t xml:space="preserve">4.1 Xử lý ngoại lệ</w:t>
      </w:r>
    </w:p>
    <w:p>
      <w:pPr>
        <w:pStyle w:val="Body"/>
      </w:pPr>
      <w:r>
        <w:t xml:space="preserve">Mã vận đơn có ký tự lạ, kiện hư hỏng hoặc sai khu vực được đưa vào danh sách ngoại lệ và xử lý trong vòng 2 giờ.</w:t>
      </w:r>
    </w:p>
    <w:p>
      <w:pPr>
        <w:pStyle w:val="Heading2"/>
      </w:pPr>
      <w:r>
        <w:t xml:space="preserve">4.2 Chỉ số hiệu suất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c>
          <w:tcPr>
            <w:tcW w:type="dxa" w:w="4000"/>
            <w:tcBorders>
              <w:top w:val="single" w:color="BBBBBB" w:sz="4"/>
              <w:left w:val="single" w:color="BBBBBB" w:sz="4"/>
              <w:bottom w:val="single" w:color="BBBBBB" w:sz="4"/>
              <w:right w:val="single" w:color="BBBBBB" w:sz="4"/>
            </w:tcBorders>
            <w:shd w:fill="0A3D91" w:val="clear"/>
            <w:tcMar>
              <w:top w:type="dxa" w:w="60"/>
              <w:left w:type="dxa" w:w="100"/>
              <w:bottom w:type="dxa" w:w="60"/>
              <w:right w:type="dxa" w:w="100"/>
            </w:tcMar>
          </w:tcPr>
          <w:p>
            <w:r>
              <w:rPr>
                <w:b/>
                <w:bCs/>
                <w:color w:val="FFFFFF"/>
              </w:rPr>
              <w:t xml:space="preserve">Chỉ số</w:t>
            </w:r>
          </w:p>
        </w:tc>
        <w:tc>
          <w:tcPr>
            <w:tcW w:type="dxa" w:w="2400"/>
            <w:tcBorders>
              <w:top w:val="single" w:color="BBBBBB" w:sz="4"/>
              <w:left w:val="single" w:color="BBBBBB" w:sz="4"/>
              <w:bottom w:val="single" w:color="BBBBBB" w:sz="4"/>
              <w:right w:val="single" w:color="BBBBBB" w:sz="4"/>
            </w:tcBorders>
            <w:shd w:fill="0A3D91" w:val="clear"/>
            <w:tcMar>
              <w:top w:type="dxa" w:w="60"/>
              <w:left w:type="dxa" w:w="100"/>
              <w:bottom w:type="dxa" w:w="60"/>
              <w:right w:type="dxa" w:w="100"/>
            </w:tcMar>
          </w:tcPr>
          <w:p>
            <w:r>
              <w:rPr>
                <w:b/>
                <w:bCs/>
                <w:color w:val="FFFFFF"/>
              </w:rPr>
              <w:t xml:space="preserve">Mục tiêu</w:t>
            </w:r>
          </w:p>
        </w:tc>
        <w:tc>
          <w:tcPr>
            <w:tcW w:type="dxa" w:w="2960"/>
            <w:tcBorders>
              <w:top w:val="single" w:color="BBBBBB" w:sz="4"/>
              <w:left w:val="single" w:color="BBBBBB" w:sz="4"/>
              <w:bottom w:val="single" w:color="BBBBBB" w:sz="4"/>
              <w:right w:val="single" w:color="BBBBBB" w:sz="4"/>
            </w:tcBorders>
            <w:shd w:fill="0A3D91" w:val="clear"/>
            <w:tcMar>
              <w:top w:type="dxa" w:w="60"/>
              <w:left w:type="dxa" w:w="100"/>
              <w:bottom w:type="dxa" w:w="60"/>
              <w:right w:type="dxa" w:w="100"/>
            </w:tcMar>
          </w:tcPr>
          <w:p>
            <w:r>
              <w:rPr>
                <w:b/>
                <w:bCs/>
                <w:color w:val="FFFFFF"/>
              </w:rPr>
              <w:t xml:space="preserve">Tần suất báo cáo</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Tỷ lệ giao đúng hạn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Từ 90%</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Hằng tuần</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Tỷ lệ mã tra cứu lỗi</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Dưới 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Hằng ngày</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Thời gian xử lý ngoại lệ</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Dưới 2 giờ</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rPr>
              <w:t xml:space="preserve">Hằng ngày</w:t>
            </w:r>
          </w:p>
        </w:tc>
      </w:tr>
    </w:tbl>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0A3D91"/>
      <w:sz w:val="44"/>
      <w:szCs w:val="44"/>
    </w:rPr>
  </w:style>
  <w:style w:type="paragraph" w:styleId="Subtitle">
    <w:name w:val="Subtitle"/>
    <w:basedOn w:val="Normal"/>
    <w:next w:val="Normal"/>
    <w:qFormat/>
    <w:pPr>
      <w:pBdr>
        <w:bottom w:val="single" w:color="F57C00" w:sz="12" w:space="4"/>
      </w:pBdr>
      <w:spacing w:after="300"/>
    </w:pPr>
    <w:rPr>
      <w:rFonts w:ascii="Arial" w:cs="Arial" w:eastAsia="Arial" w:hAnsi="Arial"/>
      <w:color w:val="F57C00"/>
      <w:sz w:val="24"/>
      <w:szCs w:val="24"/>
    </w:rPr>
  </w:style>
  <w:style w:type="paragraph" w:styleId="Heading1">
    <w:name w:val="Heading 1"/>
    <w:basedOn w:val="Normal"/>
    <w:next w:val="Body"/>
    <w:qFormat/>
    <w:pPr>
      <w:spacing w:after="160" w:before="300"/>
      <w:outlineLvl w:val="0"/>
    </w:pPr>
    <w:rPr>
      <w:rFonts w:ascii="Arial" w:cs="Arial" w:eastAsia="Arial" w:hAnsi="Arial"/>
      <w:b/>
      <w:bCs/>
      <w:color w:val="0A3D91"/>
      <w:sz w:val="32"/>
      <w:szCs w:val="32"/>
    </w:rPr>
  </w:style>
  <w:style w:type="paragraph" w:styleId="Heading2">
    <w:name w:val="Heading 2"/>
    <w:basedOn w:val="Normal"/>
    <w:next w:val="Body"/>
    <w:qFormat/>
    <w:pPr>
      <w:spacing w:after="120" w:before="200"/>
      <w:outlineLvl w:val="1"/>
    </w:pPr>
    <w:rPr>
      <w:rFonts w:ascii="Arial" w:cs="Arial" w:eastAsia="Arial" w:hAnsi="Arial"/>
      <w:b/>
      <w:bCs/>
      <w:color w:val="F57C00"/>
      <w:sz w:val="26"/>
      <w:szCs w:val="26"/>
    </w:rPr>
  </w:style>
  <w:style w:type="paragraph" w:styleId="Body">
    <w:name w:val="Body"/>
    <w:basedOn w:val="Normal"/>
    <w:qFormat/>
    <w:pPr>
      <w:spacing w:after="120" w:line="30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2026-10-26T23:27:54.911Z</dcterms:created>
  <dcterms:modified xsi:type="dcterms:W3CDTF">2026-10-26T23:27:54.916Z</dcterms:modified>
</cp:coreProperties>
</file>

<file path=docProps/custom.xml><?xml version="1.0" encoding="utf-8"?>
<Properties xmlns="http://schemas.openxmlformats.org/officeDocument/2006/custom-properties" xmlns:vt="http://schemas.openxmlformats.org/officeDocument/2006/docPropsVTypes"/>
</file>