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BÀI 5 – THIẾT KẾ CÁCH THEO DÕI GÓP Ý VÀ CẢI TIẾN QUA BA SPRINT</w:t>
      </w:r>
    </w:p>
    <w:p>
      <w:pPr>
        <w:jc w:val="center"/>
      </w:pPr>
      <w:r>
        <w:t>Dự án: RikkeiAssist  |  Vai trò đề xuất: Thu Hà – Scrum Master</w:t>
      </w:r>
    </w:p>
    <w:p>
      <w:r>
        <w:rPr>
          <w:b w:val="0"/>
        </w:rPr>
        <w:t>Mục tiêu: Theo dõi được quyết định và bằng chứng qua các Sprint, nhưng không biến Review/Retrospective thành thủ tục báo cáo.</w:t>
      </w:r>
    </w:p>
    <w:p>
      <w:pPr>
        <w:pStyle w:val="Heading1"/>
      </w:pPr>
      <w:r>
        <w:t>PHẦN 1. CHU TRÌNH THEO DÕI</w:t>
      </w:r>
    </w:p>
    <w:p>
      <w:pPr>
        <w:pStyle w:val="Heading2"/>
      </w:pPr>
      <w:r>
        <w:t>1.1. Luồng góp ý sản phẩm – Sprint Review</w:t>
      </w:r>
    </w:p>
    <w:p>
      <w:r>
        <w:rPr>
          <w:b w:val="0"/>
        </w:rPr>
        <w:t>Sprint Review (Stakeholder góp ý) → Thu Hà/nhóm ghi mã F, nguồn, nội dung gốc → PO Minh Anh xác định câu hỏi còn thiếu và người cần hỏi → PO làm rõ với Stakeholder → PO xem xét, sắp xếp Product Backlog (tạo/gắn PBI nếu phù hợp, hoặc ghi lý do chưa đưa vào) → Sprint Review sau: thông báo kết quả xử lý và nhận góp ý mới.</w:t>
      </w:r>
    </w:p>
    <w:p>
      <w:r>
        <w:rPr>
          <w:b w:val="0"/>
        </w:rPr>
        <w:t>Phân quyền: Thu Hà giữ bảng và nhắc cập nhật; Minh Anh chịu trách nhiệm quyết định Product Backlog; Developers tham gia đánh giá kỹ thuật, rủi ro và tính khả thi. “Đã ghi nhận”, “đã làm rõ”, “đã xem xét Backlog” và “đã cam kết làm” là bốn trạng thái khác nhau.</w:t>
      </w:r>
    </w:p>
    <w:p>
      <w:pPr>
        <w:pStyle w:val="Heading2"/>
      </w:pPr>
      <w:r>
        <w:t>1.2. Luồng cải tiến cách làm – Sprint Retrospective</w:t>
      </w:r>
    </w:p>
    <w:p>
      <w:r>
        <w:rPr>
          <w:b w:val="0"/>
        </w:rPr>
        <w:t>Sprint Retrospective (Scrum Team nêu vấn đề) → Thu Hà hỗ trợ gom chủ đề, giữ ý kiến không gắn tên cá nhân nếu cần → Scrum Team chọn 1–2 Improvement khả thi, ghi mã IM, người theo dõi, chỉ số/điều kiện thành công → thực hiện trong Sprint tới → Retrospective Sprint sau xem bằng chứng → tiếp tục/điều chỉnh/hoàn tất/dừng (ghi lý do).</w:t>
      </w:r>
    </w:p>
    <w:p>
      <w:r>
        <w:rPr>
          <w:b w:val="0"/>
        </w:rPr>
        <w:t>Phân quyền: Cả Scrum Team cùng quyết định Improvement; người theo dõi tổng hợp bằng chứng, không chịu KPI cá nhân; Thu Hà bảo đảm kiểm tra lại ở Retrospective tiếp theo. Review và Retrospective vẫn tổ chức riêng theo mục tiêu, thành phần và timebox Scrum.</w:t>
      </w:r>
    </w:p>
    <w:p>
      <w:pPr>
        <w:pStyle w:val="Heading2"/>
      </w:pPr>
      <w:r>
        <w:t>1.3. Nhịp vận hành tối giản</w:t>
      </w:r>
    </w:p>
    <w:p>
      <w:r>
        <w:rPr>
          <w:b w:val="0"/>
        </w:rPr>
        <w:t>Duy trì hai bảng chung (Feedback và Improvement), cập nhật sau sự kiện; kiểm tra ngắn các mục đang mở trước sự kiện tương ứng ở Sprint tiếp theo. Mỗi thẻ chỉ cần mã, trạng thái, trách nhiệm, liên kết và lần cập nhật/bằng chứng. Không xóa lịch sử: thêm dòng diễn biến hoặc ghi thời điểm đổi trạng thái.</w:t>
      </w:r>
    </w:p>
    <w:p>
      <w:pPr>
        <w:pStyle w:val="Heading1"/>
      </w:pPr>
      <w:r>
        <w:t>PHẦN 2. BẢNG THEO DÕI MẪU QUA SPRINT 11–13</w:t>
      </w:r>
    </w:p>
    <w:p>
      <w:pPr>
        <w:pStyle w:val="Heading2"/>
      </w:pPr>
      <w:r>
        <w:t>2.1. Dữ liệu tổng quan (theo đề bài)</w:t>
      </w:r>
    </w:p>
    <w:tbl>
      <w:tblPr>
        <w:tblStyle w:val="TableGrid"/>
        <w:tblW w:type="auto" w:w="0"/>
        <w:jc w:val="center"/>
        <w:tblLook w:firstColumn="1" w:firstRow="1" w:lastColumn="0" w:lastRow="0" w:noHBand="0" w:noVBand="1" w:val="04A0"/>
      </w:tblPr>
      <w:tblGrid>
        <w:gridCol w:w="1646"/>
        <w:gridCol w:w="1646"/>
        <w:gridCol w:w="1646"/>
        <w:gridCol w:w="1646"/>
        <w:gridCol w:w="1646"/>
        <w:gridCol w:w="1646"/>
      </w:tblGrid>
      <w:tr>
        <w:tc>
          <w:tcPr>
            <w:tcW w:type="dxa" w:w="1646"/>
            <w:vAlign w:val="center"/>
            <w:shd w:fill="DDEAF3"/>
          </w:tcPr>
          <w:p>
            <w:pPr>
              <w:spacing w:after="40" w:before="40"/>
            </w:pPr>
            <w:r>
              <w:rPr>
                <w:rFonts w:ascii="Times New Roman" w:hAnsi="Times New Roman"/>
                <w:b/>
                <w:sz w:val="20"/>
              </w:rPr>
              <w:t>Sprint</w:t>
            </w:r>
          </w:p>
        </w:tc>
        <w:tc>
          <w:tcPr>
            <w:tcW w:type="dxa" w:w="1646"/>
            <w:vAlign w:val="center"/>
            <w:shd w:fill="DDEAF3"/>
          </w:tcPr>
          <w:p>
            <w:pPr>
              <w:spacing w:after="40" w:before="40"/>
            </w:pPr>
            <w:r>
              <w:rPr>
                <w:rFonts w:ascii="Times New Roman" w:hAnsi="Times New Roman"/>
                <w:b/>
                <w:sz w:val="20"/>
              </w:rPr>
              <w:t>Góp ý ghi nhận</w:t>
            </w:r>
          </w:p>
        </w:tc>
        <w:tc>
          <w:tcPr>
            <w:tcW w:type="dxa" w:w="1646"/>
            <w:vAlign w:val="center"/>
            <w:shd w:fill="DDEAF3"/>
          </w:tcPr>
          <w:p>
            <w:pPr>
              <w:spacing w:after="40" w:before="40"/>
            </w:pPr>
            <w:r>
              <w:rPr>
                <w:rFonts w:ascii="Times New Roman" w:hAnsi="Times New Roman"/>
                <w:b/>
                <w:sz w:val="20"/>
              </w:rPr>
              <w:t>Đã hỏi rõ</w:t>
            </w:r>
          </w:p>
        </w:tc>
        <w:tc>
          <w:tcPr>
            <w:tcW w:type="dxa" w:w="1646"/>
            <w:vAlign w:val="center"/>
            <w:shd w:fill="DDEAF3"/>
          </w:tcPr>
          <w:p>
            <w:pPr>
              <w:spacing w:after="40" w:before="40"/>
            </w:pPr>
            <w:r>
              <w:rPr>
                <w:rFonts w:ascii="Times New Roman" w:hAnsi="Times New Roman"/>
                <w:b/>
                <w:sz w:val="20"/>
              </w:rPr>
              <w:t>Đã xem xét Backlog</w:t>
            </w:r>
          </w:p>
        </w:tc>
        <w:tc>
          <w:tcPr>
            <w:tcW w:type="dxa" w:w="1646"/>
            <w:vAlign w:val="center"/>
            <w:shd w:fill="DDEAF3"/>
          </w:tcPr>
          <w:p>
            <w:pPr>
              <w:spacing w:after="40" w:before="40"/>
            </w:pPr>
            <w:r>
              <w:rPr>
                <w:rFonts w:ascii="Times New Roman" w:hAnsi="Times New Roman"/>
                <w:b/>
                <w:sz w:val="20"/>
              </w:rPr>
              <w:t>IM mới</w:t>
            </w:r>
          </w:p>
        </w:tc>
        <w:tc>
          <w:tcPr>
            <w:tcW w:type="dxa" w:w="1646"/>
            <w:vAlign w:val="center"/>
            <w:shd w:fill="DDEAF3"/>
          </w:tcPr>
          <w:p>
            <w:pPr>
              <w:spacing w:after="40" w:before="40"/>
            </w:pPr>
            <w:r>
              <w:rPr>
                <w:rFonts w:ascii="Times New Roman" w:hAnsi="Times New Roman"/>
                <w:b/>
                <w:sz w:val="20"/>
              </w:rPr>
              <w:t>IM mở cuối Sprint</w:t>
            </w:r>
          </w:p>
        </w:tc>
      </w:tr>
      <w:tr>
        <w:tc>
          <w:tcPr>
            <w:tcW w:type="dxa" w:w="1646"/>
            <w:vAlign w:val="center"/>
          </w:tcPr>
          <w:p>
            <w:pPr>
              <w:spacing w:after="40" w:before="40"/>
            </w:pPr>
            <w:r>
              <w:rPr>
                <w:rFonts w:ascii="Times New Roman" w:hAnsi="Times New Roman"/>
                <w:sz w:val="20"/>
              </w:rPr>
              <w:t>11</w:t>
            </w:r>
          </w:p>
        </w:tc>
        <w:tc>
          <w:tcPr>
            <w:tcW w:type="dxa" w:w="1646"/>
            <w:vAlign w:val="center"/>
          </w:tcPr>
          <w:p>
            <w:pPr>
              <w:spacing w:after="40" w:before="40"/>
            </w:pPr>
            <w:r>
              <w:rPr>
                <w:rFonts w:ascii="Times New Roman" w:hAnsi="Times New Roman"/>
                <w:sz w:val="20"/>
              </w:rPr>
              <w:t>12</w:t>
            </w:r>
          </w:p>
        </w:tc>
        <w:tc>
          <w:tcPr>
            <w:tcW w:type="dxa" w:w="1646"/>
            <w:vAlign w:val="center"/>
          </w:tcPr>
          <w:p>
            <w:pPr>
              <w:spacing w:after="40" w:before="40"/>
            </w:pPr>
            <w:r>
              <w:rPr>
                <w:rFonts w:ascii="Times New Roman" w:hAnsi="Times New Roman"/>
                <w:sz w:val="20"/>
              </w:rPr>
              <w:t>5</w:t>
            </w:r>
          </w:p>
        </w:tc>
        <w:tc>
          <w:tcPr>
            <w:tcW w:type="dxa" w:w="1646"/>
            <w:vAlign w:val="center"/>
          </w:tcPr>
          <w:p>
            <w:pPr>
              <w:spacing w:after="40" w:before="40"/>
            </w:pPr>
            <w:r>
              <w:rPr>
                <w:rFonts w:ascii="Times New Roman" w:hAnsi="Times New Roman"/>
                <w:sz w:val="20"/>
              </w:rPr>
              <w:t>3</w:t>
            </w:r>
          </w:p>
        </w:tc>
        <w:tc>
          <w:tcPr>
            <w:tcW w:type="dxa" w:w="1646"/>
            <w:vAlign w:val="center"/>
          </w:tcPr>
          <w:p>
            <w:pPr>
              <w:spacing w:after="40" w:before="40"/>
            </w:pPr>
            <w:r>
              <w:rPr>
                <w:rFonts w:ascii="Times New Roman" w:hAnsi="Times New Roman"/>
                <w:sz w:val="20"/>
              </w:rPr>
              <w:t>3</w:t>
            </w:r>
          </w:p>
        </w:tc>
        <w:tc>
          <w:tcPr>
            <w:tcW w:type="dxa" w:w="1646"/>
            <w:vAlign w:val="center"/>
          </w:tcPr>
          <w:p>
            <w:pPr>
              <w:spacing w:after="40" w:before="40"/>
            </w:pPr>
            <w:r>
              <w:rPr>
                <w:rFonts w:ascii="Times New Roman" w:hAnsi="Times New Roman"/>
                <w:sz w:val="20"/>
              </w:rPr>
              <w:t>2</w:t>
            </w:r>
          </w:p>
        </w:tc>
      </w:tr>
      <w:tr>
        <w:tc>
          <w:tcPr>
            <w:tcW w:type="dxa" w:w="1646"/>
            <w:vAlign w:val="center"/>
          </w:tcPr>
          <w:p>
            <w:pPr>
              <w:spacing w:after="40" w:before="40"/>
            </w:pPr>
            <w:r>
              <w:rPr>
                <w:rFonts w:ascii="Times New Roman" w:hAnsi="Times New Roman"/>
                <w:sz w:val="20"/>
              </w:rPr>
              <w:t>12</w:t>
            </w:r>
          </w:p>
        </w:tc>
        <w:tc>
          <w:tcPr>
            <w:tcW w:type="dxa" w:w="1646"/>
            <w:vAlign w:val="center"/>
          </w:tcPr>
          <w:p>
            <w:pPr>
              <w:spacing w:after="40" w:before="40"/>
            </w:pPr>
            <w:r>
              <w:rPr>
                <w:rFonts w:ascii="Times New Roman" w:hAnsi="Times New Roman"/>
                <w:sz w:val="20"/>
              </w:rPr>
              <w:t>15</w:t>
            </w:r>
          </w:p>
        </w:tc>
        <w:tc>
          <w:tcPr>
            <w:tcW w:type="dxa" w:w="1646"/>
            <w:vAlign w:val="center"/>
          </w:tcPr>
          <w:p>
            <w:pPr>
              <w:spacing w:after="40" w:before="40"/>
            </w:pPr>
            <w:r>
              <w:rPr>
                <w:rFonts w:ascii="Times New Roman" w:hAnsi="Times New Roman"/>
                <w:sz w:val="20"/>
              </w:rPr>
              <w:t>7</w:t>
            </w:r>
          </w:p>
        </w:tc>
        <w:tc>
          <w:tcPr>
            <w:tcW w:type="dxa" w:w="1646"/>
            <w:vAlign w:val="center"/>
          </w:tcPr>
          <w:p>
            <w:pPr>
              <w:spacing w:after="40" w:before="40"/>
            </w:pPr>
            <w:r>
              <w:rPr>
                <w:rFonts w:ascii="Times New Roman" w:hAnsi="Times New Roman"/>
                <w:sz w:val="20"/>
              </w:rPr>
              <w:t>6</w:t>
            </w:r>
          </w:p>
        </w:tc>
        <w:tc>
          <w:tcPr>
            <w:tcW w:type="dxa" w:w="1646"/>
            <w:vAlign w:val="center"/>
          </w:tcPr>
          <w:p>
            <w:pPr>
              <w:spacing w:after="40" w:before="40"/>
            </w:pPr>
            <w:r>
              <w:rPr>
                <w:rFonts w:ascii="Times New Roman" w:hAnsi="Times New Roman"/>
                <w:sz w:val="20"/>
              </w:rPr>
              <w:t>2</w:t>
            </w:r>
          </w:p>
        </w:tc>
        <w:tc>
          <w:tcPr>
            <w:tcW w:type="dxa" w:w="1646"/>
            <w:vAlign w:val="center"/>
          </w:tcPr>
          <w:p>
            <w:pPr>
              <w:spacing w:after="40" w:before="40"/>
            </w:pPr>
            <w:r>
              <w:rPr>
                <w:rFonts w:ascii="Times New Roman" w:hAnsi="Times New Roman"/>
                <w:sz w:val="20"/>
              </w:rPr>
              <w:t>3</w:t>
            </w:r>
          </w:p>
        </w:tc>
      </w:tr>
      <w:tr>
        <w:tc>
          <w:tcPr>
            <w:tcW w:type="dxa" w:w="1646"/>
            <w:vAlign w:val="center"/>
          </w:tcPr>
          <w:p>
            <w:pPr>
              <w:spacing w:after="40" w:before="40"/>
            </w:pPr>
            <w:r>
              <w:rPr>
                <w:rFonts w:ascii="Times New Roman" w:hAnsi="Times New Roman"/>
                <w:sz w:val="20"/>
              </w:rPr>
              <w:t>13</w:t>
            </w:r>
          </w:p>
        </w:tc>
        <w:tc>
          <w:tcPr>
            <w:tcW w:type="dxa" w:w="1646"/>
            <w:vAlign w:val="center"/>
          </w:tcPr>
          <w:p>
            <w:pPr>
              <w:spacing w:after="40" w:before="40"/>
            </w:pPr>
            <w:r>
              <w:rPr>
                <w:rFonts w:ascii="Times New Roman" w:hAnsi="Times New Roman"/>
                <w:sz w:val="20"/>
              </w:rPr>
              <w:t>18</w:t>
            </w:r>
          </w:p>
        </w:tc>
        <w:tc>
          <w:tcPr>
            <w:tcW w:type="dxa" w:w="1646"/>
            <w:vAlign w:val="center"/>
          </w:tcPr>
          <w:p>
            <w:pPr>
              <w:spacing w:after="40" w:before="40"/>
            </w:pPr>
            <w:r>
              <w:rPr>
                <w:rFonts w:ascii="Times New Roman" w:hAnsi="Times New Roman"/>
                <w:sz w:val="20"/>
              </w:rPr>
              <w:t>10</w:t>
            </w:r>
          </w:p>
        </w:tc>
        <w:tc>
          <w:tcPr>
            <w:tcW w:type="dxa" w:w="1646"/>
            <w:vAlign w:val="center"/>
          </w:tcPr>
          <w:p>
            <w:pPr>
              <w:spacing w:after="40" w:before="40"/>
            </w:pPr>
            <w:r>
              <w:rPr>
                <w:rFonts w:ascii="Times New Roman" w:hAnsi="Times New Roman"/>
                <w:sz w:val="20"/>
              </w:rPr>
              <w:t>5</w:t>
            </w:r>
          </w:p>
        </w:tc>
        <w:tc>
          <w:tcPr>
            <w:tcW w:type="dxa" w:w="1646"/>
            <w:vAlign w:val="center"/>
          </w:tcPr>
          <w:p>
            <w:pPr>
              <w:spacing w:after="40" w:before="40"/>
            </w:pPr>
            <w:r>
              <w:rPr>
                <w:rFonts w:ascii="Times New Roman" w:hAnsi="Times New Roman"/>
                <w:sz w:val="20"/>
              </w:rPr>
              <w:t>2</w:t>
            </w:r>
          </w:p>
        </w:tc>
        <w:tc>
          <w:tcPr>
            <w:tcW w:type="dxa" w:w="1646"/>
            <w:vAlign w:val="center"/>
          </w:tcPr>
          <w:p>
            <w:pPr>
              <w:spacing w:after="40" w:before="40"/>
            </w:pPr>
            <w:r>
              <w:rPr>
                <w:rFonts w:ascii="Times New Roman" w:hAnsi="Times New Roman"/>
                <w:sz w:val="20"/>
              </w:rPr>
              <w:t>4</w:t>
            </w:r>
          </w:p>
        </w:tc>
      </w:tr>
    </w:tbl>
    <w:p>
      <w:r>
        <w:rPr>
          <w:b w:val="0"/>
        </w:rPr>
        <w:t>Nhận xét: Góp ý tăng 12 → 15 → 18, nhưng số được hỏi rõ chỉ 5 → 7 → 10; số Improvement còn mở tăng 2 → 3 → 4. Đây là tín hiệu cần quản lý luồng xử lý, không phải bằng chứng cá nhân làm kém.</w:t>
      </w:r>
    </w:p>
    <w:p>
      <w:pPr>
        <w:pStyle w:val="Heading2"/>
      </w:pPr>
      <w:r>
        <w:t>2.2. Bảng Feedback – ví dụ F-11-04</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vAlign w:val="center"/>
            <w:shd w:fill="DDEAF3"/>
          </w:tcPr>
          <w:p>
            <w:pPr>
              <w:spacing w:after="40" w:before="40"/>
            </w:pPr>
            <w:r>
              <w:rPr>
                <w:rFonts w:ascii="Times New Roman" w:hAnsi="Times New Roman"/>
                <w:b/>
                <w:sz w:val="20"/>
              </w:rPr>
              <w:t>Sprint</w:t>
            </w:r>
          </w:p>
        </w:tc>
        <w:tc>
          <w:tcPr>
            <w:tcW w:type="dxa" w:w="2469"/>
            <w:vAlign w:val="center"/>
            <w:shd w:fill="DDEAF3"/>
          </w:tcPr>
          <w:p>
            <w:pPr>
              <w:spacing w:after="40" w:before="40"/>
            </w:pPr>
            <w:r>
              <w:rPr>
                <w:rFonts w:ascii="Times New Roman" w:hAnsi="Times New Roman"/>
                <w:b/>
                <w:sz w:val="20"/>
              </w:rPr>
              <w:t>Mã/nguồn</w:t>
            </w:r>
          </w:p>
        </w:tc>
        <w:tc>
          <w:tcPr>
            <w:tcW w:type="dxa" w:w="2469"/>
            <w:vAlign w:val="center"/>
            <w:shd w:fill="DDEAF3"/>
          </w:tcPr>
          <w:p>
            <w:pPr>
              <w:spacing w:after="40" w:before="40"/>
            </w:pPr>
            <w:r>
              <w:rPr>
                <w:rFonts w:ascii="Times New Roman" w:hAnsi="Times New Roman"/>
                <w:b/>
                <w:sz w:val="20"/>
              </w:rPr>
              <w:t>Trạng thái &amp; thông tin còn thiếu</w:t>
            </w:r>
          </w:p>
        </w:tc>
        <w:tc>
          <w:tcPr>
            <w:tcW w:type="dxa" w:w="2469"/>
            <w:vAlign w:val="center"/>
            <w:shd w:fill="DDEAF3"/>
          </w:tcPr>
          <w:p>
            <w:pPr>
              <w:spacing w:after="40" w:before="40"/>
            </w:pPr>
            <w:r>
              <w:rPr>
                <w:rFonts w:ascii="Times New Roman" w:hAnsi="Times New Roman"/>
                <w:b/>
                <w:sz w:val="20"/>
              </w:rPr>
              <w:t>Liên kết PBI / hành động tiếp</w:t>
            </w:r>
          </w:p>
        </w:tc>
      </w:tr>
      <w:tr>
        <w:tc>
          <w:tcPr>
            <w:tcW w:type="dxa" w:w="2469"/>
            <w:vAlign w:val="center"/>
          </w:tcPr>
          <w:p>
            <w:pPr>
              <w:spacing w:after="40" w:before="40"/>
            </w:pPr>
            <w:r>
              <w:rPr>
                <w:rFonts w:ascii="Times New Roman" w:hAnsi="Times New Roman"/>
                <w:sz w:val="20"/>
              </w:rPr>
              <w:t>11</w:t>
            </w:r>
          </w:p>
        </w:tc>
        <w:tc>
          <w:tcPr>
            <w:tcW w:type="dxa" w:w="2469"/>
            <w:vAlign w:val="center"/>
          </w:tcPr>
          <w:p>
            <w:pPr>
              <w:spacing w:after="40" w:before="40"/>
            </w:pPr>
            <w:r>
              <w:rPr>
                <w:rFonts w:ascii="Times New Roman" w:hAnsi="Times New Roman"/>
                <w:sz w:val="20"/>
              </w:rPr>
              <w:t>F-11-04 / Trưởng nhóm CSKH</w:t>
            </w:r>
          </w:p>
        </w:tc>
        <w:tc>
          <w:tcPr>
            <w:tcW w:type="dxa" w:w="2469"/>
            <w:vAlign w:val="center"/>
          </w:tcPr>
          <w:p>
            <w:pPr>
              <w:spacing w:after="40" w:before="40"/>
            </w:pPr>
            <w:r>
              <w:rPr>
                <w:rFonts w:ascii="Times New Roman" w:hAnsi="Times New Roman"/>
                <w:sz w:val="20"/>
              </w:rPr>
              <w:t>Ghi nhận: “Chuyển người sớm hơn khi AI không chắc chắn”. Chưa rõ ngưỡng.</w:t>
            </w:r>
          </w:p>
        </w:tc>
        <w:tc>
          <w:tcPr>
            <w:tcW w:type="dxa" w:w="2469"/>
            <w:vAlign w:val="center"/>
          </w:tcPr>
          <w:p>
            <w:pPr>
              <w:spacing w:after="40" w:before="40"/>
            </w:pPr>
            <w:r>
              <w:rPr>
                <w:rFonts w:ascii="Times New Roman" w:hAnsi="Times New Roman"/>
                <w:sz w:val="20"/>
              </w:rPr>
              <w:t>Chưa có PBI; PO cần hỏi cách đo “không chắc chắn”.</w:t>
            </w:r>
          </w:p>
        </w:tc>
      </w:tr>
      <w:tr>
        <w:tc>
          <w:tcPr>
            <w:tcW w:type="dxa" w:w="2469"/>
            <w:vAlign w:val="center"/>
          </w:tcPr>
          <w:p>
            <w:pPr>
              <w:spacing w:after="40" w:before="40"/>
            </w:pPr>
            <w:r>
              <w:rPr>
                <w:rFonts w:ascii="Times New Roman" w:hAnsi="Times New Roman"/>
                <w:sz w:val="20"/>
              </w:rPr>
              <w:t>12</w:t>
            </w:r>
          </w:p>
        </w:tc>
        <w:tc>
          <w:tcPr>
            <w:tcW w:type="dxa" w:w="2469"/>
            <w:vAlign w:val="center"/>
          </w:tcPr>
          <w:p>
            <w:pPr>
              <w:spacing w:after="40" w:before="40"/>
            </w:pPr>
            <w:r>
              <w:rPr>
                <w:rFonts w:ascii="Times New Roman" w:hAnsi="Times New Roman"/>
                <w:sz w:val="20"/>
              </w:rPr>
              <w:t>F-11-04 / cùng mã</w:t>
            </w:r>
          </w:p>
        </w:tc>
        <w:tc>
          <w:tcPr>
            <w:tcW w:type="dxa" w:w="2469"/>
            <w:vAlign w:val="center"/>
          </w:tcPr>
          <w:p>
            <w:pPr>
              <w:spacing w:after="40" w:before="40"/>
            </w:pPr>
            <w:r>
              <w:rPr>
                <w:rFonts w:ascii="Times New Roman" w:hAnsi="Times New Roman"/>
                <w:sz w:val="20"/>
              </w:rPr>
              <w:t>Vẫn chưa có bằng chứng đã làm rõ trong dữ liệu đề; giữ trạng thái “Cần làm rõ”.</w:t>
            </w:r>
          </w:p>
        </w:tc>
        <w:tc>
          <w:tcPr>
            <w:tcW w:type="dxa" w:w="2469"/>
            <w:vAlign w:val="center"/>
          </w:tcPr>
          <w:p>
            <w:pPr>
              <w:spacing w:after="40" w:before="40"/>
            </w:pPr>
            <w:r>
              <w:rPr>
                <w:rFonts w:ascii="Times New Roman" w:hAnsi="Times New Roman"/>
                <w:sz w:val="20"/>
              </w:rPr>
              <w:t>Đề xuất PO hỏi ngưỡng confidence, nhóm khách, mức độ ưu tiên và tác động.</w:t>
            </w:r>
          </w:p>
        </w:tc>
      </w:tr>
      <w:tr>
        <w:tc>
          <w:tcPr>
            <w:tcW w:type="dxa" w:w="2469"/>
            <w:vAlign w:val="center"/>
          </w:tcPr>
          <w:p>
            <w:pPr>
              <w:spacing w:after="40" w:before="40"/>
            </w:pPr>
            <w:r>
              <w:rPr>
                <w:rFonts w:ascii="Times New Roman" w:hAnsi="Times New Roman"/>
                <w:sz w:val="20"/>
              </w:rPr>
              <w:t>13</w:t>
            </w:r>
          </w:p>
        </w:tc>
        <w:tc>
          <w:tcPr>
            <w:tcW w:type="dxa" w:w="2469"/>
            <w:vAlign w:val="center"/>
          </w:tcPr>
          <w:p>
            <w:pPr>
              <w:spacing w:after="40" w:before="40"/>
            </w:pPr>
            <w:r>
              <w:rPr>
                <w:rFonts w:ascii="Times New Roman" w:hAnsi="Times New Roman"/>
                <w:sz w:val="20"/>
              </w:rPr>
              <w:t>F-11-04 + tham chiếu F-13-05</w:t>
            </w:r>
          </w:p>
        </w:tc>
        <w:tc>
          <w:tcPr>
            <w:tcW w:type="dxa" w:w="2469"/>
            <w:vAlign w:val="center"/>
          </w:tcPr>
          <w:p>
            <w:pPr>
              <w:spacing w:after="40" w:before="40"/>
            </w:pPr>
            <w:r>
              <w:rPr>
                <w:rFonts w:ascii="Times New Roman" w:hAnsi="Times New Roman"/>
                <w:sz w:val="20"/>
              </w:rPr>
              <w:t>F-13-05 có ý tương tự (“tôi không chắc”): đánh dấu trùng/chung chủ đề, giữ cả nội dung gốc.</w:t>
            </w:r>
          </w:p>
        </w:tc>
        <w:tc>
          <w:tcPr>
            <w:tcW w:type="dxa" w:w="2469"/>
            <w:vAlign w:val="center"/>
          </w:tcPr>
          <w:p>
            <w:pPr>
              <w:spacing w:after="40" w:before="40"/>
            </w:pPr>
            <w:r>
              <w:rPr>
                <w:rFonts w:ascii="Times New Roman" w:hAnsi="Times New Roman"/>
                <w:sz w:val="20"/>
              </w:rPr>
              <w:t>Liên kết chéo F-13-05; chưa gán PBI khi chưa chốt quy tắc chuyển người.</w:t>
            </w:r>
          </w:p>
        </w:tc>
      </w:tr>
    </w:tbl>
    <w:p>
      <w:r>
        <w:rPr>
          <w:b w:val="0"/>
        </w:rPr>
        <w:t>Lưu ý: các hành động hỏi rõ ở trên là đề xuất cho Sprint tiếp theo, không được ghi thành việc đã hoàn tất trong Sprint 11–13 khi đề không có bằng chứng.</w:t>
      </w:r>
    </w:p>
    <w:p>
      <w:pPr>
        <w:pStyle w:val="Heading2"/>
      </w:pPr>
      <w:r>
        <w:t>2.3. Bảng Improvement – ví dụ IM-11-02</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vAlign w:val="center"/>
            <w:shd w:fill="DDEAF3"/>
          </w:tcPr>
          <w:p>
            <w:pPr>
              <w:spacing w:after="40" w:before="40"/>
            </w:pPr>
            <w:r>
              <w:rPr>
                <w:rFonts w:ascii="Times New Roman" w:hAnsi="Times New Roman"/>
                <w:b/>
                <w:sz w:val="20"/>
              </w:rPr>
              <w:t>Sprint</w:t>
            </w:r>
          </w:p>
        </w:tc>
        <w:tc>
          <w:tcPr>
            <w:tcW w:type="dxa" w:w="2469"/>
            <w:vAlign w:val="center"/>
            <w:shd w:fill="DDEAF3"/>
          </w:tcPr>
          <w:p>
            <w:pPr>
              <w:spacing w:after="40" w:before="40"/>
            </w:pPr>
            <w:r>
              <w:rPr>
                <w:rFonts w:ascii="Times New Roman" w:hAnsi="Times New Roman"/>
                <w:b/>
                <w:sz w:val="20"/>
              </w:rPr>
              <w:t>Theo dõi &amp; mục tiêu</w:t>
            </w:r>
          </w:p>
        </w:tc>
        <w:tc>
          <w:tcPr>
            <w:tcW w:type="dxa" w:w="2469"/>
            <w:vAlign w:val="center"/>
            <w:shd w:fill="DDEAF3"/>
          </w:tcPr>
          <w:p>
            <w:pPr>
              <w:spacing w:after="40" w:before="40"/>
            </w:pPr>
            <w:r>
              <w:rPr>
                <w:rFonts w:ascii="Times New Roman" w:hAnsi="Times New Roman"/>
                <w:b/>
                <w:sz w:val="20"/>
              </w:rPr>
              <w:t>Bằng chứng</w:t>
            </w:r>
          </w:p>
        </w:tc>
        <w:tc>
          <w:tcPr>
            <w:tcW w:type="dxa" w:w="2469"/>
            <w:vAlign w:val="center"/>
            <w:shd w:fill="DDEAF3"/>
          </w:tcPr>
          <w:p>
            <w:pPr>
              <w:spacing w:after="40" w:before="40"/>
            </w:pPr>
            <w:r>
              <w:rPr>
                <w:rFonts w:ascii="Times New Roman" w:hAnsi="Times New Roman"/>
                <w:b/>
                <w:sz w:val="20"/>
              </w:rPr>
              <w:t>Kết luận tại cuối Sprint</w:t>
            </w:r>
          </w:p>
        </w:tc>
      </w:tr>
      <w:tr>
        <w:tc>
          <w:tcPr>
            <w:tcW w:type="dxa" w:w="2469"/>
            <w:vAlign w:val="center"/>
          </w:tcPr>
          <w:p>
            <w:pPr>
              <w:spacing w:after="40" w:before="40"/>
            </w:pPr>
            <w:r>
              <w:rPr>
                <w:rFonts w:ascii="Times New Roman" w:hAnsi="Times New Roman"/>
                <w:sz w:val="20"/>
              </w:rPr>
              <w:t>11</w:t>
            </w:r>
          </w:p>
        </w:tc>
        <w:tc>
          <w:tcPr>
            <w:tcW w:type="dxa" w:w="2469"/>
            <w:vAlign w:val="center"/>
          </w:tcPr>
          <w:p>
            <w:pPr>
              <w:spacing w:after="40" w:before="40"/>
            </w:pPr>
            <w:r>
              <w:rPr>
                <w:rFonts w:ascii="Times New Roman" w:hAnsi="Times New Roman"/>
                <w:sz w:val="20"/>
              </w:rPr>
              <w:t>Developers; cấp quyền môi trường thử nghiệm Ngày 1; chạy Integration Test khi PBI đầu tiên sẵn sàng.</w:t>
            </w:r>
          </w:p>
        </w:tc>
        <w:tc>
          <w:tcPr>
            <w:tcW w:type="dxa" w:w="2469"/>
            <w:vAlign w:val="center"/>
          </w:tcPr>
          <w:p>
            <w:pPr>
              <w:spacing w:after="40" w:before="40"/>
            </w:pPr>
            <w:r>
              <w:rPr>
                <w:rFonts w:ascii="Times New Roman" w:hAnsi="Times New Roman"/>
                <w:sz w:val="20"/>
              </w:rPr>
              <w:t>Integration Test đầu tiên Ngày 8.</w:t>
            </w:r>
          </w:p>
        </w:tc>
        <w:tc>
          <w:tcPr>
            <w:tcW w:type="dxa" w:w="2469"/>
            <w:vAlign w:val="center"/>
          </w:tcPr>
          <w:p>
            <w:pPr>
              <w:spacing w:after="40" w:before="40"/>
            </w:pPr>
            <w:r>
              <w:rPr>
                <w:rFonts w:ascii="Times New Roman" w:hAnsi="Times New Roman"/>
                <w:sz w:val="20"/>
              </w:rPr>
              <w:t>Mở; chưa đạt mục tiêu chạy sớm.</w:t>
            </w:r>
          </w:p>
        </w:tc>
      </w:tr>
      <w:tr>
        <w:tc>
          <w:tcPr>
            <w:tcW w:type="dxa" w:w="2469"/>
            <w:vAlign w:val="center"/>
          </w:tcPr>
          <w:p>
            <w:pPr>
              <w:spacing w:after="40" w:before="40"/>
            </w:pPr>
            <w:r>
              <w:rPr>
                <w:rFonts w:ascii="Times New Roman" w:hAnsi="Times New Roman"/>
                <w:sz w:val="20"/>
              </w:rPr>
              <w:t>12</w:t>
            </w:r>
          </w:p>
        </w:tc>
        <w:tc>
          <w:tcPr>
            <w:tcW w:type="dxa" w:w="2469"/>
            <w:vAlign w:val="center"/>
          </w:tcPr>
          <w:p>
            <w:pPr>
              <w:spacing w:after="40" w:before="40"/>
            </w:pPr>
            <w:r>
              <w:rPr>
                <w:rFonts w:ascii="Times New Roman" w:hAnsi="Times New Roman"/>
                <w:sz w:val="20"/>
              </w:rPr>
              <w:t>Giữ cùng IM, kiểm tra lại nguyên nhân chậm.</w:t>
            </w:r>
          </w:p>
        </w:tc>
        <w:tc>
          <w:tcPr>
            <w:tcW w:type="dxa" w:w="2469"/>
            <w:vAlign w:val="center"/>
          </w:tcPr>
          <w:p>
            <w:pPr>
              <w:spacing w:after="40" w:before="40"/>
            </w:pPr>
            <w:r>
              <w:rPr>
                <w:rFonts w:ascii="Times New Roman" w:hAnsi="Times New Roman"/>
                <w:sz w:val="20"/>
              </w:rPr>
              <w:t>Integration Test đầu tiên Ngày 7.</w:t>
            </w:r>
          </w:p>
        </w:tc>
        <w:tc>
          <w:tcPr>
            <w:tcW w:type="dxa" w:w="2469"/>
            <w:vAlign w:val="center"/>
          </w:tcPr>
          <w:p>
            <w:pPr>
              <w:spacing w:after="40" w:before="40"/>
            </w:pPr>
            <w:r>
              <w:rPr>
                <w:rFonts w:ascii="Times New Roman" w:hAnsi="Times New Roman"/>
                <w:sz w:val="20"/>
              </w:rPr>
              <w:t>Mở; có cải thiện 1 ngày nhưng chưa chứng minh xử lý được nguyên nhân.</w:t>
            </w:r>
          </w:p>
        </w:tc>
      </w:tr>
      <w:tr>
        <w:tc>
          <w:tcPr>
            <w:tcW w:type="dxa" w:w="2469"/>
            <w:vAlign w:val="center"/>
          </w:tcPr>
          <w:p>
            <w:pPr>
              <w:spacing w:after="40" w:before="40"/>
            </w:pPr>
            <w:r>
              <w:rPr>
                <w:rFonts w:ascii="Times New Roman" w:hAnsi="Times New Roman"/>
                <w:sz w:val="20"/>
              </w:rPr>
              <w:t>13</w:t>
            </w:r>
          </w:p>
        </w:tc>
        <w:tc>
          <w:tcPr>
            <w:tcW w:type="dxa" w:w="2469"/>
            <w:vAlign w:val="center"/>
          </w:tcPr>
          <w:p>
            <w:pPr>
              <w:spacing w:after="40" w:before="40"/>
            </w:pPr>
            <w:r>
              <w:rPr>
                <w:rFonts w:ascii="Times New Roman" w:hAnsi="Times New Roman"/>
                <w:sz w:val="20"/>
              </w:rPr>
              <w:t>Tiếp tục kiểm tra tính ổn định, đối chiếu với thời điểm PBI đầu tiên sẵn sàng.</w:t>
            </w:r>
          </w:p>
        </w:tc>
        <w:tc>
          <w:tcPr>
            <w:tcW w:type="dxa" w:w="2469"/>
            <w:vAlign w:val="center"/>
          </w:tcPr>
          <w:p>
            <w:pPr>
              <w:spacing w:after="40" w:before="40"/>
            </w:pPr>
            <w:r>
              <w:rPr>
                <w:rFonts w:ascii="Times New Roman" w:hAnsi="Times New Roman"/>
                <w:sz w:val="20"/>
              </w:rPr>
              <w:t>Integration Test đầu tiên Ngày 8.</w:t>
            </w:r>
          </w:p>
        </w:tc>
        <w:tc>
          <w:tcPr>
            <w:tcW w:type="dxa" w:w="2469"/>
            <w:vAlign w:val="center"/>
          </w:tcPr>
          <w:p>
            <w:pPr>
              <w:spacing w:after="40" w:before="40"/>
            </w:pPr>
            <w:r>
              <w:rPr>
                <w:rFonts w:ascii="Times New Roman" w:hAnsi="Times New Roman"/>
                <w:sz w:val="20"/>
              </w:rPr>
              <w:t>Mở; kết quả không bền vững, cần chỉnh biện pháp.</w:t>
            </w:r>
          </w:p>
        </w:tc>
      </w:tr>
    </w:tbl>
    <w:p>
      <w:r>
        <w:rPr>
          <w:b w:val="0"/>
        </w:rPr>
        <w:t>Đề xuất cho Sprint 14: Developers ghi ngày được cấp quyền, ngày PBI đầu tiên đủ điều kiện và ngày chạy test đầu tiên; Scrum Team kiểm tra nguyên nhân, ví dụ thiếu quyền hay PBI chưa sẵn sàng. Không kết luận “không đạt” riêng tiêu chí chạy ngay khi PBI sẵn sàng nếu chưa có ngày PBI sẵn sàng.</w:t>
      </w:r>
    </w:p>
    <w:p>
      <w:pPr>
        <w:pStyle w:val="Heading1"/>
      </w:pPr>
      <w:r>
        <w:t>PHẦN 3. QUY TẮC XỬ LÝ TÌNH HUỐNG</w:t>
      </w:r>
    </w:p>
    <w:p>
      <w:pPr>
        <w:pStyle w:val="Heading2"/>
      </w:pPr>
      <w:r>
        <w:t>3.1. Hai góp ý có hướng ưu tiên khác nhau</w:t>
      </w:r>
    </w:p>
    <w:p>
      <w:r>
        <w:rPr>
          <w:b w:val="0"/>
        </w:rPr>
        <w:t>F-12-11 muốn tự động hóa 90%, còn F-11-04/F-13-05 muốn chuyển người sớm. PO không chọn theo người nói hay lấy trung bình; phải làm rõ phạm vi, chỉ số, độ tin cậy, tỷ lệ chuyển người, tỷ lệ trả lời sai và rủi ro CSKH. Developers đánh giá phương án (chẳng hạn chuyển người theo ngưỡng và theo loại câu hỏi); PO quyết định thứ tự cân nhắc Backlog. 90% là mong muốn, không phải mục tiêu đã cam kết.</w:t>
      </w:r>
    </w:p>
    <w:p>
      <w:pPr>
        <w:pStyle w:val="Heading2"/>
      </w:pPr>
      <w:r>
        <w:t>3.2. Góp ý lặp lại và liên kết PBI chưa chắc chắn</w:t>
      </w:r>
    </w:p>
    <w:p>
      <w:r>
        <w:rPr>
          <w:b w:val="0"/>
        </w:rPr>
        <w:t>F-11-04 và F-13-05: giữ hai mã và nguyên văn, gắn nhãn “cùng chủ đề chuyển người khi AI không chắc chắn”; chọn một chủ đề để làm rõ nhưng vẫn truy vết được nguồn. F-12-07 có “PBI-52?”: chỉ đánh dấu “liên kết cần xác minh”; PO đối chiếu nội dung/phạm vi PBI-52 trước khi xác nhận, không bỏ dấu hỏi bằng cách tự suy đoán. Vì liên quan chính sách chưa chốt, chưa coi yêu cầu trả lời đồ điện tử là đã sẵn sàng triển khai.</w:t>
      </w:r>
    </w:p>
    <w:p>
      <w:pPr>
        <w:pStyle w:val="Heading2"/>
      </w:pPr>
      <w:r>
        <w:t>3.3. Không làm đẹp báo cáo bằng trạng thái sai</w:t>
      </w:r>
    </w:p>
    <w:p>
      <w:r>
        <w:rPr>
          <w:b w:val="0"/>
        </w:rPr>
        <w:t>PO có thể báo cáo mọi ý kiến là “đã ghi nhận”, nhưng không đồng nghĩa “đã hỏi rõ/đã xem xét Backlog”. Không đóng IM chỉ vì đã qua một Sprint; đóng hay dừng phải có bằng chứng, lý do và thống nhất Scrum Team.</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DDEAF3"/>
          </w:tcPr>
          <w:p>
            <w:pPr>
              <w:spacing w:after="40" w:before="40"/>
            </w:pPr>
            <w:r>
              <w:rPr>
                <w:rFonts w:ascii="Times New Roman" w:hAnsi="Times New Roman"/>
                <w:b/>
                <w:sz w:val="20"/>
              </w:rPr>
              <w:t>Improvement</w:t>
            </w:r>
          </w:p>
        </w:tc>
        <w:tc>
          <w:tcPr>
            <w:tcW w:type="dxa" w:w="3293"/>
            <w:vAlign w:val="center"/>
            <w:shd w:fill="DDEAF3"/>
          </w:tcPr>
          <w:p>
            <w:pPr>
              <w:spacing w:after="40" w:before="40"/>
            </w:pPr>
            <w:r>
              <w:rPr>
                <w:rFonts w:ascii="Times New Roman" w:hAnsi="Times New Roman"/>
                <w:b/>
                <w:sz w:val="20"/>
              </w:rPr>
              <w:t>Quyết định đề xuất</w:t>
            </w:r>
          </w:p>
        </w:tc>
        <w:tc>
          <w:tcPr>
            <w:tcW w:type="dxa" w:w="3293"/>
            <w:vAlign w:val="center"/>
            <w:shd w:fill="DDEAF3"/>
          </w:tcPr>
          <w:p>
            <w:pPr>
              <w:spacing w:after="40" w:before="40"/>
            </w:pPr>
            <w:r>
              <w:rPr>
                <w:rFonts w:ascii="Times New Roman" w:hAnsi="Times New Roman"/>
                <w:b/>
                <w:sz w:val="20"/>
              </w:rPr>
              <w:t>Lý do / điều kiện</w:t>
            </w:r>
          </w:p>
        </w:tc>
      </w:tr>
      <w:tr>
        <w:tc>
          <w:tcPr>
            <w:tcW w:type="dxa" w:w="3293"/>
            <w:vAlign w:val="center"/>
          </w:tcPr>
          <w:p>
            <w:pPr>
              <w:spacing w:after="40" w:before="40"/>
            </w:pPr>
            <w:r>
              <w:rPr>
                <w:rFonts w:ascii="Times New Roman" w:hAnsi="Times New Roman"/>
                <w:sz w:val="20"/>
              </w:rPr>
              <w:t>IM-11-02</w:t>
            </w:r>
          </w:p>
        </w:tc>
        <w:tc>
          <w:tcPr>
            <w:tcW w:type="dxa" w:w="3293"/>
            <w:vAlign w:val="center"/>
          </w:tcPr>
          <w:p>
            <w:pPr>
              <w:spacing w:after="40" w:before="40"/>
            </w:pPr>
            <w:r>
              <w:rPr>
                <w:rFonts w:ascii="Times New Roman" w:hAnsi="Times New Roman"/>
                <w:sz w:val="20"/>
              </w:rPr>
              <w:t>Giữ mở, điều chỉnh cách đo</w:t>
            </w:r>
          </w:p>
        </w:tc>
        <w:tc>
          <w:tcPr>
            <w:tcW w:type="dxa" w:w="3293"/>
            <w:vAlign w:val="center"/>
          </w:tcPr>
          <w:p>
            <w:pPr>
              <w:spacing w:after="40" w:before="40"/>
            </w:pPr>
            <w:r>
              <w:rPr>
                <w:rFonts w:ascii="Times New Roman" w:hAnsi="Times New Roman"/>
                <w:sz w:val="20"/>
              </w:rPr>
              <w:t>Test bắt đầu Ngày 8 → 7 → 8; chưa ổn định. Thu thập thêm mốc PBI sẵn sàng và ngày cấp quyền.</w:t>
            </w:r>
          </w:p>
        </w:tc>
      </w:tr>
      <w:tr>
        <w:tc>
          <w:tcPr>
            <w:tcW w:type="dxa" w:w="3293"/>
            <w:vAlign w:val="center"/>
          </w:tcPr>
          <w:p>
            <w:pPr>
              <w:spacing w:after="40" w:before="40"/>
            </w:pPr>
            <w:r>
              <w:rPr>
                <w:rFonts w:ascii="Times New Roman" w:hAnsi="Times New Roman"/>
                <w:sz w:val="20"/>
              </w:rPr>
              <w:t>IM-12-04</w:t>
            </w:r>
          </w:p>
        </w:tc>
        <w:tc>
          <w:tcPr>
            <w:tcW w:type="dxa" w:w="3293"/>
            <w:vAlign w:val="center"/>
          </w:tcPr>
          <w:p>
            <w:pPr>
              <w:spacing w:after="40" w:before="40"/>
            </w:pPr>
            <w:r>
              <w:rPr>
                <w:rFonts w:ascii="Times New Roman" w:hAnsi="Times New Roman"/>
                <w:sz w:val="20"/>
              </w:rPr>
              <w:t>Đề nghị Scrum Team dừng, ghi lý do</w:t>
            </w:r>
          </w:p>
        </w:tc>
        <w:tc>
          <w:tcPr>
            <w:tcW w:type="dxa" w:w="3293"/>
            <w:vAlign w:val="center"/>
          </w:tcPr>
          <w:p>
            <w:pPr>
              <w:spacing w:after="40" w:before="40"/>
            </w:pPr>
            <w:r>
              <w:rPr>
                <w:rFonts w:ascii="Times New Roman" w:hAnsi="Times New Roman"/>
                <w:sz w:val="20"/>
              </w:rPr>
              <w:t>Kênh đã ngừng thí điểm nên không còn giá trị theo dõi; giữ lịch sử thay vì xóa.</w:t>
            </w:r>
          </w:p>
        </w:tc>
      </w:tr>
      <w:tr>
        <w:tc>
          <w:tcPr>
            <w:tcW w:type="dxa" w:w="3293"/>
            <w:vAlign w:val="center"/>
          </w:tcPr>
          <w:p>
            <w:pPr>
              <w:spacing w:after="40" w:before="40"/>
            </w:pPr>
            <w:r>
              <w:rPr>
                <w:rFonts w:ascii="Times New Roman" w:hAnsi="Times New Roman"/>
                <w:sz w:val="20"/>
              </w:rPr>
              <w:t>IM-13-03</w:t>
            </w:r>
          </w:p>
        </w:tc>
        <w:tc>
          <w:tcPr>
            <w:tcW w:type="dxa" w:w="3293"/>
            <w:vAlign w:val="center"/>
          </w:tcPr>
          <w:p>
            <w:pPr>
              <w:spacing w:after="40" w:before="40"/>
            </w:pPr>
            <w:r>
              <w:rPr>
                <w:rFonts w:ascii="Times New Roman" w:hAnsi="Times New Roman"/>
                <w:sz w:val="20"/>
              </w:rPr>
              <w:t>Tiếp tục theo dõi thêm Sprint 14</w:t>
            </w:r>
          </w:p>
        </w:tc>
        <w:tc>
          <w:tcPr>
            <w:tcW w:type="dxa" w:w="3293"/>
            <w:vAlign w:val="center"/>
          </w:tcPr>
          <w:p>
            <w:pPr>
              <w:spacing w:after="40" w:before="40"/>
            </w:pPr>
            <w:r>
              <w:rPr>
                <w:rFonts w:ascii="Times New Roman" w:hAnsi="Times New Roman"/>
                <w:sz w:val="20"/>
              </w:rPr>
              <w:t>Có hai phiên Pairing và thời gian tái hiện giảm, nhưng mới kiểm tra một lần; cần xác nhận kết quả lặp lại.</w:t>
            </w:r>
          </w:p>
        </w:tc>
      </w:tr>
    </w:tbl>
    <w:p>
      <w:pPr>
        <w:pStyle w:val="Heading2"/>
      </w:pPr>
      <w:r>
        <w:t>3.4. Một tiêu chí thành công đo được sau 3 Sprint tới</w:t>
      </w:r>
    </w:p>
    <w:p>
      <w:r>
        <w:rPr>
          <w:b w:val="0"/>
        </w:rPr>
        <w:t>Đến cuối Sprint 16, ít nhất 80% Feedback phát sinh trong Sprint 14–16 có kết luận xử lý được ghi trong vòng tối đa một Sprint sau khi nhận: “đã làm rõ và PO đã xem xét Backlog” (kèm PBI/quyết định) hoặc “chưa thể xem xét” (kèm câu hỏi còn thiếu, người phụ trách và hạn kiểm tra lại).</w:t>
      </w:r>
    </w:p>
    <w:p>
      <w:r>
        <w:rPr>
          <w:b w:val="0"/>
        </w:rPr>
        <w:t>Cách đo: số Feedback đáp ứng tiêu chí / tổng Feedback phát sinh Sprint 14–16 × 100%. Chỉ tính khi có ngày cập nhật và căn cứ, không tính chỉ vì gắn nhãn “đã tiếp nhận”. Đây là thước đo việc góp ý chuyển thành quyết định có thể truy vết, không phải số lượng cuộc họp.</w:t>
      </w:r>
    </w:p>
    <w:p>
      <w:pPr>
        <w:pStyle w:val="Heading1"/>
      </w:pPr>
      <w:r>
        <w:t>KẾT LUẬN</w:t>
      </w:r>
    </w:p>
    <w:p>
      <w:r>
        <w:rPr>
          <w:b w:val="0"/>
        </w:rPr>
        <w:t>Giải pháp dùng hai luồng riêng nhưng chung nguyên tắc: giữ nguyên ý kiến gốc, ghi quyết định kèm người phụ trách và bằng chứng, kiểm tra lại vào Sprint sau. Feedback không tự biến thành cam kết sản phẩm; Improvement không trở thành KPI cá nhân và có thể dừng minh bạch khi hết phù hợp.</w:t>
      </w:r>
    </w:p>
    <w:sectPr w:rsidR="00FC693F" w:rsidRPr="0006063C" w:rsidSect="00034616">
      <w:footerReference w:type="default" r:id="rId9"/>
      <w:pgSz w:w="12240" w:h="15840"/>
      <w:pgMar w:top="1080"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RikkeiAssist • Bài tập Scrum – Theo dõi Feedback &amp; Improvement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4385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4385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43855"/>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