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0" w:lineRule="auto"/>
        <w:rPr>
          <w:color w:val="000000"/>
          <w:sz w:val="26"/>
          <w:szCs w:val="26"/>
        </w:rPr>
      </w:pPr>
      <w:bookmarkStart w:colFirst="0" w:colLast="0" w:name="_mvqhtbv0mnmf" w:id="0"/>
      <w:bookmarkEnd w:id="0"/>
      <w:r w:rsidDel="00000000" w:rsidR="00000000" w:rsidRPr="00000000">
        <w:rPr>
          <w:color w:val="000000"/>
          <w:sz w:val="26"/>
          <w:szCs w:val="26"/>
          <w:rtl w:val="0"/>
        </w:rPr>
        <w:t xml:space="preserve">Phần 1: Bảng so sánh (</w:t>
      </w:r>
      <w:r w:rsidDel="00000000" w:rsidR="00000000" w:rsidRPr="00000000">
        <w:rPr>
          <w:color w:val="188038"/>
          <w:sz w:val="26"/>
          <w:szCs w:val="26"/>
          <w:rtl w:val="0"/>
        </w:rPr>
        <w:t xml:space="preserve">&gt;</w:t>
      </w:r>
      <w:r w:rsidDel="00000000" w:rsidR="00000000" w:rsidRPr="00000000">
        <w:rPr>
          <w:color w:val="000000"/>
          <w:sz w:val="26"/>
          <w:szCs w:val="26"/>
          <w:rtl w:val="0"/>
        </w:rPr>
        <w:t xml:space="preserve"> vs </w:t>
      </w:r>
      <w:r w:rsidDel="00000000" w:rsidR="00000000" w:rsidRPr="00000000">
        <w:rPr>
          <w:color w:val="188038"/>
          <w:sz w:val="26"/>
          <w:szCs w:val="26"/>
          <w:rtl w:val="0"/>
        </w:rPr>
        <w:t xml:space="preserve">&gt;&gt;</w:t>
      </w:r>
      <w:r w:rsidDel="00000000" w:rsidR="00000000" w:rsidRPr="00000000">
        <w:rPr>
          <w:color w:val="000000"/>
          <w:sz w:val="26"/>
          <w:szCs w:val="26"/>
          <w:rtl w:val="0"/>
        </w:rPr>
        <w:t xml:space="preserve">)</w:t>
      </w:r>
    </w:p>
    <w:tbl>
      <w:tblPr>
        <w:tblStyle w:val="Table1"/>
        <w:tblW w:w="8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0"/>
        <w:gridCol w:w="3825"/>
        <w:gridCol w:w="3480"/>
        <w:tblGridChange w:id="0">
          <w:tblGrid>
            <w:gridCol w:w="1500"/>
            <w:gridCol w:w="3825"/>
            <w:gridCol w:w="3480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Tiêu chí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Ghi đè &gt; (Out-File)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Ghi nối tiếp &gt;&gt; (Out-File -Append)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Cơ chế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Xóa sạch dữ liệu cũ ➔ Ghi mới.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Giữ dữ liệu cũ ➔ Thêm vào cuối file.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Rủi ro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Mất sạch dữ liệu nếu gõ nhầm/chạy lại.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An toàn, bảo toàn dữ liệu lịch sử.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Ngữ cảnh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Tạo báo cáo mới hoàn toàn từ đầu.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Theo dõi lỗi 24/7, ghi log liên tục.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Encoding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UTF-16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UTF-16</w:t>
            </w:r>
          </w:p>
        </w:tc>
      </w:tr>
    </w:tbl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0" w:lineRule="auto"/>
        <w:rPr>
          <w:color w:val="000000"/>
          <w:sz w:val="26"/>
          <w:szCs w:val="26"/>
        </w:rPr>
      </w:pPr>
      <w:bookmarkStart w:colFirst="0" w:colLast="0" w:name="_qmrn1lvosyt4" w:id="1"/>
      <w:bookmarkEnd w:id="1"/>
      <w:r w:rsidDel="00000000" w:rsidR="00000000" w:rsidRPr="00000000">
        <w:rPr>
          <w:color w:val="000000"/>
          <w:sz w:val="26"/>
          <w:szCs w:val="26"/>
          <w:rtl w:val="0"/>
        </w:rPr>
        <w:t xml:space="preserve">Phần 2: Giải pháp tối ưu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Chốt lựa chọn: Sử dụng ghi nối tiếp để bảo toàn dữ liệu tích lũy của 30 ngày.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Câu lệnh đề xuất (Bền vững nhất): Dùng </w:t>
      </w:r>
      <w:r w:rsidDel="00000000" w:rsidR="00000000" w:rsidRPr="00000000">
        <w:rPr>
          <w:color w:val="188038"/>
          <w:rtl w:val="0"/>
        </w:rPr>
        <w:t xml:space="preserve">Add-Content</w:t>
      </w:r>
      <w:r w:rsidDel="00000000" w:rsidR="00000000" w:rsidRPr="00000000">
        <w:rPr>
          <w:rtl w:val="0"/>
        </w:rPr>
        <w:t xml:space="preserve"> để vừa ghi nối tiếp, vừa chuẩn hóa encoding UTF-8 (tránh lỗi font chữ):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PowerShell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Get-Content server.log | Select-String "ERROR" | Add-Content -Path "daily_report.txt" -Encoding utf8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