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</w:pPr>
      <w:r>
        <w:rPr>
          <w:rtl w:val="0"/>
          <w:lang w:val="es-ES_tradnl"/>
        </w:rPr>
        <w:t>Corey Neuman</w:t>
      </w: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736600</wp:posOffset>
                </wp:positionH>
                <wp:positionV relativeFrom="line">
                  <wp:posOffset>434538</wp:posOffset>
                </wp:positionV>
                <wp:extent cx="6311902" cy="2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311902" cy="2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rgbClr val="81ADB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58.0pt;margin-top:34.2pt;width:497.0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81ADBB" opacity="100.0%" weight="3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</w:p>
    <w:p>
      <w:pPr>
        <w:pStyle w:val="Body A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704850</wp:posOffset>
                </wp:positionH>
                <wp:positionV relativeFrom="line">
                  <wp:posOffset>429944</wp:posOffset>
                </wp:positionV>
                <wp:extent cx="1546353" cy="2032000"/>
                <wp:effectExtent l="0" t="0" r="0" b="0"/>
                <wp:wrapNone/>
                <wp:docPr id="1073741826" name="officeArt object" descr="414-458-0658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353" cy="2032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rPr>
                                <w:rStyle w:val="Non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"tel:414-458-0658"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cs="Arial Unicode MS" w:eastAsia="Arial Unicode MS"/>
                                <w:rtl w:val="0"/>
                                <w:lang w:val="en-US"/>
                              </w:rPr>
                              <w:t>414-458-0658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Style w:val="Hyperlink.0"/>
                                <w:rFonts w:cs="Arial Unicode MS" w:eastAsia="Arial Unicode MS"/>
                                <w:rtl w:val="0"/>
                                <w:lang w:val="en-US"/>
                              </w:rPr>
                              <w:t>Corey.m.neuman@gmail.com</w:t>
                            </w:r>
                          </w:p>
                          <w:p>
                            <w:pPr>
                              <w:pStyle w:val="Contact Information"/>
                            </w:pP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None"/>
                                <w:rFonts w:cs="Arial Unicode MS" w:eastAsia="Arial Unicode MS"/>
                                <w:sz w:val="16"/>
                                <w:szCs w:val="16"/>
                                <w:rtl w:val="0"/>
                                <w:lang w:val="en-US"/>
                              </w:rPr>
                              <w:t>Waukesha, WI 53188</w:t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"https://www.linkedin.com/in/corey-neuman-3690a9143/"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cs="Arial Unicode MS" w:eastAsia="Arial Unicode MS"/>
                                <w:rtl w:val="0"/>
                                <w:lang w:val="en-US"/>
                              </w:rPr>
                              <w:t>Linkedin Profile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</w:pPr>
                          </w:p>
                          <w:p>
                            <w:pPr>
                              <w:pStyle w:val="Contact Information"/>
                            </w:pPr>
                            <w:r>
                              <w:rPr>
                                <w:rStyle w:val="None"/>
                                <w:outline w:val="0"/>
                                <w:color w:val="000000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1444625" cy="38101"/>
                                  <wp:effectExtent l="0" t="0" r="0" b="0"/>
                                  <wp:docPr id="1073741827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7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625" cy="38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5.5pt;margin-top:33.9pt;width:121.8pt;height:160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rPr>
                          <w:rStyle w:val="None"/>
                          <w:sz w:val="16"/>
                          <w:szCs w:val="16"/>
                        </w:rPr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"tel:414-458-0658"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cs="Arial Unicode MS" w:eastAsia="Arial Unicode MS"/>
                          <w:rtl w:val="0"/>
                          <w:lang w:val="en-US"/>
                        </w:rPr>
                        <w:t>414-458-0658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rPr>
                          <w:rStyle w:val="None"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Style w:val="Hyperlink.0"/>
                          <w:rFonts w:cs="Arial Unicode MS" w:eastAsia="Arial Unicode MS"/>
                          <w:rtl w:val="0"/>
                          <w:lang w:val="en-US"/>
                        </w:rPr>
                        <w:t>Corey.m.neuman@gmail.com</w:t>
                      </w:r>
                    </w:p>
                    <w:p>
                      <w:pPr>
                        <w:pStyle w:val="Contact Information"/>
                      </w:pPr>
                    </w:p>
                    <w:p>
                      <w:pPr>
                        <w:pStyle w:val="Contact Information"/>
                        <w:rPr>
                          <w:rStyle w:val="None"/>
                          <w:sz w:val="16"/>
                          <w:szCs w:val="16"/>
                        </w:rPr>
                      </w:pPr>
                      <w:r>
                        <w:rPr>
                          <w:rStyle w:val="None"/>
                          <w:rFonts w:cs="Arial Unicode MS" w:eastAsia="Arial Unicode MS"/>
                          <w:sz w:val="16"/>
                          <w:szCs w:val="16"/>
                          <w:rtl w:val="0"/>
                          <w:lang w:val="en-US"/>
                        </w:rPr>
                        <w:t>Waukesha, WI 53188</w:t>
                      </w:r>
                    </w:p>
                    <w:p>
                      <w:pPr>
                        <w:pStyle w:val="Contact Information"/>
                        <w:rPr>
                          <w:rStyle w:val="None"/>
                          <w:sz w:val="16"/>
                          <w:szCs w:val="16"/>
                        </w:rPr>
                      </w:pPr>
                    </w:p>
                    <w:p>
                      <w:pPr>
                        <w:pStyle w:val="Contact Information"/>
                        <w:rPr>
                          <w:rStyle w:val="None"/>
                          <w:sz w:val="16"/>
                          <w:szCs w:val="16"/>
                        </w:rPr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"https://www.linkedin.com/in/corey-neuman-3690a9143/"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cs="Arial Unicode MS" w:eastAsia="Arial Unicode MS"/>
                          <w:rtl w:val="0"/>
                          <w:lang w:val="en-US"/>
                        </w:rPr>
                        <w:t>Linkedin Profile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</w:pPr>
                    </w:p>
                    <w:p>
                      <w:pPr>
                        <w:pStyle w:val="Contact Information"/>
                      </w:pPr>
                      <w:r>
                        <w:rPr>
                          <w:rStyle w:val="None"/>
                          <w:outline w:val="0"/>
                          <w:color w:val="000000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drawing xmlns:a="http://schemas.openxmlformats.org/drawingml/2006/main">
                          <wp:inline distT="0" distB="0" distL="0" distR="0">
                            <wp:extent cx="1444625" cy="38101"/>
                            <wp:effectExtent l="0" t="0" r="0" b="0"/>
                            <wp:docPr id="1073741827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7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4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625" cy="38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Body A"/>
      </w:pPr>
    </w:p>
    <w:p>
      <w:pPr>
        <w:pStyle w:val="Heading"/>
        <w:spacing w:line="240" w:lineRule="auto"/>
      </w:pPr>
      <w:r>
        <w:rPr>
          <w:rStyle w:val="None"/>
          <w:rtl w:val="0"/>
          <w:lang w:val="en-US"/>
        </w:rPr>
        <w:t>Professional Statement</w:t>
      </w:r>
    </w:p>
    <w:p>
      <w:pPr>
        <w:pStyle w:val="Body A"/>
        <w:spacing w:line="240" w:lineRule="auto"/>
        <w:rPr>
          <w:rStyle w:val="None"/>
          <w:outline w:val="0"/>
          <w:color w:val="414042"/>
          <w:u w:color="414042"/>
          <w14:textFill>
            <w14:solidFill>
              <w14:srgbClr w14:val="414042"/>
            </w14:solidFill>
          </w14:textFill>
        </w:rPr>
      </w:pPr>
      <w:r>
        <w:rPr>
          <w:rStyle w:val="None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Certified Project Manager (PMP) with 20+ years of experience leading cross-functional teams and managing projects across gaming, web development, healthcare, and software industries. Proficient in Asana with 7 years of expertise in staff training, system configuration, and workflow optimization. Skilled in leveraging the Microsoft stack, including 9 years of experience with SQL Servers, Power BI, and Azure databases, to deliver data-driven solutions. Experienced Scrum Master with a strong background in Agile methodologies and stakeholder engagement. Rooted in education with community leadership experience, I bring a collaborative, strategic approach to achieving organizational objectives.</w:t>
      </w:r>
    </w:p>
    <w:p>
      <w:pPr>
        <w:pStyle w:val="Body A"/>
        <w:spacing w:line="240" w:lineRule="auto"/>
        <w:rPr>
          <w:rStyle w:val="None"/>
          <w:outline w:val="0"/>
          <w:color w:val="414042"/>
          <w:u w:color="414042"/>
          <w14:textFill>
            <w14:solidFill>
              <w14:srgbClr w14:val="414042"/>
            </w14:solidFill>
          </w14:textFill>
        </w:rPr>
      </w:pPr>
      <w:r>
        <w:rPr>
          <w:rStyle w:val="None"/>
          <w:outline w:val="0"/>
          <w:color w:val="414042"/>
          <w:u w:color="414042"/>
          <w:rtl w:val="0"/>
          <w:lang w:val="es-ES_tradnl"/>
          <w14:textFill>
            <w14:solidFill>
              <w14:srgbClr w14:val="414042"/>
            </w14:solidFill>
          </w14:textFill>
        </w:rPr>
        <w:t>KEY PROJECTS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Medicare/Medicaid (CMS) Open-Enrollment Portals: Delivered an intuitive and compliant user portal, improving accessibility for millions of users.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WI </w:t>
      </w:r>
      <w:r>
        <w:rPr>
          <w:rStyle w:val="None"/>
          <w:outline w:val="0"/>
          <w:color w:val="414042"/>
          <w:u w:color="414042"/>
          <w:rtl w:val="0"/>
          <w14:textFill>
            <w14:solidFill>
              <w14:srgbClr w14:val="414042"/>
            </w14:solidFill>
          </w14:textFill>
        </w:rPr>
        <w:t>D</w:t>
      </w:r>
      <w:r>
        <w:rPr>
          <w:rStyle w:val="None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ept. of Health and Human Services EHR Implementation: Led county-level EHR integrations, ensuring seamless adoption and enhanced telehealth capabilities.</w:t>
      </w:r>
    </w:p>
    <w:p>
      <w:pPr>
        <w:pStyle w:val="Body A"/>
        <w:numPr>
          <w:ilvl w:val="0"/>
          <w:numId w:val="2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ADP WorkMarket Platform Upgrade: Managed a critical redesign, driving operational efficiency and increasing platform usage by 40%.</w:t>
      </w:r>
    </w:p>
    <w:p>
      <w:pPr>
        <w:pStyle w:val="Heading"/>
        <w:rPr>
          <w:rStyle w:val="None"/>
          <w:outline w:val="0"/>
          <w:color w:val="414042"/>
          <w:u w:color="414042"/>
          <w14:textFill>
            <w14:solidFill>
              <w14:srgbClr w14:val="414042"/>
            </w14:solidFill>
          </w14:textFill>
        </w:rPr>
      </w:pPr>
    </w:p>
    <w:p>
      <w:pPr>
        <w:pStyle w:val="Heading"/>
        <w:rPr>
          <w:rStyle w:val="None"/>
          <w:outline w:val="0"/>
          <w:color w:val="4a7c9e"/>
          <w:u w:color="4a7c9e"/>
          <w14:textFill>
            <w14:solidFill>
              <w14:srgbClr w14:val="4A7C9E"/>
            </w14:solidFill>
          </w14:textFill>
        </w:rPr>
      </w:pPr>
      <w:r>
        <w:rPr>
          <w:rStyle w:val="None"/>
          <w:outline w:val="0"/>
          <w:color w:val="4a7c9e"/>
          <w:u w:color="414042"/>
          <w:rtl w:val="0"/>
          <w:lang w:val="en-US"/>
          <w14:textFill>
            <w14:solidFill>
              <w14:srgbClr w14:val="4A7C9E"/>
            </w14:solidFill>
          </w14:textFill>
        </w:rPr>
        <w:t>Experience</w:t>
      </w:r>
    </w:p>
    <w:p>
      <w:pPr>
        <w:pStyle w:val="Subheading"/>
        <w:spacing w:line="240" w:lineRule="auto"/>
        <w:rPr>
          <w:rStyle w:val="None"/>
          <w:outline w:val="0"/>
          <w:color w:val="4a7c9e"/>
          <w:u w:color="4a7c9e"/>
          <w14:textFill>
            <w14:solidFill>
              <w14:srgbClr w14:val="4A7C9E"/>
            </w14:solidFill>
          </w14:textFill>
        </w:rPr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Freelance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Mar. 2024-Present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Project-Based Contracts </w:t>
      </w:r>
      <w:r>
        <w:rPr>
          <w:rStyle w:val="None"/>
          <w:rFonts w:ascii="Graphik" w:hAnsi="Graphik" w:hint="default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– </w:t>
      </w: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Pharma Clients (Under NDA), Direct &amp; via UpWork/Fiverr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Collaborated with global pharmaceutical brands on custom patient-facing portals for recruitment into decentralized clinical trials, focusing on HIPAA compliance, user journey simplicity, and demographic segmentation.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Designed and managed timelines for launch-critical projects, interfacing directly with client-side medical and digital teams under strict NDA protocols.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Integrated feedback from clinicians, PMs, and regulatory advisors to evolve product requirements in line with evolving trial protocols and remote patient monitoring workflows.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Provided strategic insight into stakeholder communication, timeline risk mitigation, and post-launch optimization strategies across varying clinical verticals.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Director of Production, Raftur Games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June 2024-May 2025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Established Project Management Office (PMO) standards, streamlining processes and improving project delivery timelines by 20%.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Directed live operations and in-game economic innovations, boosting player engagement and monetization metrics.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Spearheaded client relationship management, driving funding initiatives and enhancing user experience (UX) for key projects.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Delivered training tutorials and voice-over assets, ensuring quality and alignment with creative objectives.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Managed data within Azure platform for client adherence and development repos.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Digital Project Manager, iMedia Inc.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Feb. 2022-Mar. 2024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Led web development projects for high-profile clients using platforms like Contentful, Kentico, Crownpeak, and Tessitura, achieving a 25% improvement in site performance metrics.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Led web development projects for healthcare clients, optimizing workflows and resource utilization for large-scale platforms</w:t>
      </w: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 (Power BI implementation both client side and internally).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Collaborated with stakeholders to assess system efficiencies, improve scheduling methodologies, and align software tools with operational needs.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Conducted process evaluations that informed system-wide implementations, balancing cost-effectiveness and workforce efficiency.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Delivered redesigns and eCommerce optimizations that increased client revenue by an average of 15%.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Managed migration and maintenance projects, ensuring seamless execution while focusing on user experience (UX) excellence.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Collaborated with multidisciplinary teams to deliver projects valued at over $1.5M annually.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Clinical Trial-specific PM Key Contributions: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Oversaw the full lifecycle of web platform builds for clients in pharmaceutical and healthcare sectors, including patient engagement and clinical trial enrollment portals.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Acted as a liaison between pharma clients, internal dev teams, and legal/regulatory stakeholders to align technical deliverables with trial needs and IRB-compliant standards.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Led cross-functional sprint planning and delivery for multi-region trial websites supporting demographic collection, eligibility screening, and patient onboarding.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Navigated vendor and budgetary oversight for time-sensitive launches involving compliance-sensitive materials and multi-stakeholder approvals.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Adapted agile workflows to accommodate evolving client requirements in decentralized trial settings, balancing user experience needs with protocol accuracy.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Project Manager, The Joxel Group LLC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Jan. 2020-Feb. 2022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Successfully delivered 18 government projects within two years, focusing on EHR implementation, telehealth initiatives, and pharmaceutical record continuity during the COVID-19 pandemic.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Delivered multiple healthcare IT initiatives, ensuring seamless integration of scheduling and resource management tools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via 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focus on team/client collaboration and data lake repos.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Partnered with stakeholders to identify operational bottlenecks and develop strategic workforce planning recommendations.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Evaluated system capabilities and guided decision-making on technology adoption for process improvement.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Negotiated and managed support contracts, driving operational efficiency and ensuring compliance with regulatory standards.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Increased client satisfaction through proactive communication and effective risk management strategies.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Project Implementation, GE Healthcare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Jan. 2018-Jan. 2020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Managed the implementation of advanced radiography solutions, collaborating with cross-functional teams to ensure on-schedule and within-budget deployments.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Enhanced client satisfaction by resolving technical issues and providing tailored solutions for unique healthcare challenges.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Managed scheduling and workforce coordination for radiology equipment deployments across healthcare facilities.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Assessed scheduling policies and resource allocation models to enhance operational efficiency and service delivery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via 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focus on team/client collaboration and data lake repos.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Worked closely with technical and operational teams to ensure software solutions aligned with workforce needs.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Streamlined project workflows, reducing average implementation timelines by 15%</w:t>
      </w:r>
      <w:r>
        <w:rPr>
          <w:rStyle w:val="None"/>
          <w:rFonts w:ascii="Graphik" w:hAnsi="Graphik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(Power BI implementation).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Implementation Coordinator, Connecture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Mar. 2017-Jan. 2018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Developed and maintained HTML-based Medicare HMO websites, supporting end-users, agents, and call centers.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Authored onboarding documentation to improve contract employee productivity and reduce onboarding time by 30%.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Oversaw data migration and regression testing, ensuring seamless platform transitions</w:t>
      </w: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, utilizing Amazon S3 for analytics and performance metrics.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Program Analyst, CGHC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Mar. 2014-Apr. 2017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Analyzed and managed healthcare data, producing executive summaries to support strategic decision-making.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Utilized Amazon S3 and Azure across </w:t>
      </w: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 xml:space="preserve">the </w:t>
      </w: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span of service to store and manage ACA data lake submissions to/from Fed to Insurer.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Acted as a liaison between IT and Operations to streamline workforce scheduling, aligning resources with demand.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Contributed to policy development and master scheduling initiatives that improved efficiency across multiple departments.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Assisted in evaluating and optimizing workforce scheduling software, providing recommendations to senior leadership.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b w:val="1"/>
          <w:bCs w:val="1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Led EHR system upgrades and provided technical expertise, improving data accuracy and system performance</w:t>
      </w:r>
      <w:r>
        <w:rPr>
          <w:rStyle w:val="None"/>
          <w:rFonts w:ascii="Graphik" w:hAnsi="Graphik"/>
          <w:b w:val="1"/>
          <w:bCs w:val="1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, with a focus on Power BI implementation to track internal and external analytics.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Reduced operational errors by 20% through the development of comprehensive training materials and technical documentation.</w:t>
      </w:r>
    </w:p>
    <w:p>
      <w:pPr>
        <w:pStyle w:val="Subheading"/>
        <w:numPr>
          <w:ilvl w:val="1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Clinical Trial Mentorship (PM-focused) Key Contributions: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Partnered directly with Clinical Operations leadership on the design and support of decentralized clinical trial initiatives related to Durable Medical Equipment (DME) across member populations.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Coordinated with medical teams and external vendors to ensure trial workflows aligned with patient accessibility needs and regulatory standards, supporting end-to-end project planning and execution for internal process mapping.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Contributed to risk tracking, change management, and meeting facilitation to support emerging pilot programs focused on virtualized care and remote trial participation.</w:t>
      </w:r>
    </w:p>
    <w:p>
      <w:pPr>
        <w:pStyle w:val="Subheading"/>
        <w:numPr>
          <w:ilvl w:val="2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Developed SOPs and internal documentation to streamline data collection and compliance during trial phases, ensuring visibility across departments.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  <w:rPr>
          <w:rStyle w:val="None"/>
        </w:rPr>
      </w:pPr>
      <w:r>
        <w:rPr>
          <w:rStyle w:val="None"/>
          <w:rtl w:val="0"/>
          <w:lang w:val="en-US"/>
        </w:rPr>
        <w:t xml:space="preserve">Lead Photographer, Self-Employed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2008-2020</w:t>
      </w:r>
    </w:p>
    <w:p>
      <w:pPr>
        <w:pStyle w:val="Subheading"/>
        <w:spacing w:line="240" w:lineRule="auto"/>
        <w:rPr>
          <w:rStyle w:val="None"/>
          <w:lang w:val="en-US"/>
        </w:rPr>
      </w:pPr>
    </w:p>
    <w:p>
      <w:pPr>
        <w:pStyle w:val="Subheading"/>
        <w:spacing w:line="240" w:lineRule="auto"/>
        <w:rPr>
          <w:rStyle w:val="None"/>
        </w:rPr>
      </w:pPr>
      <w:r>
        <w:rPr>
          <w:rStyle w:val="None"/>
          <w:rtl w:val="0"/>
          <w:lang w:val="en-US"/>
        </w:rPr>
        <w:t xml:space="preserve">Claims Adjudication/Insurance Verification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>2003-2014</w:t>
      </w: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 xml:space="preserve">Yeoman/Seaman, Recruit Division, US Navy RTC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tl w:val="0"/>
          <w:lang w:val="en-US"/>
        </w:rPr>
        <w:t xml:space="preserve">Jan 2005 </w:t>
      </w:r>
      <w:r>
        <w:rPr>
          <w:rStyle w:val="None"/>
          <w:rtl w:val="0"/>
          <w:lang w:val="en-US"/>
        </w:rPr>
        <w:t xml:space="preserve">– </w:t>
      </w:r>
      <w:r>
        <w:rPr>
          <w:rStyle w:val="None"/>
          <w:rtl w:val="0"/>
          <w:lang w:val="en-US"/>
        </w:rPr>
        <w:t>Jan 2007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cs="Graphik" w:hAnsi="Graphik" w:eastAsia="Graphik"/>
          <w:b w:val="1"/>
          <w:bCs w:val="1"/>
          <w:outline w:val="0"/>
          <w:color w:val="414042"/>
          <w:rtl w:val="0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cs="Graphik" w:hAnsi="Graphik" w:eastAsia="Graphik"/>
          <w:b w:val="1"/>
          <w:bCs w:val="1"/>
          <w:outline w:val="0"/>
          <w:color w:val="414042"/>
          <w:u w:color="414042"/>
          <w:lang w:val="en-US"/>
          <w14:textFill>
            <w14:solidFill>
              <w14:srgbClr w14:val="414042"/>
            </w14:solidFill>
          </w14:textFill>
        </w:rPr>
        <w:tab/>
      </w:r>
      <w:r>
        <w:rPr>
          <w:rStyle w:val="None"/>
          <w:rFonts w:ascii="Graphik" w:hAnsi="Graphik"/>
          <w:b w:val="0"/>
          <w:bCs w:val="0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Selected as Head Yeoman, overseeing daily administrative operations including leave requests, pass coordination, and official chit processing for a 90+ member recruit division.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Entrusted with MCPON watch duties on a nightly rotation, demonstrating attention to detail, discipline, and accountability under pressure.</w:t>
      </w:r>
    </w:p>
    <w:p>
      <w:pPr>
        <w:pStyle w:val="Subheading"/>
        <w:numPr>
          <w:ilvl w:val="0"/>
          <w:numId w:val="2"/>
        </w:numPr>
        <w:bidi w:val="0"/>
        <w:spacing w:line="240" w:lineRule="auto"/>
        <w:ind w:right="0"/>
        <w:jc w:val="left"/>
        <w:rPr>
          <w:rFonts w:ascii="Graphik" w:hAnsi="Graphik"/>
          <w:outline w:val="0"/>
          <w:color w:val="414042"/>
          <w:rtl w:val="0"/>
          <w:lang w:val="en-US"/>
          <w14:textFill>
            <w14:solidFill>
              <w14:srgbClr w14:val="414042"/>
            </w14:solidFill>
          </w14:textFill>
        </w:rPr>
      </w:pPr>
      <w:r>
        <w:rPr>
          <w:rStyle w:val="None"/>
          <w:rFonts w:ascii="Graphik" w:hAnsi="Graphik"/>
          <w:outline w:val="0"/>
          <w:color w:val="414042"/>
          <w:u w:color="414042"/>
          <w:rtl w:val="0"/>
          <w:lang w:val="en-US"/>
          <w14:textFill>
            <w14:solidFill>
              <w14:srgbClr w14:val="414042"/>
            </w14:solidFill>
          </w14:textFill>
        </w:rPr>
        <w:t>Successfully completed Delayed Entry Program (DEP) and Recruit Training with strong ASVAB scores and leadership recognition prior to medical discharge.</w:t>
      </w:r>
    </w:p>
    <w:p>
      <w:pPr>
        <w:pStyle w:val="Subheading"/>
        <w:spacing w:line="240" w:lineRule="auto"/>
        <w:ind w:left="0" w:firstLine="0"/>
        <w:rPr>
          <w:rStyle w:val="None"/>
          <w:rFonts w:ascii="Graphik" w:cs="Graphik" w:hAnsi="Graphik" w:eastAsia="Graphik"/>
          <w:b w:val="1"/>
          <w:bCs w:val="1"/>
          <w:outline w:val="0"/>
          <w:color w:val="414042"/>
          <w:u w:color="414042"/>
          <w14:textFill>
            <w14:solidFill>
              <w14:srgbClr w14:val="414042"/>
            </w14:solidFill>
          </w14:textFill>
        </w:rPr>
      </w:pPr>
    </w:p>
    <w:p>
      <w:pPr>
        <w:pStyle w:val="Subheading"/>
        <w:spacing w:line="240" w:lineRule="auto"/>
      </w:pPr>
    </w:p>
    <w:p>
      <w:pPr>
        <w:pStyle w:val="Subheading"/>
        <w:spacing w:line="240" w:lineRule="auto"/>
      </w:pPr>
      <w:r>
        <w:rPr>
          <w:rStyle w:val="None"/>
          <w:rtl w:val="0"/>
          <w:lang w:val="en-US"/>
        </w:rPr>
        <w:t>EDUCATION &amp; CERTIFICATIONS</w:t>
      </w:r>
    </w:p>
    <w:p>
      <w:pPr>
        <w:pStyle w:val="Subheading"/>
        <w:spacing w:line="240" w:lineRule="auto"/>
      </w:pP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Project Management Professional (PMP)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Certification #3152177</w:t>
      </w:r>
    </w:p>
    <w:p>
      <w:pPr>
        <w:pStyle w:val="Subheading"/>
        <w:numPr>
          <w:ilvl w:val="0"/>
          <w:numId w:val="3"/>
        </w:numPr>
        <w:spacing w:line="240" w:lineRule="auto"/>
      </w:pPr>
      <w:r>
        <w:rPr>
          <w:rStyle w:val="None"/>
          <w:rtl w:val="0"/>
        </w:rPr>
        <w:t>Google Analytics (GA4)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da-DK"/>
        </w:rPr>
      </w:pPr>
      <w:r>
        <w:rPr>
          <w:rStyle w:val="None"/>
          <w:rtl w:val="0"/>
          <w:lang w:val="da-DK"/>
        </w:rPr>
        <w:t>Contentful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it-IT"/>
        </w:rPr>
      </w:pPr>
      <w:r>
        <w:rPr>
          <w:rStyle w:val="None"/>
          <w:rtl w:val="0"/>
          <w:lang w:val="it-IT"/>
        </w:rPr>
        <w:t>Kentico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Crownpeak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Workday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fr-FR"/>
        </w:rPr>
      </w:pPr>
      <w:r>
        <w:rPr>
          <w:rStyle w:val="None"/>
          <w:rtl w:val="0"/>
          <w:lang w:val="fr-FR"/>
        </w:rPr>
        <w:t>AI Certifications (</w:t>
      </w:r>
      <w:r>
        <w:rPr>
          <w:rStyle w:val="None"/>
          <w:rtl w:val="0"/>
          <w:lang w:val="en-US"/>
        </w:rPr>
        <w:t>i</w:t>
      </w:r>
      <w:r>
        <w:rPr>
          <w:rStyle w:val="None"/>
          <w:rtl w:val="0"/>
          <w:lang w:val="fr-FR"/>
        </w:rPr>
        <w:t>n progress)</w:t>
      </w:r>
    </w:p>
    <w:p>
      <w:pPr>
        <w:pStyle w:val="Subheading"/>
        <w:numPr>
          <w:ilvl w:val="0"/>
          <w:numId w:val="3"/>
        </w:numPr>
        <w:bidi w:val="0"/>
        <w:spacing w:line="240" w:lineRule="auto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Associates</w:t>
      </w:r>
      <w:r>
        <w:rPr>
          <w:rStyle w:val="None"/>
          <w:rtl w:val="0"/>
          <w:lang w:val="fr-FR"/>
        </w:rPr>
        <w:t xml:space="preserve">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 of Phoenix</w:t>
      </w:r>
    </w:p>
    <w:p>
      <w:pPr>
        <w:pStyle w:val="Subheading"/>
        <w:numPr>
          <w:ilvl w:val="0"/>
          <w:numId w:val="3"/>
        </w:numPr>
        <w:spacing w:line="240" w:lineRule="auto"/>
      </w:pPr>
      <w:r>
        <w:rPr>
          <w:rStyle w:val="None"/>
          <w:rtl w:val="0"/>
        </w:rPr>
        <w:t xml:space="preserve">U.S. Navy </w:t>
      </w:r>
      <w:r>
        <w:rPr>
          <w:rStyle w:val="None"/>
          <w:rtl w:val="0"/>
          <w:lang w:val="en-US"/>
        </w:rPr>
        <w:t xml:space="preserve">—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Great Lakes, IL</w:t>
      </w:r>
    </w:p>
    <w:p>
      <w:pPr>
        <w:pStyle w:val="Heading"/>
        <w:spacing w:line="240" w:lineRule="auto"/>
      </w:pPr>
    </w:p>
    <w:p>
      <w:pPr>
        <w:pStyle w:val="Heading"/>
        <w:spacing w:line="240" w:lineRule="auto"/>
      </w:pPr>
      <w:r>
        <w:rPr>
          <w:rStyle w:val="None"/>
          <w:rtl w:val="0"/>
          <w:lang w:val="en-US"/>
        </w:rPr>
        <w:t>TECHNICAL SKILLS</w:t>
      </w:r>
    </w:p>
    <w:p>
      <w:pPr>
        <w:pStyle w:val="Subheading"/>
        <w:rPr>
          <w:rStyle w:val="None"/>
          <w:rFonts w:ascii="Graphik" w:cs="Graphik" w:hAnsi="Graphik" w:eastAsia="Graphik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rtl w:val="0"/>
          <w:lang w:val="en-US"/>
        </w:rPr>
        <w:t xml:space="preserve">Project Management Tools: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Jira, Asana, Microsoft Project, Salesforce, Workday, Forecast, Miro</w:t>
      </w:r>
    </w:p>
    <w:p>
      <w:pPr>
        <w:pStyle w:val="Subheading"/>
        <w:rPr>
          <w:rStyle w:val="None"/>
          <w:rFonts w:ascii="Graphik" w:cs="Graphik" w:hAnsi="Graphik" w:eastAsia="Graphik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cs="Arial Unicode MS" w:eastAsia="Arial Unicode MS"/>
          <w:rtl w:val="0"/>
          <w:lang w:val="en-US"/>
        </w:rPr>
        <w:t xml:space="preserve">Technical Skills: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HTML, SQL, Power BI, Python, Technical Writing, Automation Testing, Data Analysis (Crystal Reports, Visio, LucidChart), Workday Implementation, Microsoft and Google Suites (spec. Excel 12+ years exp.)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data lake/data warehouse management.</w:t>
      </w:r>
    </w:p>
    <w:p>
      <w:pPr>
        <w:pStyle w:val="Subheading"/>
      </w:pPr>
      <w:r>
        <w:rPr>
          <w:rStyle w:val="None"/>
          <w:rFonts w:cs="Arial Unicode MS" w:eastAsia="Arial Unicode MS"/>
          <w:rtl w:val="0"/>
          <w:lang w:val="en-US"/>
        </w:rPr>
        <w:t xml:space="preserve">Creative Tools: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Adobe Suite (Photoshop, Premier, Illustrator, Lightroom), Procreate, OBS, Canva, Miro, AI (LLMs and NN, Mistral etc. Flux, etc.)</w:t>
      </w:r>
    </w:p>
    <w:p>
      <w:pPr>
        <w:pStyle w:val="Subheading"/>
      </w:pPr>
      <w:r>
        <w:rPr>
          <w:rStyle w:val="None"/>
          <w:rFonts w:cs="Arial Unicode MS" w:eastAsia="Arial Unicode MS"/>
          <w:rtl w:val="0"/>
          <w:lang w:val="en-US"/>
        </w:rPr>
        <w:t xml:space="preserve">Other Skills: </w:t>
      </w:r>
      <w:r>
        <w:rPr>
          <w:rStyle w:val="None"/>
          <w:rFonts w:ascii="Graphik" w:hAnsi="Graphik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Social Media Marketing, UX Design, Stakeholder Communication, Risk Management, M&amp;A and DB consolidation</w:t>
      </w:r>
    </w:p>
    <w:sectPr>
      <w:headerReference w:type="default" r:id="rId5"/>
      <w:footerReference w:type="default" r:id="rId6"/>
      <w:pgSz w:w="12240" w:h="15840" w:orient="portrait"/>
      <w:pgMar w:top="1140" w:right="1200" w:bottom="1080" w:left="12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raphik">
    <w:charset w:val="00"/>
    <w:family w:val="roman"/>
    <w:pitch w:val="default"/>
  </w:font>
  <w:font w:name="Graphik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78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296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14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32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50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68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86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04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220" w:hanging="180"/>
      </w:pPr>
      <w:rPr>
        <w:rFonts w:ascii="Graphik" w:cs="Graphik" w:hAnsi="Graphik" w:eastAsia="Graphik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78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96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314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32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0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68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86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04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220" w:hanging="180"/>
        </w:pPr>
        <w:rPr>
          <w:rFonts w:ascii="Graphik Semibold" w:cs="Graphik Semibold" w:hAnsi="Graphik Semibold" w:eastAsia="Graphik Semibol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" w:line="288" w:lineRule="auto"/>
      <w:ind w:left="0" w:right="0" w:firstLine="0"/>
      <w:jc w:val="left"/>
      <w:outlineLvl w:val="9"/>
    </w:pPr>
    <w:rPr>
      <w:rFonts w:ascii="Graphik" w:cs="Arial Unicode MS" w:hAnsi="Graphik" w:eastAsia="Arial Unicode MS"/>
      <w:b w:val="1"/>
      <w:bCs w:val="1"/>
      <w:i w:val="0"/>
      <w:iCs w:val="0"/>
      <w:caps w:val="1"/>
      <w:strike w:val="0"/>
      <w:dstrike w:val="0"/>
      <w:outline w:val="0"/>
      <w:color w:val="1a5c71"/>
      <w:spacing w:val="27"/>
      <w:kern w:val="0"/>
      <w:position w:val="0"/>
      <w:sz w:val="54"/>
      <w:szCs w:val="54"/>
      <w:u w:val="none" w:color="1a5c71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1A5C7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260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323232"/>
      <w:spacing w:val="0"/>
      <w:kern w:val="0"/>
      <w:position w:val="0"/>
      <w:sz w:val="20"/>
      <w:szCs w:val="20"/>
      <w:u w:val="none" w:color="323232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23232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sz w:val="16"/>
      <w:szCs w:val="16"/>
      <w:u w:val="single"/>
      <w:lang w:val="en-US"/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606060"/>
      <w:spacing w:val="0"/>
      <w:kern w:val="0"/>
      <w:position w:val="0"/>
      <w:sz w:val="20"/>
      <w:szCs w:val="20"/>
      <w:u w:val="none" w:color="60606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60606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288" w:lineRule="auto"/>
      <w:ind w:left="2600" w:right="0" w:firstLine="0"/>
      <w:jc w:val="left"/>
      <w:outlineLvl w:val="0"/>
    </w:pPr>
    <w:rPr>
      <w:rFonts w:ascii="Graphik Semibold" w:cs="Arial Unicode MS" w:hAnsi="Graphik Semibold" w:eastAsia="Arial Unicode MS"/>
      <w:b w:val="0"/>
      <w:bCs w:val="0"/>
      <w:i w:val="0"/>
      <w:iCs w:val="0"/>
      <w:caps w:val="1"/>
      <w:strike w:val="0"/>
      <w:dstrike w:val="0"/>
      <w:outline w:val="0"/>
      <w:color w:val="367da2"/>
      <w:spacing w:val="10"/>
      <w:kern w:val="0"/>
      <w:position w:val="0"/>
      <w:sz w:val="20"/>
      <w:szCs w:val="20"/>
      <w:u w:val="none" w:color="367da2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7DA2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Subheading">
    <w:name w:val="Subheading"/>
    <w:next w:val="Sub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2600" w:right="0" w:firstLine="0"/>
      <w:jc w:val="left"/>
      <w:outlineLvl w:val="1"/>
    </w:pPr>
    <w:rPr>
      <w:rFonts w:ascii="Graphik Semibold" w:cs="Graphik Semibold" w:hAnsi="Graphik Semibold" w:eastAsia="Graphik Semibold"/>
      <w:b w:val="0"/>
      <w:bCs w:val="0"/>
      <w:i w:val="0"/>
      <w:iCs w:val="0"/>
      <w:caps w:val="0"/>
      <w:smallCaps w:val="0"/>
      <w:strike w:val="0"/>
      <w:dstrike w:val="0"/>
      <w:outline w:val="0"/>
      <w:color w:val="367da2"/>
      <w:spacing w:val="0"/>
      <w:kern w:val="0"/>
      <w:position w:val="0"/>
      <w:sz w:val="20"/>
      <w:szCs w:val="20"/>
      <w:u w:val="none" w:color="367da2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7DA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4_ContemporaryResume">
  <a:themeElements>
    <a:clrScheme name="24_ContemporaryResu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4818F"/>
      </a:accent1>
      <a:accent2>
        <a:srgbClr val="308C8B"/>
      </a:accent2>
      <a:accent3>
        <a:srgbClr val="7A9105"/>
      </a:accent3>
      <a:accent4>
        <a:srgbClr val="C26E6A"/>
      </a:accent4>
      <a:accent5>
        <a:srgbClr val="E4E942"/>
      </a:accent5>
      <a:accent6>
        <a:srgbClr val="5B516A"/>
      </a:accent6>
      <a:hlink>
        <a:srgbClr val="0000FF"/>
      </a:hlink>
      <a:folHlink>
        <a:srgbClr val="FF00FF"/>
      </a:folHlink>
    </a:clrScheme>
    <a:fontScheme name="24_ContemporaryResu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4_Contemporary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