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40BB" w:rsidRDefault="00AB40BB" w14:paraId="2D6CF07E" w14:textId="77777777">
      <w:pPr>
        <w:spacing w:after="2000"/>
      </w:pPr>
    </w:p>
    <w:p w:rsidR="00AB40BB" w:rsidRDefault="00CA07C5" w14:paraId="4752D249" w14:textId="77777777">
      <w:pPr>
        <w:jc w:val="center"/>
      </w:pPr>
      <w:r>
        <w:rPr>
          <w:b/>
          <w:bCs/>
          <w:color w:val="1E2761"/>
          <w:sz w:val="56"/>
          <w:szCs w:val="56"/>
        </w:rPr>
        <w:t>Annex C</w:t>
      </w:r>
    </w:p>
    <w:p w:rsidR="00AB40BB" w:rsidRDefault="00CA07C5" w14:paraId="4F5A236B" w14:textId="77777777">
      <w:pPr>
        <w:spacing w:after="200"/>
        <w:jc w:val="center"/>
      </w:pPr>
      <w:r>
        <w:rPr>
          <w:sz w:val="32"/>
          <w:szCs w:val="32"/>
        </w:rPr>
        <w:t>Process Flows</w:t>
      </w:r>
    </w:p>
    <w:p w:rsidR="00AB40BB" w:rsidRDefault="00CA07C5" w14:paraId="500DA519" w14:textId="77777777">
      <w:pPr>
        <w:jc w:val="center"/>
        <w:rPr>
          <w:i/>
          <w:iCs/>
          <w:color w:val="028090"/>
        </w:rPr>
      </w:pPr>
      <w:r>
        <w:rPr>
          <w:i/>
          <w:iCs/>
          <w:color w:val="028090"/>
        </w:rPr>
        <w:t xml:space="preserve">FSRE Core Engine - Development </w:t>
      </w:r>
      <w:proofErr w:type="spellStart"/>
      <w:r>
        <w:rPr>
          <w:i/>
          <w:iCs/>
          <w:color w:val="028090"/>
        </w:rPr>
        <w:t>Kickoff</w:t>
      </w:r>
      <w:proofErr w:type="spellEnd"/>
      <w:r>
        <w:rPr>
          <w:i/>
          <w:iCs/>
          <w:color w:val="028090"/>
        </w:rPr>
        <w:t xml:space="preserve"> Document Set</w:t>
      </w:r>
    </w:p>
    <w:p w:rsidR="008C3C2D" w:rsidRDefault="008C3C2D" w14:paraId="08B09570" w14:textId="77777777">
      <w:pPr>
        <w:jc w:val="center"/>
        <w:rPr>
          <w:i/>
          <w:iCs/>
          <w:color w:val="028090"/>
        </w:rPr>
      </w:pPr>
    </w:p>
    <w:p w:rsidRPr="008C3C2D" w:rsidR="008C3C2D" w:rsidRDefault="008C3C2D" w14:paraId="30220E14" w14:textId="3300AA68">
      <w:pPr>
        <w:jc w:val="center"/>
        <w:rPr>
          <w:color w:val="EE0000"/>
        </w:rPr>
      </w:pPr>
      <w:r w:rsidRPr="008C3C2D">
        <w:rPr>
          <w:i/>
          <w:iCs/>
          <w:color w:val="EE0000"/>
        </w:rPr>
        <w:t>COMPANY CONFIDENTIAL</w:t>
      </w:r>
    </w:p>
    <w:p w:rsidR="00AB40BB" w:rsidRDefault="00CA07C5" w14:paraId="36839922" w14:textId="77777777">
      <w:r>
        <w:br w:type="page"/>
      </w:r>
    </w:p>
    <w:p w:rsidR="00AB40BB" w:rsidRDefault="00CA07C5" w14:paraId="71967A26" w14:textId="77777777">
      <w:pPr>
        <w:pStyle w:val="Heading1"/>
      </w:pPr>
      <w:r>
        <w:lastRenderedPageBreak/>
        <w:t>C.1 Purpose</w:t>
      </w:r>
    </w:p>
    <w:p w:rsidR="00AB40BB" w:rsidP="2D81F13D" w:rsidRDefault="00CA07C5" w14:paraId="0586E660" w14:textId="310CCEF9">
      <w:pPr>
        <w:spacing w:after="120"/>
      </w:pPr>
      <w:r w:rsidR="00CA07C5">
        <w:rPr/>
        <w:t xml:space="preserve">This annex describes the </w:t>
      </w:r>
      <w:r w:rsidR="00CA07C5">
        <w:rPr/>
        <w:t>four core</w:t>
      </w:r>
      <w:r w:rsidR="00CA07C5">
        <w:rPr/>
        <w:t xml:space="preserve"> end-to-end process flows of the Core Engine in narrative/step form. Corresponding flow diagrams are provided in the companion presentation as editable slides, referenced at the end of each section below.</w:t>
      </w:r>
    </w:p>
    <w:p w:rsidR="00AB40BB" w:rsidRDefault="00CA07C5" w14:paraId="2340A447" w14:textId="77777777">
      <w:pPr>
        <w:pStyle w:val="Heading1"/>
      </w:pPr>
      <w:r>
        <w:lastRenderedPageBreak/>
        <w:t>C.2 Flow 1: Ingestion-to-Report (End-to-End)</w:t>
      </w:r>
    </w:p>
    <w:p w:rsidR="00AB40BB" w:rsidRDefault="00CA07C5" w14:paraId="01EB0280" w14:textId="77777777">
      <w:pPr>
        <w:spacing w:after="120"/>
      </w:pPr>
      <w:r>
        <w:t>This is the overarching flow, of which Flows 2-4 are sub-flows. It traces a single document from intake through to an updated risk score and explainability record.</w:t>
      </w:r>
    </w:p>
    <w:p w:rsidR="00AB40BB" w:rsidRDefault="00CA07C5" w14:paraId="2FCB9FA6" w14:textId="77777777">
      <w:pPr>
        <w:pStyle w:val="ListParagraph"/>
        <w:numPr>
          <w:ilvl w:val="0"/>
          <w:numId w:val="2"/>
        </w:numPr>
        <w:spacing w:after="60"/>
      </w:pPr>
      <w:r>
        <w:t xml:space="preserve">A document arrives via a connector (Annex D) or manual </w:t>
      </w:r>
      <w:proofErr w:type="gramStart"/>
      <w:r>
        <w:t>upload, and</w:t>
      </w:r>
      <w:proofErr w:type="gramEnd"/>
      <w:r>
        <w:t xml:space="preserve"> is stored in object storage with metadata (tenant, source, received timestamp, </w:t>
      </w:r>
      <w:proofErr w:type="spellStart"/>
      <w:r>
        <w:t>document_type</w:t>
      </w:r>
      <w:proofErr w:type="spellEnd"/>
      <w:r>
        <w:t xml:space="preserve"> if known).</w:t>
      </w:r>
    </w:p>
    <w:p w:rsidR="00AB40BB" w:rsidRDefault="00CA07C5" w14:paraId="31B87129" w14:textId="77777777">
      <w:pPr>
        <w:pStyle w:val="ListParagraph"/>
        <w:numPr>
          <w:ilvl w:val="0"/>
          <w:numId w:val="2"/>
        </w:numPr>
        <w:spacing w:after="60"/>
      </w:pPr>
      <w:r>
        <w:t xml:space="preserve">Dataiku-orchestrated pipeline picks up the new document and triggers classification (if </w:t>
      </w:r>
      <w:proofErr w:type="spellStart"/>
      <w:r>
        <w:t>document_type</w:t>
      </w:r>
      <w:proofErr w:type="spellEnd"/>
      <w:r>
        <w:t xml:space="preserve"> not provided) and extraction (Annex A.2).</w:t>
      </w:r>
    </w:p>
    <w:p w:rsidR="00AB40BB" w:rsidRDefault="00CA07C5" w14:paraId="0BD9F1D0" w14:textId="77777777">
      <w:pPr>
        <w:pStyle w:val="ListParagraph"/>
        <w:numPr>
          <w:ilvl w:val="0"/>
          <w:numId w:val="2"/>
        </w:numPr>
        <w:spacing w:after="60"/>
      </w:pPr>
      <w:r>
        <w:t>Extracted structured data points are validated; low-confidence extractions are routed to a review queue (human-in-the-loop), high-confidence extractions proceed.</w:t>
      </w:r>
    </w:p>
    <w:p w:rsidR="00AB40BB" w:rsidRDefault="00CA07C5" w14:paraId="431E69B7" w14:textId="77777777">
      <w:pPr>
        <w:pStyle w:val="ListParagraph"/>
        <w:numPr>
          <w:ilvl w:val="0"/>
          <w:numId w:val="2"/>
        </w:numPr>
        <w:spacing w:after="60"/>
      </w:pPr>
      <w:r>
        <w:t>Validated extraction records are passed to the Entity Resolution module (Flow 2).</w:t>
      </w:r>
    </w:p>
    <w:p w:rsidR="00AB40BB" w:rsidRDefault="00CA07C5" w14:paraId="00CA7151" w14:textId="77777777">
      <w:pPr>
        <w:pStyle w:val="ListParagraph"/>
        <w:numPr>
          <w:ilvl w:val="0"/>
          <w:numId w:val="2"/>
        </w:numPr>
        <w:spacing w:after="60"/>
      </w:pPr>
      <w:r>
        <w:t xml:space="preserve">Entity Resolution updates the </w:t>
      </w:r>
      <w:proofErr w:type="spellStart"/>
      <w:r>
        <w:t>Memgraph</w:t>
      </w:r>
      <w:proofErr w:type="spellEnd"/>
      <w:r>
        <w:t xml:space="preserve"> entity relationship graph.</w:t>
      </w:r>
    </w:p>
    <w:p w:rsidR="00AB40BB" w:rsidRDefault="00CA07C5" w14:paraId="7169F01D" w14:textId="77777777">
      <w:pPr>
        <w:pStyle w:val="ListParagraph"/>
        <w:numPr>
          <w:ilvl w:val="0"/>
          <w:numId w:val="2"/>
        </w:numPr>
        <w:spacing w:after="60"/>
      </w:pPr>
      <w:r>
        <w:t>The Rules Engine evaluates relevant rules against the updated graph state (Flow 3).</w:t>
      </w:r>
    </w:p>
    <w:p w:rsidR="00AB40BB" w:rsidRDefault="00CA07C5" w14:paraId="082D7184" w14:textId="77777777">
      <w:pPr>
        <w:pStyle w:val="ListParagraph"/>
        <w:numPr>
          <w:ilvl w:val="0"/>
          <w:numId w:val="2"/>
        </w:numPr>
        <w:spacing w:after="60"/>
      </w:pPr>
      <w:r>
        <w:t>The Scoring module aggregates rule evaluation results into an updated risk score and explainability record (Flow 4).</w:t>
      </w:r>
    </w:p>
    <w:p w:rsidR="00AB40BB" w:rsidRDefault="00CA07C5" w14:paraId="52688009" w14:textId="77777777">
      <w:pPr>
        <w:pStyle w:val="ListParagraph"/>
        <w:numPr>
          <w:ilvl w:val="0"/>
          <w:numId w:val="2"/>
        </w:numPr>
        <w:spacing w:after="60"/>
        <w:rPr/>
      </w:pPr>
      <w:r w:rsidR="00CA07C5">
        <w:rPr/>
        <w:t>All steps above are logged to the Audit &amp; Logging layer (Annex A.6).</w:t>
      </w:r>
    </w:p>
    <w:p w:rsidR="00AB40BB" w:rsidP="2D81F13D" w:rsidRDefault="00CA07C5" w14:paraId="4614BF0A" w14:textId="2F8BAD72">
      <w:pPr>
        <w:spacing w:after="120"/>
      </w:pPr>
      <w:r w:rsidR="00CA07C5">
        <w:rPr/>
        <w:t>Companion presentation reference: slide 'Flow 1 - Ingestion to Report'.</w:t>
      </w:r>
    </w:p>
    <w:p w:rsidR="00AB40BB" w:rsidRDefault="00CA07C5" w14:paraId="24F1B92D" w14:textId="77777777">
      <w:pPr>
        <w:pStyle w:val="Heading1"/>
      </w:pPr>
      <w:r>
        <w:lastRenderedPageBreak/>
        <w:t>C.3 Flow 2: Entity Resolution</w:t>
      </w:r>
    </w:p>
    <w:p w:rsidR="00AB40BB" w:rsidRDefault="00CA07C5" w14:paraId="6859C551" w14:textId="77777777">
      <w:pPr>
        <w:spacing w:after="120"/>
      </w:pPr>
      <w:r>
        <w:t>Triggered by new/updated extraction records from Flow 1, step 4.</w:t>
      </w:r>
    </w:p>
    <w:p w:rsidR="00AB40BB" w:rsidRDefault="00CA07C5" w14:paraId="56F3A9B0" w14:textId="77777777">
      <w:pPr>
        <w:pStyle w:val="ListParagraph"/>
        <w:numPr>
          <w:ilvl w:val="0"/>
          <w:numId w:val="2"/>
        </w:numPr>
        <w:spacing w:after="60"/>
      </w:pPr>
      <w:r>
        <w:t>For each entity reference in the new extraction record, search the existing entity graph for candidate matches using registration number (if available) and name similarity within the same jurisdiction.</w:t>
      </w:r>
    </w:p>
    <w:p w:rsidR="00AB40BB" w:rsidRDefault="00CA07C5" w14:paraId="5CC1A90A" w14:textId="77777777">
      <w:pPr>
        <w:pStyle w:val="ListParagraph"/>
        <w:numPr>
          <w:ilvl w:val="0"/>
          <w:numId w:val="2"/>
        </w:numPr>
        <w:spacing w:after="60"/>
      </w:pPr>
      <w:r>
        <w:t>If a high-confidence match is found (e.g., exact registration number match), proceed to step 4 (update graph) automatically.</w:t>
      </w:r>
    </w:p>
    <w:p w:rsidR="00AB40BB" w:rsidRDefault="00CA07C5" w14:paraId="0C7ED840" w14:textId="77777777">
      <w:pPr>
        <w:pStyle w:val="ListParagraph"/>
        <w:numPr>
          <w:ilvl w:val="0"/>
          <w:numId w:val="2"/>
        </w:numPr>
        <w:spacing w:after="60"/>
      </w:pPr>
      <w:r>
        <w:t xml:space="preserve">If only lower-confidence matches are found, or no match is found, route to a human review queue with the candidate matches and confidence scores presented for decision (create new </w:t>
      </w:r>
      <w:proofErr w:type="gramStart"/>
      <w:r>
        <w:t>entity, or</w:t>
      </w:r>
      <w:proofErr w:type="gramEnd"/>
      <w:r>
        <w:t xml:space="preserve"> confirm match to an existing entity).</w:t>
      </w:r>
    </w:p>
    <w:p w:rsidR="00AB40BB" w:rsidRDefault="00CA07C5" w14:paraId="793ACD23" w14:textId="77777777">
      <w:pPr>
        <w:pStyle w:val="ListParagraph"/>
        <w:numPr>
          <w:ilvl w:val="0"/>
          <w:numId w:val="2"/>
        </w:numPr>
        <w:spacing w:after="60"/>
      </w:pPr>
      <w:r>
        <w:t xml:space="preserve">Update the graph: for new entities, create an Entity node; for relationships (e.g., OWNS, DIRECTOR_OF), create new effective-dated edges and, where applicable, close out (set </w:t>
      </w:r>
      <w:proofErr w:type="spellStart"/>
      <w:r>
        <w:t>effective_to</w:t>
      </w:r>
      <w:proofErr w:type="spellEnd"/>
      <w:r>
        <w:t>) on superseded edges rather than deleting historical data.</w:t>
      </w:r>
    </w:p>
    <w:p w:rsidR="00AB40BB" w:rsidRDefault="00CA07C5" w14:paraId="5FDCB944" w14:textId="77777777">
      <w:pPr>
        <w:pStyle w:val="ListParagraph"/>
        <w:numPr>
          <w:ilvl w:val="0"/>
          <w:numId w:val="2"/>
        </w:numPr>
        <w:spacing w:after="60"/>
      </w:pPr>
      <w:r>
        <w:t>Log the resolution decision (auto or human-reviewed, with confidence score and source document reference) to the audit trail.</w:t>
      </w:r>
    </w:p>
    <w:p w:rsidR="00AB40BB" w:rsidRDefault="00AB40BB" w14:paraId="31BC41CB" w14:textId="77777777">
      <w:pPr>
        <w:spacing w:after="120"/>
      </w:pPr>
    </w:p>
    <w:p w:rsidR="00AB40BB" w:rsidP="2D81F13D" w:rsidRDefault="00CA07C5" w14:paraId="698178BA" w14:textId="4DB51F79">
      <w:pPr>
        <w:spacing w:after="120"/>
      </w:pPr>
      <w:r w:rsidR="00CA07C5">
        <w:rPr/>
        <w:t>Companion presentation reference: slide 'Flow 2 - Entity Resolution'.</w:t>
      </w:r>
    </w:p>
    <w:p w:rsidR="00AB40BB" w:rsidRDefault="00CA07C5" w14:paraId="27017766" w14:textId="77777777">
      <w:pPr>
        <w:pStyle w:val="Heading1"/>
      </w:pPr>
      <w:r>
        <w:lastRenderedPageBreak/>
        <w:t>C.4 Flow 3: Rules Engine Evaluation</w:t>
      </w:r>
    </w:p>
    <w:p w:rsidR="00AB40BB" w:rsidRDefault="00CA07C5" w14:paraId="7E4E593F" w14:textId="77777777">
      <w:pPr>
        <w:spacing w:after="120"/>
      </w:pPr>
      <w:r>
        <w:t>Can be triggered incrementally (after a graph update affecting specific entities, Flow 2 step 4) or as a scheduled batch run across a tenant's full entity population.</w:t>
      </w:r>
    </w:p>
    <w:p w:rsidR="00AB40BB" w:rsidRDefault="00CA07C5" w14:paraId="1EC2B3E2" w14:textId="77777777">
      <w:pPr>
        <w:pStyle w:val="ListParagraph"/>
        <w:numPr>
          <w:ilvl w:val="0"/>
          <w:numId w:val="2"/>
        </w:numPr>
        <w:spacing w:after="60"/>
      </w:pPr>
      <w:r>
        <w:t xml:space="preserve">Load the set of active rules applicable to the tenant (filtered by </w:t>
      </w:r>
      <w:proofErr w:type="spellStart"/>
      <w:r>
        <w:t>vertical_tags</w:t>
      </w:r>
      <w:proofErr w:type="spellEnd"/>
      <w:r>
        <w:t xml:space="preserve"> and active=true, Annex A.4.1).</w:t>
      </w:r>
    </w:p>
    <w:p w:rsidR="00AB40BB" w:rsidRDefault="00CA07C5" w14:paraId="2E7BB174" w14:textId="77777777">
      <w:pPr>
        <w:pStyle w:val="ListParagraph"/>
        <w:numPr>
          <w:ilvl w:val="0"/>
          <w:numId w:val="2"/>
        </w:numPr>
        <w:spacing w:after="60"/>
      </w:pPr>
      <w:r>
        <w:t xml:space="preserve">For each rule, execute its </w:t>
      </w:r>
      <w:proofErr w:type="spellStart"/>
      <w:r>
        <w:t>graph_pattern</w:t>
      </w:r>
      <w:proofErr w:type="spellEnd"/>
      <w:r>
        <w:t xml:space="preserve"> query against </w:t>
      </w:r>
      <w:proofErr w:type="spellStart"/>
      <w:r>
        <w:t>Memgraph</w:t>
      </w:r>
      <w:proofErr w:type="spellEnd"/>
      <w:r>
        <w:t>, scoped to the relevant entities (incremental) or the full tenant population (batch).</w:t>
      </w:r>
    </w:p>
    <w:p w:rsidR="00AB40BB" w:rsidRDefault="00CA07C5" w14:paraId="5A538C80" w14:textId="77777777">
      <w:pPr>
        <w:pStyle w:val="ListParagraph"/>
        <w:numPr>
          <w:ilvl w:val="0"/>
          <w:numId w:val="2"/>
        </w:numPr>
        <w:spacing w:after="60"/>
      </w:pPr>
      <w:r>
        <w:t>For each match returned, evaluate the rule's condition expression.</w:t>
      </w:r>
    </w:p>
    <w:p w:rsidR="00AB40BB" w:rsidRDefault="00CA07C5" w14:paraId="5241F0C7" w14:textId="77777777">
      <w:pPr>
        <w:pStyle w:val="ListParagraph"/>
        <w:numPr>
          <w:ilvl w:val="0"/>
          <w:numId w:val="2"/>
        </w:numPr>
        <w:spacing w:after="60"/>
      </w:pPr>
      <w:r>
        <w:t xml:space="preserve">For matches satisfying the condition, create a </w:t>
      </w:r>
      <w:proofErr w:type="spellStart"/>
      <w:r>
        <w:t>rule_evaluation_result</w:t>
      </w:r>
      <w:proofErr w:type="spellEnd"/>
      <w:r>
        <w:t xml:space="preserve"> record (Annex A.4.2), including references to contributing data points (source extraction records).</w:t>
      </w:r>
    </w:p>
    <w:p w:rsidR="00AB40BB" w:rsidRDefault="00CA07C5" w14:paraId="46BED9CF" w14:textId="77777777">
      <w:pPr>
        <w:pStyle w:val="ListParagraph"/>
        <w:numPr>
          <w:ilvl w:val="0"/>
          <w:numId w:val="2"/>
        </w:numPr>
        <w:spacing w:after="60"/>
      </w:pPr>
      <w:r>
        <w:t xml:space="preserve">Pass all </w:t>
      </w:r>
      <w:proofErr w:type="spellStart"/>
      <w:r>
        <w:t>rule_evaluation_results</w:t>
      </w:r>
      <w:proofErr w:type="spellEnd"/>
      <w:r>
        <w:t xml:space="preserve"> for affected entities to the Scoring module (Flow 4).</w:t>
      </w:r>
    </w:p>
    <w:p w:rsidR="00AB40BB" w:rsidRDefault="00CA07C5" w14:paraId="22B6BA09" w14:textId="77777777">
      <w:pPr>
        <w:pStyle w:val="ListParagraph"/>
        <w:numPr>
          <w:ilvl w:val="0"/>
          <w:numId w:val="2"/>
        </w:numPr>
        <w:spacing w:after="60"/>
        <w:rPr/>
      </w:pPr>
      <w:r w:rsidR="00CA07C5">
        <w:rPr/>
        <w:t>Log rule executions and results to the audit trail.</w:t>
      </w:r>
    </w:p>
    <w:p w:rsidR="00AB40BB" w:rsidP="339F73B9" w:rsidRDefault="00CA07C5" w14:paraId="247DA005" w14:textId="20257B97">
      <w:pPr>
        <w:spacing w:after="120"/>
      </w:pPr>
      <w:r w:rsidR="00CA07C5">
        <w:rPr/>
        <w:t>Companion presentation reference: slide 'Flow 3 - Rules Engine Evaluation'.</w:t>
      </w:r>
    </w:p>
    <w:p w:rsidR="00AB40BB" w:rsidRDefault="00CA07C5" w14:paraId="02709E63" w14:textId="77777777">
      <w:pPr>
        <w:pStyle w:val="Heading1"/>
      </w:pPr>
      <w:r>
        <w:lastRenderedPageBreak/>
        <w:t>C.5 Flow 4: Explainability &amp; Report Generation</w:t>
      </w:r>
    </w:p>
    <w:p w:rsidR="00AB40BB" w:rsidRDefault="00CA07C5" w14:paraId="3578E2C7" w14:textId="77777777">
      <w:pPr>
        <w:spacing w:after="120"/>
      </w:pPr>
      <w:r>
        <w:t xml:space="preserve">Triggered by new </w:t>
      </w:r>
      <w:proofErr w:type="spellStart"/>
      <w:r>
        <w:t>rule_evaluation_results</w:t>
      </w:r>
      <w:proofErr w:type="spellEnd"/>
      <w:r>
        <w:t xml:space="preserve"> for an entity (from Flow 3).</w:t>
      </w:r>
    </w:p>
    <w:p w:rsidR="00AB40BB" w:rsidRDefault="00CA07C5" w14:paraId="79A0C994" w14:textId="77777777">
      <w:pPr>
        <w:pStyle w:val="ListParagraph"/>
        <w:numPr>
          <w:ilvl w:val="0"/>
          <w:numId w:val="2"/>
        </w:numPr>
        <w:spacing w:after="60"/>
      </w:pPr>
      <w:r>
        <w:t xml:space="preserve">Load the tenant's active </w:t>
      </w:r>
      <w:proofErr w:type="spellStart"/>
      <w:r>
        <w:t>scoring_profile</w:t>
      </w:r>
      <w:proofErr w:type="spellEnd"/>
      <w:r>
        <w:t xml:space="preserve"> (Annex A.5.1).</w:t>
      </w:r>
    </w:p>
    <w:p w:rsidR="00AB40BB" w:rsidRDefault="00CA07C5" w14:paraId="28622914" w14:textId="77777777">
      <w:pPr>
        <w:pStyle w:val="ListParagraph"/>
        <w:numPr>
          <w:ilvl w:val="0"/>
          <w:numId w:val="2"/>
        </w:numPr>
        <w:spacing w:after="60"/>
      </w:pPr>
      <w:r>
        <w:t xml:space="preserve">Aggregate the entity's </w:t>
      </w:r>
      <w:proofErr w:type="spellStart"/>
      <w:r>
        <w:t>rule_evaluation_results</w:t>
      </w:r>
      <w:proofErr w:type="spellEnd"/>
      <w:r>
        <w:t xml:space="preserve"> according to the </w:t>
      </w:r>
      <w:proofErr w:type="spellStart"/>
      <w:r>
        <w:t>scoring_profile's</w:t>
      </w:r>
      <w:proofErr w:type="spellEnd"/>
      <w:r>
        <w:t xml:space="preserve"> </w:t>
      </w:r>
      <w:proofErr w:type="spellStart"/>
      <w:r>
        <w:t>aggregation_method</w:t>
      </w:r>
      <w:proofErr w:type="spellEnd"/>
      <w:r>
        <w:t xml:space="preserve"> and </w:t>
      </w:r>
      <w:proofErr w:type="spellStart"/>
      <w:r>
        <w:t>rule_weights</w:t>
      </w:r>
      <w:proofErr w:type="spellEnd"/>
      <w:r>
        <w:t>, producing a composite score.</w:t>
      </w:r>
    </w:p>
    <w:p w:rsidR="00AB40BB" w:rsidRDefault="00CA07C5" w14:paraId="58CEB6E9" w14:textId="77777777">
      <w:pPr>
        <w:pStyle w:val="ListParagraph"/>
        <w:numPr>
          <w:ilvl w:val="0"/>
          <w:numId w:val="2"/>
        </w:numPr>
        <w:spacing w:after="60"/>
      </w:pPr>
      <w:r>
        <w:t xml:space="preserve">Map the score to a </w:t>
      </w:r>
      <w:proofErr w:type="spellStart"/>
      <w:r>
        <w:t>risk_band</w:t>
      </w:r>
      <w:proofErr w:type="spellEnd"/>
      <w:r>
        <w:t xml:space="preserve"> using the </w:t>
      </w:r>
      <w:proofErr w:type="spellStart"/>
      <w:r>
        <w:t>scoring_profile's</w:t>
      </w:r>
      <w:proofErr w:type="spellEnd"/>
      <w:r>
        <w:t xml:space="preserve"> thresholds.</w:t>
      </w:r>
    </w:p>
    <w:p w:rsidR="00AB40BB" w:rsidRDefault="00CA07C5" w14:paraId="0D4BEFE6" w14:textId="77777777">
      <w:pPr>
        <w:pStyle w:val="ListParagraph"/>
        <w:numPr>
          <w:ilvl w:val="0"/>
          <w:numId w:val="2"/>
        </w:numPr>
        <w:spacing w:after="60"/>
      </w:pPr>
      <w:r>
        <w:t xml:space="preserve">Generate the explainability record (Annex A.5.2), listing each contributing rule, its weight, its contribution to the score, its explanation text (populated from the rule's </w:t>
      </w:r>
      <w:proofErr w:type="spellStart"/>
      <w:r>
        <w:t>explanation_template</w:t>
      </w:r>
      <w:proofErr w:type="spellEnd"/>
      <w:r>
        <w:t>), and references to source documents.</w:t>
      </w:r>
    </w:p>
    <w:p w:rsidR="00AB40BB" w:rsidRDefault="00CA07C5" w14:paraId="353F0992" w14:textId="77777777">
      <w:pPr>
        <w:pStyle w:val="ListParagraph"/>
        <w:numPr>
          <w:ilvl w:val="0"/>
          <w:numId w:val="2"/>
        </w:numPr>
        <w:spacing w:after="60"/>
      </w:pPr>
      <w:r>
        <w:t>Store the score and explainability record, with a reference to the prior score for that entity (enabling score history/trend views in later stages).</w:t>
      </w:r>
    </w:p>
    <w:p w:rsidR="00AB40BB" w:rsidRDefault="00CA07C5" w14:paraId="4E5EF6A9" w14:textId="77777777">
      <w:pPr>
        <w:pStyle w:val="ListParagraph"/>
        <w:numPr>
          <w:ilvl w:val="0"/>
          <w:numId w:val="2"/>
        </w:numPr>
        <w:spacing w:after="60"/>
        <w:rPr/>
      </w:pPr>
      <w:r w:rsidR="00CA07C5">
        <w:rPr/>
        <w:t>Log the scoring event to the audit trail.</w:t>
      </w:r>
    </w:p>
    <w:p w:rsidR="00AB40BB" w:rsidRDefault="00CA07C5" w14:paraId="535EB0FB" w14:textId="77777777">
      <w:pPr>
        <w:spacing w:after="120"/>
      </w:pPr>
      <w:r>
        <w:t>Companion presentation reference: slide 'Flow 4 - Explainability and Report Generation'.</w:t>
      </w:r>
    </w:p>
    <w:p w:rsidR="00AB40BB" w:rsidRDefault="00AB40BB" w14:paraId="72B87A0D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40BB" w14:paraId="1BED82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shd w:val="clear" w:color="auto" w:fill="CADC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B40BB" w:rsidRDefault="00CA07C5" w14:paraId="2A2F4201" w14:textId="77777777">
            <w:pPr>
              <w:spacing w:after="40"/>
            </w:pPr>
            <w:r>
              <w:rPr>
                <w:b/>
                <w:bCs/>
                <w:color w:val="1E2761"/>
              </w:rPr>
              <w:t>Multi-Vertical Reuse Note</w:t>
            </w:r>
          </w:p>
          <w:p w:rsidR="00AB40BB" w:rsidRDefault="00CA07C5" w14:paraId="7203EECF" w14:textId="77777777">
            <w:r>
              <w:rPr>
                <w:i/>
                <w:iCs/>
              </w:rPr>
              <w:t xml:space="preserve">All four flows above are vertical-agnostic by design — the only vertical-specific elements are the document type definitions (Flow 1), the rule library and </w:t>
            </w:r>
            <w:proofErr w:type="spellStart"/>
            <w:r>
              <w:rPr>
                <w:i/>
                <w:iCs/>
              </w:rPr>
              <w:t>graph_pattern</w:t>
            </w:r>
            <w:proofErr w:type="spellEnd"/>
            <w:r>
              <w:rPr>
                <w:i/>
                <w:iCs/>
              </w:rPr>
              <w:t xml:space="preserve"> definitions (Flow 3), and the </w:t>
            </w:r>
            <w:proofErr w:type="spellStart"/>
            <w:r>
              <w:rPr>
                <w:i/>
                <w:iCs/>
              </w:rPr>
              <w:t>scoring_profile</w:t>
            </w:r>
            <w:proofErr w:type="spellEnd"/>
            <w:r>
              <w:rPr>
                <w:i/>
                <w:iCs/>
              </w:rPr>
              <w:t xml:space="preserve"> (Flow 4), all of which are configuration, not flow logic. This is the practical expression of the 'configure, don't rebuild' principle from the Main Document.</w:t>
            </w:r>
          </w:p>
        </w:tc>
      </w:tr>
    </w:tbl>
    <w:p w:rsidR="00CA07C5" w:rsidRDefault="00CA07C5" w14:paraId="01A9847A" w14:textId="77777777"/>
    <w:sectPr w:rsidR="00CA07C5"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7C5" w:rsidRDefault="00CA07C5" w14:paraId="7CC83EB3" w14:textId="77777777">
      <w:r>
        <w:separator/>
      </w:r>
    </w:p>
  </w:endnote>
  <w:endnote w:type="continuationSeparator" w:id="0">
    <w:p w:rsidR="00CA07C5" w:rsidRDefault="00CA07C5" w14:paraId="6FDE80A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40BB" w:rsidRDefault="00CA07C5" w14:paraId="7F521CB9" w14:textId="77777777"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8C3C2D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8C3C2D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7C5" w:rsidRDefault="00CA07C5" w14:paraId="52DF3C01" w14:textId="77777777">
      <w:r>
        <w:separator/>
      </w:r>
    </w:p>
  </w:footnote>
  <w:footnote w:type="continuationSeparator" w:id="0">
    <w:p w:rsidR="00CA07C5" w:rsidRDefault="00CA07C5" w14:paraId="01B5F4B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B40BB" w:rsidRDefault="00CA07C5" w14:paraId="517D3161" w14:textId="77777777">
    <w:r>
      <w:rPr>
        <w:color w:val="999999"/>
        <w:sz w:val="16"/>
        <w:szCs w:val="16"/>
      </w:rPr>
      <w:t>FSRE Core Engine - Annex C - Process Flows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03E49"/>
    <w:multiLevelType w:val="hybridMultilevel"/>
    <w:tmpl w:val="50508A04"/>
    <w:lvl w:ilvl="0" w:tplc="565C83FE">
      <w:start w:val="1"/>
      <w:numFmt w:val="bullet"/>
      <w:lvlText w:val="•"/>
      <w:lvlJc w:val="left"/>
      <w:pPr>
        <w:ind w:left="720" w:hanging="360"/>
      </w:pPr>
    </w:lvl>
    <w:lvl w:ilvl="1" w:tplc="3E0A557A">
      <w:numFmt w:val="decimal"/>
      <w:lvlText w:val=""/>
      <w:lvlJc w:val="left"/>
    </w:lvl>
    <w:lvl w:ilvl="2" w:tplc="9C4EEF8A">
      <w:numFmt w:val="decimal"/>
      <w:lvlText w:val=""/>
      <w:lvlJc w:val="left"/>
    </w:lvl>
    <w:lvl w:ilvl="3" w:tplc="0A9ECC86">
      <w:numFmt w:val="decimal"/>
      <w:lvlText w:val=""/>
      <w:lvlJc w:val="left"/>
    </w:lvl>
    <w:lvl w:ilvl="4" w:tplc="D758F886">
      <w:numFmt w:val="decimal"/>
      <w:lvlText w:val=""/>
      <w:lvlJc w:val="left"/>
    </w:lvl>
    <w:lvl w:ilvl="5" w:tplc="F550886E">
      <w:numFmt w:val="decimal"/>
      <w:lvlText w:val=""/>
      <w:lvlJc w:val="left"/>
    </w:lvl>
    <w:lvl w:ilvl="6" w:tplc="4FB6815C">
      <w:numFmt w:val="decimal"/>
      <w:lvlText w:val=""/>
      <w:lvlJc w:val="left"/>
    </w:lvl>
    <w:lvl w:ilvl="7" w:tplc="314EFD86">
      <w:numFmt w:val="decimal"/>
      <w:lvlText w:val=""/>
      <w:lvlJc w:val="left"/>
    </w:lvl>
    <w:lvl w:ilvl="8" w:tplc="C8FC2944">
      <w:numFmt w:val="decimal"/>
      <w:lvlText w:val=""/>
      <w:lvlJc w:val="left"/>
    </w:lvl>
  </w:abstractNum>
  <w:abstractNum w:abstractNumId="1" w15:restartNumberingAfterBreak="0">
    <w:nsid w:val="19D3717E"/>
    <w:multiLevelType w:val="hybridMultilevel"/>
    <w:tmpl w:val="921E0FD2"/>
    <w:lvl w:ilvl="0" w:tplc="6EBA54AC">
      <w:start w:val="1"/>
      <w:numFmt w:val="decimal"/>
      <w:lvlText w:val="%1."/>
      <w:lvlJc w:val="left"/>
      <w:pPr>
        <w:ind w:left="720" w:hanging="360"/>
      </w:pPr>
    </w:lvl>
    <w:lvl w:ilvl="1" w:tplc="A47CC718">
      <w:numFmt w:val="decimal"/>
      <w:lvlText w:val=""/>
      <w:lvlJc w:val="left"/>
    </w:lvl>
    <w:lvl w:ilvl="2" w:tplc="75F4A1B0">
      <w:numFmt w:val="decimal"/>
      <w:lvlText w:val=""/>
      <w:lvlJc w:val="left"/>
    </w:lvl>
    <w:lvl w:ilvl="3" w:tplc="8A126E74">
      <w:numFmt w:val="decimal"/>
      <w:lvlText w:val=""/>
      <w:lvlJc w:val="left"/>
    </w:lvl>
    <w:lvl w:ilvl="4" w:tplc="B2E6A23A">
      <w:numFmt w:val="decimal"/>
      <w:lvlText w:val=""/>
      <w:lvlJc w:val="left"/>
    </w:lvl>
    <w:lvl w:ilvl="5" w:tplc="F620AFFE">
      <w:numFmt w:val="decimal"/>
      <w:lvlText w:val=""/>
      <w:lvlJc w:val="left"/>
    </w:lvl>
    <w:lvl w:ilvl="6" w:tplc="1D58FF0A">
      <w:numFmt w:val="decimal"/>
      <w:lvlText w:val=""/>
      <w:lvlJc w:val="left"/>
    </w:lvl>
    <w:lvl w:ilvl="7" w:tplc="D30AAD70">
      <w:numFmt w:val="decimal"/>
      <w:lvlText w:val=""/>
      <w:lvlJc w:val="left"/>
    </w:lvl>
    <w:lvl w:ilvl="8" w:tplc="51D60822">
      <w:numFmt w:val="decimal"/>
      <w:lvlText w:val=""/>
      <w:lvlJc w:val="left"/>
    </w:lvl>
  </w:abstractNum>
  <w:abstractNum w:abstractNumId="2" w15:restartNumberingAfterBreak="0">
    <w:nsid w:val="6F9D17B0"/>
    <w:multiLevelType w:val="hybridMultilevel"/>
    <w:tmpl w:val="43489C40"/>
    <w:lvl w:ilvl="0" w:tplc="B1045D74">
      <w:start w:val="1"/>
      <w:numFmt w:val="bullet"/>
      <w:lvlText w:val="●"/>
      <w:lvlJc w:val="left"/>
      <w:pPr>
        <w:ind w:left="720" w:hanging="360"/>
      </w:pPr>
    </w:lvl>
    <w:lvl w:ilvl="1" w:tplc="9F7A8424">
      <w:start w:val="1"/>
      <w:numFmt w:val="bullet"/>
      <w:lvlText w:val="○"/>
      <w:lvlJc w:val="left"/>
      <w:pPr>
        <w:ind w:left="1440" w:hanging="360"/>
      </w:pPr>
    </w:lvl>
    <w:lvl w:ilvl="2" w:tplc="D8B06ACE">
      <w:start w:val="1"/>
      <w:numFmt w:val="bullet"/>
      <w:lvlText w:val="■"/>
      <w:lvlJc w:val="left"/>
      <w:pPr>
        <w:ind w:left="2160" w:hanging="360"/>
      </w:pPr>
    </w:lvl>
    <w:lvl w:ilvl="3" w:tplc="BE24020E">
      <w:start w:val="1"/>
      <w:numFmt w:val="bullet"/>
      <w:lvlText w:val="●"/>
      <w:lvlJc w:val="left"/>
      <w:pPr>
        <w:ind w:left="2880" w:hanging="360"/>
      </w:pPr>
    </w:lvl>
    <w:lvl w:ilvl="4" w:tplc="4D646D88">
      <w:start w:val="1"/>
      <w:numFmt w:val="bullet"/>
      <w:lvlText w:val="○"/>
      <w:lvlJc w:val="left"/>
      <w:pPr>
        <w:ind w:left="3600" w:hanging="360"/>
      </w:pPr>
    </w:lvl>
    <w:lvl w:ilvl="5" w:tplc="5202A3BA">
      <w:start w:val="1"/>
      <w:numFmt w:val="bullet"/>
      <w:lvlText w:val="■"/>
      <w:lvlJc w:val="left"/>
      <w:pPr>
        <w:ind w:left="4320" w:hanging="360"/>
      </w:pPr>
    </w:lvl>
    <w:lvl w:ilvl="6" w:tplc="91EC887E">
      <w:start w:val="1"/>
      <w:numFmt w:val="bullet"/>
      <w:lvlText w:val="●"/>
      <w:lvlJc w:val="left"/>
      <w:pPr>
        <w:ind w:left="5040" w:hanging="360"/>
      </w:pPr>
    </w:lvl>
    <w:lvl w:ilvl="7" w:tplc="CEC4AF20">
      <w:start w:val="1"/>
      <w:numFmt w:val="bullet"/>
      <w:lvlText w:val="●"/>
      <w:lvlJc w:val="left"/>
      <w:pPr>
        <w:ind w:left="5760" w:hanging="360"/>
      </w:pPr>
    </w:lvl>
    <w:lvl w:ilvl="8" w:tplc="E06638EE">
      <w:start w:val="1"/>
      <w:numFmt w:val="bullet"/>
      <w:lvlText w:val="●"/>
      <w:lvlJc w:val="left"/>
      <w:pPr>
        <w:ind w:left="6480" w:hanging="360"/>
      </w:pPr>
    </w:lvl>
  </w:abstractNum>
  <w:num w:numId="1" w16cid:durableId="435903953">
    <w:abstractNumId w:val="2"/>
    <w:lvlOverride w:ilvl="0">
      <w:startOverride w:val="1"/>
    </w:lvlOverride>
  </w:num>
  <w:num w:numId="2" w16cid:durableId="20381138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0BB"/>
    <w:rsid w:val="008C3C2D"/>
    <w:rsid w:val="00AB40BB"/>
    <w:rsid w:val="00CA07C5"/>
    <w:rsid w:val="00F47746"/>
    <w:rsid w:val="2D81F13D"/>
    <w:rsid w:val="339F73B9"/>
    <w:rsid w:val="7FB64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ABF37"/>
  <w15:docId w15:val="{7B4F0D40-5AA6-4952-9068-3D4A7F41C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2761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E276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2809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4D962E304F48408B559D12E6518191" ma:contentTypeVersion="11" ma:contentTypeDescription="Create a new document." ma:contentTypeScope="" ma:versionID="3e875d0684d6ce305f84f3cfbb498e96">
  <xsd:schema xmlns:xsd="http://www.w3.org/2001/XMLSchema" xmlns:xs="http://www.w3.org/2001/XMLSchema" xmlns:p="http://schemas.microsoft.com/office/2006/metadata/properties" xmlns:ns2="83b107dc-5e78-46c4-b095-8bcf07b9a330" targetNamespace="http://schemas.microsoft.com/office/2006/metadata/properties" ma:root="true" ma:fieldsID="80cf566a3e5fccd38fbd96b262d8edd8" ns2:_="">
    <xsd:import namespace="83b107dc-5e78-46c4-b095-8bcf07b9a3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Category" minOccurs="0"/>
                <xsd:element ref="ns2:Tag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107dc-5e78-46c4-b095-8bcf07b9a3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Category" ma:index="11" nillable="true" ma:displayName="Category" ma:format="Dropdown" ma:internalName="Category">
      <xsd:simpleType>
        <xsd:restriction base="dms:Choice">
          <xsd:enumeration value="Denodo"/>
          <xsd:enumeration value="Dataiku"/>
          <xsd:enumeration value="Choice 3"/>
        </xsd:restriction>
      </xsd:simpleType>
    </xsd:element>
    <xsd:element name="Tag" ma:index="12" nillable="true" ma:displayName="Tag" ma:format="Dropdown" ma:internalName="Tag">
      <xsd:simpleType>
        <xsd:restriction base="dms:Text">
          <xsd:maxLength value="255"/>
        </xsd:restriction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f2f465-d6d6-47a4-9bc8-5f8a5edb2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ategory xmlns="83b107dc-5e78-46c4-b095-8bcf07b9a330" xsi:nil="true"/>
    <Tag xmlns="83b107dc-5e78-46c4-b095-8bcf07b9a330" xsi:nil="true"/>
    <lcf76f155ced4ddcb4097134ff3c332f xmlns="83b107dc-5e78-46c4-b095-8bcf07b9a3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D71CE90-0719-45BF-AD09-A9DC31E434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107dc-5e78-46c4-b095-8bcf07b9a3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B7055B6-2469-4C79-8B44-AF908439600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37B90F-F61E-476B-9E56-87CD6157882E}">
  <ds:schemaRefs>
    <ds:schemaRef ds:uri="http://schemas.microsoft.com/office/2006/metadata/properties"/>
    <ds:schemaRef ds:uri="http://schemas.microsoft.com/office/infopath/2007/PartnerControls"/>
    <ds:schemaRef ds:uri="83b107dc-5e78-46c4-b095-8bcf07b9a330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FSRE Core Engine - Annex C - Process Flows</dc:title>
  <dc:creator>SCIENTE</dc:creator>
  <lastModifiedBy>Sandra Heng</lastModifiedBy>
  <revision>5</revision>
  <dcterms:created xsi:type="dcterms:W3CDTF">2026-06-13T11:22:00.0000000Z</dcterms:created>
  <dcterms:modified xsi:type="dcterms:W3CDTF">2026-06-15T09:18:28.8022640Z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0x010100D04D962E304F48408B559D12E6518191</vt:lpwstr>
  </property>
  <property fmtid="{D5CDD505-2E9C-101B-9397-08002B2CF9AE}" pid="3" name="MediaServiceImageTags">
    <vt:lpwstr/>
  </property>
</Properties>
</file>