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0A2540"/>
          <w:sz w:val="36"/>
          <w:szCs w:val="36"/>
        </w:rPr>
        <w:t xml:space="preserve">FINANCIAL STATEMENT RISK ENGINE (FSRE)</w:t>
      </w:r>
    </w:p>
    <w:p>
      <w:pPr>
        <w:spacing w:after="80" w:before="0"/>
        <w:jc w:val="center"/>
      </w:pPr>
      <w:r>
        <w:rPr>
          <w:b/>
          <w:bCs/>
          <w:color w:val="1B6CA8"/>
          <w:sz w:val="28"/>
          <w:szCs w:val="28"/>
        </w:rPr>
        <w:t xml:space="preserve">FUNCTIONAL REQUIREMENTS SPECIFICATION</w:t>
      </w:r>
    </w:p>
    <w:p>
      <w:pPr>
        <w:spacing w:after="60" w:before="0"/>
        <w:jc w:val="center"/>
      </w:pPr>
      <w:r>
        <w:rPr>
          <w:i/>
          <w:iCs/>
          <w:color w:val="1A3F6F"/>
          <w:sz w:val="22"/>
          <w:szCs w:val="22"/>
        </w:rPr>
        <w:t xml:space="preserve">Annexure C — Singapore Market, Listed Companies</w:t>
      </w:r>
    </w:p>
    <w:p>
      <w:pPr>
        <w:spacing w:after="40" w:before="0"/>
        <w:jc w:val="center"/>
      </w:pPr>
      <w:r>
        <w:rPr>
          <w:i/>
          <w:iCs/>
          <w:color w:val="1B6CA8"/>
          <w:sz w:val="20"/>
          <w:szCs w:val="20"/>
        </w:rPr>
        <w:t xml:space="preserve">Engineering Edition — Detailed Business Rules for Core Engine Build</w:t>
      </w:r>
    </w:p>
    <w:p>
      <w:pPr>
        <w:spacing w:after="480" w:before="0"/>
        <w:jc w:val="center"/>
      </w:pPr>
      <w:r>
        <w:rPr>
          <w:color w:val="D5DCE4"/>
          <w:sz w:val="18"/>
          <w:szCs w:val="18"/>
        </w:rPr>
        <w:t xml:space="preserve">Version 2.0  |  June 2026  |  CONFIDENTIAL DRAFT</w:t>
      </w:r>
    </w:p>
    <w:p>
      <w:pPr>
        <w:spacing w:after="80" w:before="80"/>
        <w:ind w:left="360"/>
      </w:pPr>
      <w:r>
        <w:rPr>
          <w:b/>
          <w:bCs/>
          <w:color w:val="C7600A"/>
          <w:sz w:val="18"/>
          <w:szCs w:val="18"/>
        </w:rPr>
        <w:t xml:space="preserve">⚠  Note: </w:t>
      </w:r>
      <w:r>
        <w:rPr>
          <w:i/>
          <w:iCs/>
          <w:color w:val="C7600A"/>
          <w:sz w:val="18"/>
          <w:szCs w:val="18"/>
        </w:rPr>
        <w:t xml:space="preserve">This document assumes no prior accounting or finance background. Every business rule includes: (1) what financial concept is being measured, (2) the exact formula using financial statement line items, (3) a plain-English explanation of why fraudsters manipulate this number, and (4) a fully worked numeric example with invented sample figures. All MAS Notice numbers, SGX Rule references, and accounting standard citations reflect the regulatory position as at June 2026 and should be verified against current published versions before use in production.</w:t>
      </w:r>
    </w:p>
    <w:p>
      <w:pPr>
        <w:spacing w:after="80" w:before="80"/>
        <w:ind w:left="360"/>
      </w:pPr>
      <w:r>
        <w:rPr>
          <w:b/>
          <w:bCs/>
          <w:color w:val="C7600A"/>
          <w:sz w:val="18"/>
          <w:szCs w:val="18"/>
        </w:rPr>
        <w:t xml:space="preserve">⚠  Scope: </w:t>
      </w:r>
      <w:r>
        <w:rPr>
          <w:i/>
          <w:iCs/>
          <w:color w:val="C7600A"/>
          <w:sz w:val="18"/>
          <w:szCs w:val="18"/>
        </w:rPr>
        <w:t xml:space="preserve">This document covers SGX-listed companies only (Mainboard and Catalist). Non-listed companies are out of scope for the current build phase and will be addressed in a separate annexure if required.</w:t>
      </w:r>
    </w:p>
    <w:p>
      <w:pPr>
        <w:spacing w:after="60" w:before="60"/>
      </w:pPr>
      <w:r>
        <w:t xml:space="preserve"/>
      </w:r>
    </w:p>
    <w:p>
      <w:pPr>
        <w:pBdr>
          <w:bottom w:val="single" w:color="D5DCE4" w:sz="4"/>
        </w:pBdr>
        <w:spacing w:after="120" w:before="120"/>
      </w:pPr>
      <w:r>
        <w:t xml:space="preserve"/>
      </w:r>
    </w:p>
    <w:p>
      <w:pPr>
        <w:pStyle w:val="Heading1"/>
        <w:spacing w:after="120" w:before="240"/>
      </w:pPr>
      <w:r>
        <w:rPr>
          <w:b/>
          <w:bCs/>
          <w:color w:val="0A2540"/>
          <w:sz w:val="28"/>
          <w:szCs w:val="28"/>
        </w:rPr>
        <w:t xml:space="preserve">0.  HOW TO READ THIS DOCUMENT (START HERE)</w:t>
      </w:r>
    </w:p>
    <w:p>
      <w:pPr>
        <w:spacing w:after="120" w:before="0"/>
      </w:pPr>
      <w:r>
        <w:rPr>
          <w:color w:val="000000"/>
          <w:sz w:val="20"/>
          <w:szCs w:val="20"/>
        </w:rPr>
        <w:t xml:space="preserve">This section explains the four building blocks every business rule in this document is made of. Once you understand these four blocks, every red flag in Section 2 will follow the same predictable pattern.</w:t>
      </w:r>
    </w:p>
    <w:p>
      <w:pPr>
        <w:spacing w:after="60" w:before="160"/>
      </w:pPr>
      <w:r>
        <w:rPr>
          <w:b/>
          <w:bCs/>
          <w:color w:val="1A3F6F"/>
          <w:sz w:val="20"/>
          <w:szCs w:val="20"/>
        </w:rPr>
        <w:t xml:space="preserve">Building Block 1 — The Financial Statements</w:t>
      </w:r>
    </w:p>
    <w:p>
      <w:pPr>
        <w:spacing w:after="120" w:before="0"/>
      </w:pPr>
      <w:r>
        <w:rPr>
          <w:color w:val="000000"/>
          <w:sz w:val="20"/>
          <w:szCs w:val="20"/>
        </w:rPr>
        <w:t xml:space="preserve">A listed company publishes three core financial statements every reporting period (annually, and half-yearly for most SGX issuers). Almost every red flag in this document is computed from line items in these three documents:</w:t>
      </w:r>
    </w:p>
    <w:p>
      <w:pPr>
        <w:spacing w:after="40" w:before="40"/>
        <w:ind w:left="360" w:hanging="280"/>
      </w:pPr>
      <w:r>
        <w:rPr>
          <w:color w:val="000000"/>
          <w:sz w:val="20"/>
          <w:szCs w:val="20"/>
        </w:rPr>
        <w:t xml:space="preserve">•  Income Statement (also called Profit &amp; Loss or P&amp;L) — shows revenue earned and expenses incurred over a period (e.g., for the year). Key line items: Revenue, Cost of Goods Sold, Gross Profit, Operating Expenses, Net Profit.</w:t>
      </w:r>
    </w:p>
    <w:p>
      <w:pPr>
        <w:spacing w:after="40" w:before="40"/>
        <w:ind w:left="360" w:hanging="280"/>
      </w:pPr>
      <w:r>
        <w:rPr>
          <w:color w:val="000000"/>
          <w:sz w:val="20"/>
          <w:szCs w:val="20"/>
        </w:rPr>
        <w:t xml:space="preserve">•  Balance Sheet (also called Statement of Financial Position) — shows what the company owns (assets) and owes (liabilities) at a single point in time (a snapshot, not a period). Key line items: Cash, Accounts Receivable, Inventory, Total Assets, Accounts Payable, Total Liabilities, Equity.</w:t>
      </w:r>
    </w:p>
    <w:p>
      <w:pPr>
        <w:spacing w:after="40" w:before="40"/>
        <w:ind w:left="360" w:hanging="280"/>
      </w:pPr>
      <w:r>
        <w:rPr>
          <w:color w:val="000000"/>
          <w:sz w:val="20"/>
          <w:szCs w:val="20"/>
        </w:rPr>
        <w:t xml:space="preserve">•  Cash Flow Statement — shows actual cash moving in and out, split into three activities: Operating (day-to-day business), Investing (buying/selling assets), and Financing (borrowing, repaying debt, issuing shares).</w:t>
      </w:r>
    </w:p>
    <w:p>
      <w:pPr>
        <w:spacing w:after="120" w:before="0"/>
      </w:pPr>
      <w:r>
        <w:rPr>
          <w:i/>
          <w:iCs/>
          <w:color w:val="1A3F6F"/>
          <w:sz w:val="20"/>
          <w:szCs w:val="20"/>
        </w:rPr>
        <w:t xml:space="preserve">Why this matters for fraud detection: </w:t>
      </w:r>
      <w:r>
        <w:rPr>
          <w:color w:val="000000"/>
          <w:sz w:val="20"/>
          <w:szCs w:val="20"/>
        </w:rPr>
        <w:t xml:space="preserve">The Income Statement is the easiest statement to manipulate because it relies on judgement calls (e.g., "when exactly did we earn this revenue?"). The Cash Flow Statement is the hardest to fake because it should reflect real cash movements. This is why many of our rules compare the Income Statement against the Cash Flow Statement — a mismatch between "profit on paper" and "cash in the bank" is one of the strongest fraud signals that exists.</w:t>
      </w:r>
    </w:p>
    <w:p>
      <w:pPr>
        <w:spacing w:after="60" w:before="160"/>
      </w:pPr>
      <w:r>
        <w:rPr>
          <w:b/>
          <w:bCs/>
          <w:color w:val="1A3F6F"/>
          <w:sz w:val="20"/>
          <w:szCs w:val="20"/>
        </w:rPr>
        <w:t xml:space="preserve">Building Block 2 — Financial Ratios</w:t>
      </w:r>
    </w:p>
    <w:p>
      <w:pPr>
        <w:spacing w:after="120" w:before="0"/>
      </w:pPr>
      <w:r>
        <w:rPr>
          <w:color w:val="000000"/>
          <w:sz w:val="20"/>
          <w:szCs w:val="20"/>
        </w:rPr>
        <w:t xml:space="preserve">A ratio is simply one number divided by another, used to track a relationship over time or compare against peer companies. We don't look at raw numbers in isolation (e.g., "Revenue was $50 million") because raw numbers don't tell you if something is wrong. We look at ratios and how they change over time (e.g., "Revenue grew 20% but cash collected from customers only grew 2% — that gap is suspicious").</w:t>
      </w:r>
    </w:p>
    <w:p>
      <w:pPr>
        <w:spacing w:after="120" w:before="0"/>
      </w:pPr>
      <w:r>
        <w:rPr>
          <w:color w:val="000000"/>
          <w:sz w:val="20"/>
          <w:szCs w:val="20"/>
        </w:rPr>
        <w:t xml:space="preserve">Every ratio-based rule in Section 2 follows this exact pattern:</w:t>
      </w:r>
    </w:p>
    <w:p>
      <w:pPr>
        <w:spacing w:after="40" w:before="40"/>
        <w:ind w:left="360" w:hanging="280"/>
      </w:pPr>
      <w:r>
        <w:rPr>
          <w:color w:val="000000"/>
          <w:sz w:val="20"/>
          <w:szCs w:val="20"/>
        </w:rPr>
        <w:t xml:space="preserve">•  Step A — Pull the required line items from the financial statements for the current period and the prior period(s)</w:t>
      </w:r>
    </w:p>
    <w:p>
      <w:pPr>
        <w:spacing w:after="40" w:before="40"/>
        <w:ind w:left="360" w:hanging="280"/>
      </w:pPr>
      <w:r>
        <w:rPr>
          <w:color w:val="000000"/>
          <w:sz w:val="20"/>
          <w:szCs w:val="20"/>
        </w:rPr>
        <w:t xml:space="preserve">•  Step B — Compute the ratio using the formula given</w:t>
      </w:r>
    </w:p>
    <w:p>
      <w:pPr>
        <w:spacing w:after="40" w:before="40"/>
        <w:ind w:left="360" w:hanging="280"/>
      </w:pPr>
      <w:r>
        <w:rPr>
          <w:color w:val="000000"/>
          <w:sz w:val="20"/>
          <w:szCs w:val="20"/>
        </w:rPr>
        <w:t xml:space="preserve">•  Step C — Compare the ratio to: (i) its own value in prior periods (trend), and/or (ii) the same ratio for peer companies in the same sector (benchmark)</w:t>
      </w:r>
    </w:p>
    <w:p>
      <w:pPr>
        <w:spacing w:after="40" w:before="40"/>
        <w:ind w:left="360" w:hanging="280"/>
      </w:pPr>
      <w:r>
        <w:rPr>
          <w:color w:val="000000"/>
          <w:sz w:val="20"/>
          <w:szCs w:val="20"/>
        </w:rPr>
        <w:t xml:space="preserve">•  Step D — If the ratio crosses a defined threshold, raise a flag with a severity score</w:t>
      </w:r>
    </w:p>
    <w:p>
      <w:pPr>
        <w:spacing w:after="60" w:before="160"/>
      </w:pPr>
      <w:r>
        <w:rPr>
          <w:b/>
          <w:bCs/>
          <w:color w:val="1A3F6F"/>
          <w:sz w:val="20"/>
          <w:szCs w:val="20"/>
        </w:rPr>
        <w:t xml:space="preserve">Building Block 3 — Red Flags and Thresholds</w:t>
      </w:r>
    </w:p>
    <w:p>
      <w:pPr>
        <w:spacing w:after="120" w:before="0"/>
      </w:pPr>
      <w:r>
        <w:rPr>
          <w:color w:val="000000"/>
          <w:sz w:val="20"/>
          <w:szCs w:val="20"/>
        </w:rPr>
        <w:t xml:space="preserve">A red flag is a specific, testable condition (e.g., "Days Sales Outstanding increased by more than 20 days year-on-year"). Each red flag in this document specifies an exact, numeric threshold so that it can be coded as a rule without requiring judgement calls by the engine. Where the document says "flag when X", that X is the literal condition your code should test.</w:t>
      </w:r>
    </w:p>
    <w:p>
      <w:pPr>
        <w:spacing w:after="60" w:before="160"/>
      </w:pPr>
      <w:r>
        <w:rPr>
          <w:b/>
          <w:bCs/>
          <w:color w:val="1A3F6F"/>
          <w:sz w:val="20"/>
          <w:szCs w:val="20"/>
        </w:rPr>
        <w:t xml:space="preserve">Building Block 4 — Risk Scoring</w:t>
      </w:r>
    </w:p>
    <w:p>
      <w:pPr>
        <w:spacing w:after="120" w:before="0"/>
      </w:pPr>
      <w:r>
        <w:rPr>
          <w:color w:val="000000"/>
          <w:sz w:val="20"/>
          <w:szCs w:val="20"/>
        </w:rPr>
        <w:t xml:space="preserve">Each individual red flag carries an indicator-level severity weight (LOW / MEDIUM / HIGH / CRITICAL — see Section 2.7). The engine combines all triggered flags for an entity into a single overall risk tier using the aggregation rules in Section 2.7. No single rule should be coded in isolation from this scoring framework — every rule must emit a structured result that the scoring engine can consume.</w:t>
      </w:r>
    </w:p>
    <w:p>
      <w:pPr>
        <w:spacing w:after="60" w:before="60"/>
      </w:pPr>
      <w:r>
        <w:t xml:space="preserve"/>
      </w:r>
    </w:p>
    <w:p>
      <w:pPr>
        <w:shd w:fill="0A2540" w:val="clear"/>
        <w:spacing w:after="80" w:before="240"/>
      </w:pPr>
      <w:r>
        <w:rPr>
          <w:b/>
          <w:bCs/>
          <w:color w:val="FFFFFF"/>
          <w:sz w:val="22"/>
          <w:szCs w:val="22"/>
        </w:rPr>
        <w:t xml:space="preserve">  Standard Output Format for Every Rule</w:t>
      </w:r>
    </w:p>
    <w:p>
      <w:pPr>
        <w:spacing w:after="120" w:before="0"/>
      </w:pPr>
      <w:r>
        <w:rPr>
          <w:color w:val="000000"/>
          <w:sz w:val="20"/>
          <w:szCs w:val="20"/>
        </w:rPr>
        <w:t xml:space="preserve">To keep engineering consistent, every red flag detector in Section 2 must return a result object with this exact structure. This is the contract between each individual detection rule and the central scoring engine: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Field</w:t>
            </w:r>
          </w:p>
        </w:tc>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Type</w:t>
            </w:r>
          </w:p>
        </w:tc>
        <w:tc>
          <w:tcPr>
            <w:tcW w:type="dxa" w:w="4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Example Value</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indicator_id</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string</w:t>
            </w:r>
          </w:p>
        </w:tc>
        <w:tc>
          <w:tcPr>
            <w:tcW w:type="dxa" w:w="4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"FIN-REV-001"</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indicator_name</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string</w:t>
            </w:r>
          </w:p>
        </w:tc>
        <w:tc>
          <w:tcPr>
            <w:tcW w:type="dxa" w:w="4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"Receivables growth outpacing revenue growth"</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category</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string</w:t>
            </w:r>
          </w:p>
        </w:tc>
        <w:tc>
          <w:tcPr>
            <w:tcW w:type="dxa" w:w="4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"Revenue Manipulation"</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triggered</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boolean</w:t>
            </w:r>
          </w:p>
        </w:tc>
        <w:tc>
          <w:tcPr>
            <w:tcW w:type="dxa" w:w="4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true</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severity</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enum</w:t>
            </w:r>
          </w:p>
        </w:tc>
        <w:tc>
          <w:tcPr>
            <w:tcW w:type="dxa" w:w="4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"HIGH"</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computed_value</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c>
          <w:tcPr>
            <w:tcW w:type="dxa" w:w="4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0.23 (i.e., 23% gap)</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threshold_value</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c>
          <w:tcPr>
            <w:tcW w:type="dxa" w:w="4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0.15 (i.e., 15% threshold)</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period</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string</w:t>
            </w:r>
          </w:p>
        </w:tc>
        <w:tc>
          <w:tcPr>
            <w:tcW w:type="dxa" w:w="4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"FY2025"</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source_documents</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array of strings</w:t>
            </w:r>
          </w:p>
        </w:tc>
        <w:tc>
          <w:tcPr>
            <w:tcW w:type="dxa" w:w="4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["Annual Report FY2025, Note 12", "Annual Report FY2024, Note 12"]</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explanation</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string</w:t>
            </w:r>
          </w:p>
        </w:tc>
        <w:tc>
          <w:tcPr>
            <w:tcW w:type="dxa" w:w="4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Plain-language sentence describing why this was flagged (auto-generated from a template)</w:t>
            </w:r>
          </w:p>
        </w:tc>
      </w:tr>
    </w:tbl>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1"/>
        <w:spacing w:after="120" w:before="240"/>
      </w:pPr>
      <w:r>
        <w:rPr>
          <w:b/>
          <w:bCs/>
          <w:color w:val="0A2540"/>
          <w:sz w:val="28"/>
          <w:szCs w:val="28"/>
        </w:rPr>
        <w:t xml:space="preserve">1.  PURPOSE AND SCOPE</w:t>
      </w:r>
    </w:p>
    <w:p>
      <w:pPr>
        <w:spacing w:after="120" w:before="0"/>
      </w:pPr>
      <w:r>
        <w:rPr>
          <w:color w:val="000000"/>
          <w:sz w:val="20"/>
          <w:szCs w:val="20"/>
        </w:rPr>
        <w:t xml:space="preserve">This Annexure sets out the detailed functional requirements for the Financial Statement Risk Engine (FSRE) Core Engine as it applies to SGX-listed companies. It is written for engineers and data scientists with no prior accounting or finance background, and provides sufficient detail to translate each business rule directly into code.</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00"/>
      </w:tblGrid>
      <w:tr>
        <w:trPr>
          <w:tblHeader/>
        </w:trPr>
        <w:tc>
          <w:tcPr>
            <w:tcW w:type="dxa" w:w="2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Framework</w:t>
            </w:r>
          </w:p>
        </w:tc>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Issuing Body</w:t>
            </w:r>
          </w:p>
        </w:tc>
        <w:tc>
          <w:tcPr>
            <w:tcW w:type="dxa" w:w="50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Relevance to FSRE</w:t>
            </w:r>
          </w:p>
        </w:tc>
      </w:tr>
      <w:tr>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Securities and Futures Act 2001 (SFA), as amended</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Parliament of Singapore</w:t>
            </w:r>
          </w:p>
        </w:tc>
        <w:tc>
          <w:tcPr>
            <w:tcW w:type="dxa" w:w="5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Governs market misconduct, insider trading, false trading, and disclosure obligations for listed companies</w:t>
            </w:r>
          </w:p>
        </w:tc>
      </w:tr>
      <w:tr>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MAS Notice 626 (Amendment, effective 1 July 2025) — AML/CFT for Banks</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Monetary Authority of Singapore</w:t>
            </w:r>
          </w:p>
        </w:tc>
        <w:tc>
          <w:tcPr>
            <w:tcW w:type="dxa" w:w="5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Sets KYB/CDD obligations that reference financial statement review for corporate counterparties</w:t>
            </w:r>
          </w:p>
        </w:tc>
      </w:tr>
      <w:tr>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MAS Notice FSM-N02 — COSMIC (effective 1 April 2024)</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Monetary Authority of Singapore</w:t>
            </w:r>
          </w:p>
        </w:tc>
        <w:tc>
          <w:tcPr>
            <w:tcW w:type="dxa" w:w="5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Defines a "red flag" framework for inter-bank information sharing on financial crime risk</w:t>
            </w:r>
          </w:p>
        </w:tc>
      </w:tr>
      <w:tr>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Mainboard Listing Rules (amended 29 October 2025)</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RegCo</w:t>
            </w:r>
          </w:p>
        </w:tc>
        <w:tc>
          <w:tcPr>
            <w:tcW w:type="dxa" w:w="5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Governs continuous disclosure, interested person transactions, related-party rules for Mainboard issuers</w:t>
            </w:r>
          </w:p>
        </w:tc>
      </w:tr>
      <w:tr>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SGX Catalist Rules</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SGX RegCo</w:t>
            </w:r>
          </w:p>
        </w:tc>
        <w:tc>
          <w:tcPr>
            <w:tcW w:type="dxa" w:w="5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Governs disclosure obligations for Catalist issuers; sponsor-driven regime</w:t>
            </w:r>
          </w:p>
        </w:tc>
      </w:tr>
      <w:tr>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Singapore Code of Corporate Governance 2018</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MAS / Corporate Governance Council</w:t>
            </w:r>
          </w:p>
        </w:tc>
        <w:tc>
          <w:tcPr>
            <w:tcW w:type="dxa" w:w="5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Defines board composition, audit committee, and related-party governance standards</w:t>
            </w:r>
          </w:p>
        </w:tc>
      </w:tr>
      <w:tr>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ISA 240 (current) / ISA 240 (Revised, effective for periods beginning 15 December 2026)</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IAASB / ISCA</w:t>
            </w:r>
          </w:p>
        </w:tc>
        <w:tc>
          <w:tcPr>
            <w:tcW w:type="dxa" w:w="5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International auditing standard on fraud risk; defines the standard red-flag taxonomy our rules are built from</w:t>
            </w:r>
          </w:p>
        </w:tc>
      </w:tr>
      <w:tr>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SFRS(I) — Singapore Financial Reporting Standards (International)</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Accounting Standards Council Singapore</w:t>
            </w:r>
          </w:p>
        </w:tc>
        <w:tc>
          <w:tcPr>
            <w:tcW w:type="dxa" w:w="5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Defines how each financial statement line item must be measured and disclosed; the basis for every formula below</w:t>
            </w:r>
          </w:p>
        </w:tc>
      </w:tr>
    </w:tbl>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1"/>
        <w:spacing w:after="120" w:before="240"/>
      </w:pPr>
      <w:r>
        <w:rPr>
          <w:b/>
          <w:bCs/>
          <w:color w:val="0A2540"/>
          <w:sz w:val="28"/>
          <w:szCs w:val="28"/>
        </w:rPr>
        <w:t xml:space="preserve">2.  LISTED COMPANIES — DETAILED BUSINESS RULES (SGX MAINBOARD AND CATALIST)</w:t>
      </w:r>
    </w:p>
    <w:p>
      <w:pPr>
        <w:pStyle w:val="Heading2"/>
        <w:spacing w:after="120" w:before="240"/>
      </w:pPr>
      <w:r>
        <w:rPr>
          <w:b/>
          <w:bCs/>
          <w:color w:val="0A2540"/>
          <w:sz w:val="24"/>
          <w:szCs w:val="24"/>
        </w:rPr>
        <w:t xml:space="preserve">2.1  Data Sources and Ingestion</w:t>
      </w:r>
    </w:p>
    <w:p>
      <w:pPr>
        <w:spacing w:after="120" w:before="0"/>
      </w:pPr>
      <w:r>
        <w:rPr>
          <w:color w:val="000000"/>
          <w:sz w:val="20"/>
          <w:szCs w:val="20"/>
        </w:rPr>
        <w:t xml:space="preserve">The engine ingests structured and unstructured data from the following sources. Each source should be built as a separate ingestion connector, normalising data into the common entity data model described in Section 2.1.1.</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900"/>
        <w:gridCol w:w="2800"/>
      </w:tblGrid>
      <w:tr>
        <w:trPr>
          <w:tblHeader/>
        </w:trPr>
        <w:tc>
          <w:tcPr>
            <w:tcW w:type="dxa" w:w="2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Source</w:t>
            </w:r>
          </w:p>
        </w:tc>
        <w:tc>
          <w:tcPr>
            <w:tcW w:type="dxa" w:w="29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What We Pull</w:t>
            </w:r>
          </w:p>
        </w:tc>
        <w:tc>
          <w:tcPr>
            <w:tcW w:type="dxa" w:w="19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Format Available</w:t>
            </w:r>
          </w:p>
        </w:tc>
        <w:tc>
          <w:tcPr>
            <w:tcW w:type="dxa" w:w="2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Suggested Ingestion Method</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SGXNET (SGX announcements portal)</w:t>
            </w:r>
          </w:p>
        </w:tc>
        <w:tc>
          <w:tcPr>
            <w:tcW w:type="dxa" w:w="2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Annual reports, half-year reports, all regulatory announcements, auditor changes, director changes, query responses</w:t>
            </w:r>
          </w:p>
        </w:tc>
        <w:tc>
          <w:tcPr>
            <w:tcW w:type="dxa" w:w="1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PDF, sometimes XBRL</w:t>
            </w:r>
          </w:p>
        </w:tc>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Scheduled scraper / API polling; PDF text + table extraction pipeline</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ACRA BizFile+</w:t>
            </w:r>
          </w:p>
        </w:tc>
        <w:tc>
          <w:tcPr>
            <w:tcW w:type="dxa" w:w="2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Company registration data, directors, shareholders, UBO/controllers register, registered address, charges</w:t>
            </w:r>
          </w:p>
        </w:tc>
        <w:tc>
          <w:tcPr>
            <w:tcW w:type="dxa" w:w="1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Structured API / web portal</w:t>
            </w:r>
          </w:p>
        </w:tc>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API integration (commercial ACRA data feed) or scheduled scrape</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MAS public enforcement register</w:t>
            </w:r>
          </w:p>
        </w:tc>
        <w:tc>
          <w:tcPr>
            <w:tcW w:type="dxa" w:w="2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Civil penalties, prohibition orders, composition penalties against entities or individuals</w:t>
            </w:r>
          </w:p>
        </w:tc>
        <w:tc>
          <w:tcPr>
            <w:tcW w:type="dxa" w:w="1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Web pages, PDF notices</w:t>
            </w:r>
          </w:p>
        </w:tc>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Scheduled scraper with entity name matching</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Court / CAD records</w:t>
            </w:r>
          </w:p>
        </w:tc>
        <w:tc>
          <w:tcPr>
            <w:tcW w:type="dxa" w:w="2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eLitigation portal records; CAD press releases</w:t>
            </w:r>
          </w:p>
        </w:tc>
        <w:tc>
          <w:tcPr>
            <w:tcW w:type="dxa" w:w="1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Web pages</w:t>
            </w:r>
          </w:p>
        </w:tc>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Scheduled scraper with entity/individual name matching</w:t>
            </w:r>
          </w:p>
        </w:tc>
      </w:tr>
      <w:tr>
        <w:tc>
          <w:tcPr>
            <w:tcW w:type="dxa" w:w="24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Licensed news API (e.g., Factiva, Bloomberg News)</w:t>
            </w:r>
          </w:p>
        </w:tc>
        <w:tc>
          <w:tcPr>
            <w:tcW w:type="dxa" w:w="2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Adverse media, investigative reports, analyst commentary</w:t>
            </w:r>
          </w:p>
        </w:tc>
        <w:tc>
          <w:tcPr>
            <w:tcW w:type="dxa" w:w="1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Structured API (JSON)</w:t>
            </w:r>
          </w:p>
        </w:tc>
        <w:tc>
          <w:tcPr>
            <w:tcW w:type="dxa" w:w="2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Direct API integration with keyword + entity tagging</w:t>
            </w:r>
          </w:p>
        </w:tc>
      </w:tr>
      <w:tr>
        <w:tc>
          <w:tcPr>
            <w:tcW w:type="dxa" w:w="24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market data</w:t>
            </w:r>
          </w:p>
        </w:tc>
        <w:tc>
          <w:tcPr>
            <w:tcW w:type="dxa" w:w="2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Daily price, volume, short-sell data</w:t>
            </w:r>
          </w:p>
        </w:tc>
        <w:tc>
          <w:tcPr>
            <w:tcW w:type="dxa" w:w="1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Structured API / data feed</w:t>
            </w:r>
          </w:p>
        </w:tc>
        <w:tc>
          <w:tcPr>
            <w:tcW w:type="dxa" w:w="2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Daily batch API pull</w:t>
            </w:r>
          </w:p>
        </w:tc>
      </w:tr>
    </w:tbl>
    <w:p>
      <w:pPr>
        <w:spacing w:after="60" w:before="60"/>
      </w:pPr>
      <w:r>
        <w:t xml:space="preserve"/>
      </w:r>
    </w:p>
    <w:p>
      <w:pPr>
        <w:spacing w:after="60" w:before="160"/>
      </w:pPr>
      <w:r>
        <w:rPr>
          <w:b/>
          <w:bCs/>
          <w:color w:val="1A3F6F"/>
          <w:sz w:val="20"/>
          <w:szCs w:val="20"/>
        </w:rPr>
        <w:t xml:space="preserve">2.1.1  Core Entity Data Model (what the engine needs to store per company)</w:t>
      </w:r>
    </w:p>
    <w:p>
      <w:pPr>
        <w:spacing w:after="120" w:before="0"/>
      </w:pPr>
      <w:r>
        <w:rPr>
          <w:color w:val="000000"/>
          <w:sz w:val="20"/>
          <w:szCs w:val="20"/>
        </w:rPr>
        <w:t xml:space="preserve">Before any rule can run, the engine needs a normalised data model per listed entity, populated period-by-period from the ingested sources above. The suggested minimum schema 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2000"/>
      </w:tblGrid>
      <w:tr>
        <w:trPr>
          <w:tblHeader/>
        </w:trPr>
        <w:tc>
          <w:tcPr>
            <w:tcW w:type="dxa" w:w="3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Field Name (suggested)</w:t>
            </w:r>
          </w:p>
        </w:tc>
        <w:tc>
          <w:tcPr>
            <w:tcW w:type="dxa" w:w="4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Where It Comes From</w:t>
            </w:r>
          </w:p>
        </w:tc>
        <w:tc>
          <w:tcPr>
            <w:tcW w:type="dxa" w:w="20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Data Type</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entity_id</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Internal unique identifier assigned at first ingestion</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string</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sgx_stock_code</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listing data</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string</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acra_uen</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ACRA BizFile+ (Unique Entity Number)</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string</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legal_name</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ACRA BizFile+ / SGX listing data</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string</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sector_classification</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SGX sector classification or SSIC code</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string</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board</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(Mainboard or Catalist)</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enum</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financial_periods[]</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Annual report / half-year report ingestion, one record per reporting period</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array of objects — see 2.1.2 below</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directors[]</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ACRA BizFile+, updated on SGXNET director change announcements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array of objects</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auditor_history[]</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SGXNET auditor appointment/resignation announcements</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array of objects</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related_party_register[]</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Derived: cross-reference of ACRA director/shareholder data against disclosed related parties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array of objects</w:t>
            </w:r>
          </w:p>
        </w:tc>
      </w:tr>
    </w:tbl>
    <w:p>
      <w:pPr>
        <w:spacing w:after="60" w:before="60"/>
      </w:pPr>
      <w:r>
        <w:t xml:space="preserve"/>
      </w:r>
    </w:p>
    <w:p>
      <w:pPr>
        <w:spacing w:after="60" w:before="160"/>
      </w:pPr>
      <w:r>
        <w:rPr>
          <w:b/>
          <w:bCs/>
          <w:color w:val="1A3F6F"/>
          <w:sz w:val="20"/>
          <w:szCs w:val="20"/>
        </w:rPr>
        <w:t xml:space="preserve">2.1.2  Financial Period Sub-Schema (one record per reporting period, per entity)</w:t>
      </w:r>
    </w:p>
    <w:p>
      <w:pPr>
        <w:spacing w:after="120" w:before="0"/>
      </w:pPr>
      <w:r>
        <w:rPr>
          <w:color w:val="000000"/>
          <w:sz w:val="20"/>
          <w:szCs w:val="20"/>
        </w:rPr>
        <w:t xml:space="preserve">This is the schema for each entry in financial_periods[] above. These are the exact line items every formula in Section 2.2–2.6 pulls from. Extract these from the Income Statement, Balance Sheet, and Cash Flow Statement in each annual/half-year 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2000"/>
      </w:tblGrid>
      <w:tr>
        <w:trPr>
          <w:tblHeader/>
        </w:trPr>
        <w:tc>
          <w:tcPr>
            <w:tcW w:type="dxa" w:w="3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Field Name (suggested)</w:t>
            </w:r>
          </w:p>
        </w:tc>
        <w:tc>
          <w:tcPr>
            <w:tcW w:type="dxa" w:w="4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Where It Comes From</w:t>
            </w:r>
          </w:p>
        </w:tc>
        <w:tc>
          <w:tcPr>
            <w:tcW w:type="dxa" w:w="20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Data Type</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period_label</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e.g. "FY2025", "H1FY2025"</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string</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period_end_date</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Cover page of financial statements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date</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revenue</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Income Statement — top line</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cost_of_goods_sold</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Income Statement</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gross_profit</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Income Statement (or computed: revenue − cost_of_goods_sold)</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net_profit</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Income Statement — bottom line</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accounts_receivable</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Balance Sheet — current assets</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inventory</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Balance Sheet — current assets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total_assets</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Balance Sheet</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intangible_assets_and_goodwill</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Balance Sheet — non-current assets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accounts_payable</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Balance Sheet — current liabilities</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total_liabilities</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Balance Sheet</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total_equity</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Balance Sheet</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cash_and_equivalents</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Balance Sheet — current assets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operating_cash_flow</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Cash Flow Statement — net cash from operating activities</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investing_cash_flow</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Cash Flow Statement — net cash from investing activities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financing_cash_flow</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Cash Flow Statement — net cash from financing activities</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related_party_receivables</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Notes to financial statements — related party disclosures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related_party_payables</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Notes to financial statements — related party disclosures</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provisions_and_contingent_liabilities</w:t>
            </w:r>
          </w:p>
        </w:tc>
        <w:tc>
          <w:tcPr>
            <w:tcW w:type="dxa" w:w="4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Notes to financial statements</w:t>
            </w:r>
          </w:p>
        </w:tc>
        <w:tc>
          <w:tcPr>
            <w:tcW w:type="dxa" w:w="2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number</w:t>
            </w:r>
          </w:p>
        </w:tc>
      </w:tr>
      <w:tr>
        <w:tc>
          <w:tcPr>
            <w:tcW w:type="dxa" w:w="3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auditor_opinion_type</w:t>
            </w:r>
          </w:p>
        </w:tc>
        <w:tc>
          <w:tcPr>
            <w:tcW w:type="dxa" w:w="4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Independent Auditor's Report — first page</w:t>
            </w:r>
          </w:p>
        </w:tc>
        <w:tc>
          <w:tcPr>
            <w:tcW w:type="dxa" w:w="2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enum: unqualified / emphasis_of_matter / qualified / adverse / disclaimer</w:t>
            </w:r>
          </w:p>
        </w:tc>
      </w:tr>
    </w:tbl>
    <w:p>
      <w:pPr>
        <w:spacing w:after="60" w:before="60"/>
      </w:pPr>
      <w:r>
        <w:t xml:space="preserve"/>
      </w:r>
    </w:p>
    <w:p>
      <w:pPr>
        <w:spacing w:after="60" w:before="60"/>
      </w:pPr>
      <w:r>
        <w:t xml:space="preserve"/>
      </w:r>
    </w:p>
    <w:p>
      <w:pPr>
        <w:pStyle w:val="Heading2"/>
        <w:spacing w:after="120" w:before="240"/>
      </w:pPr>
      <w:r>
        <w:rPr>
          <w:b/>
          <w:bCs/>
          <w:color w:val="0A2540"/>
          <w:sz w:val="24"/>
          <w:szCs w:val="24"/>
        </w:rPr>
        <w:t xml:space="preserve">2.2  Revenue and Income Manipulation Rules</w:t>
      </w:r>
    </w:p>
    <w:p>
      <w:pPr>
        <w:spacing w:after="120" w:before="0"/>
      </w:pPr>
      <w:r>
        <w:rPr>
          <w:i/>
          <w:iCs/>
          <w:color w:val="1A3F6F"/>
          <w:sz w:val="20"/>
          <w:szCs w:val="20"/>
        </w:rPr>
        <w:t xml:space="preserve">Why this category exists: </w:t>
      </w:r>
      <w:r>
        <w:rPr>
          <w:color w:val="000000"/>
          <w:sz w:val="20"/>
          <w:szCs w:val="20"/>
        </w:rPr>
        <w:t xml:space="preserve">Revenue is the single most commonly manipulated number in financial statement fraud, because it directly drives a company's share price and is the easiest line item to inflate through aggressive judgement calls rather than outright fabrication. ISA 240 — the global audit standard — formally presumes that every company carries a fraud risk in how it recognises revenue, which is why this is our largest rule category.</w:t>
      </w:r>
    </w:p>
    <w:p>
      <w:pPr>
        <w:spacing w:after="60" w:before="60"/>
      </w:pPr>
      <w:r>
        <w:t xml:space="preserve"/>
      </w:r>
    </w:p>
    <w:p>
      <w:pPr>
        <w:shd w:fill="0A2540" w:val="clear"/>
        <w:spacing w:after="80" w:before="240"/>
      </w:pPr>
      <w:r>
        <w:rPr>
          <w:b/>
          <w:bCs/>
          <w:color w:val="FFFFFF"/>
          <w:sz w:val="22"/>
          <w:szCs w:val="22"/>
        </w:rPr>
        <w:t xml:space="preserve">  RULE FIN-REV-001 — Receivables Growing Faster Than Revenue</w:t>
      </w:r>
    </w:p>
    <w:p>
      <w:pPr>
        <w:spacing w:after="120" w:before="0"/>
      </w:pPr>
      <w:r>
        <w:rPr>
          <w:color w:val="000000"/>
          <w:sz w:val="20"/>
          <w:szCs w:val="20"/>
        </w:rPr>
        <w:t xml:space="preserve">Accounts Receivable is money customers owe the company for goods/services already delivered but not yet paid for. If a company is recording fake sales, it often has to record a fake "customer owes us money" entry too — because there's no real cash coming in to balance the books. So watching whether receivables are growing much faster than revenue is one of the single best fraud signals.</w:t>
      </w:r>
    </w:p>
    <w:p>
      <w:pPr>
        <w:shd w:fill="EAEFF5" w:val="clear"/>
        <w:spacing w:after="0" w:before="100"/>
        <w:ind w:left="200" w:right="200"/>
      </w:pPr>
      <w:r>
        <w:rPr>
          <w:b/>
          <w:bCs/>
          <w:color w:val="1A6B3C"/>
          <w:sz w:val="18"/>
          <w:szCs w:val="18"/>
        </w:rPr>
        <w:t xml:space="preserve">FORMULA — Days Sales Outstanding (DSO)</w:t>
      </w:r>
    </w:p>
    <w:p>
      <w:pPr>
        <w:shd w:fill="EAEFF5" w:val="clear"/>
        <w:spacing w:after="80" w:before="40"/>
        <w:ind w:left="200" w:right="200"/>
      </w:pPr>
      <w:r>
        <w:rPr>
          <w:rFonts w:ascii="Consolas" w:cs="Consolas" w:eastAsia="Consolas" w:hAnsi="Consolas"/>
          <w:b/>
          <w:bCs/>
          <w:color w:val="0A2540"/>
          <w:sz w:val="19"/>
          <w:szCs w:val="19"/>
        </w:rPr>
        <w:t xml:space="preserve">DSO = Accounts Receivable ÷ (Revenue ÷ 365)</w:t>
      </w:r>
    </w:p>
    <w:p>
      <w:pPr>
        <w:shd w:fill="EAEFF5" w:val="clear"/>
        <w:spacing w:after="80" w:before="0"/>
        <w:ind w:left="200" w:right="200"/>
      </w:pPr>
      <w:r>
        <w:rPr>
          <w:b/>
          <w:bCs/>
          <w:color w:val="1A3F6F"/>
          <w:sz w:val="18"/>
          <w:szCs w:val="18"/>
        </w:rPr>
        <w:t xml:space="preserve">In plain terms: </w:t>
      </w:r>
      <w:r>
        <w:rPr>
          <w:color w:val="000000"/>
          <w:sz w:val="18"/>
          <w:szCs w:val="18"/>
        </w:rPr>
        <w:t xml:space="preserve">DSO tells you, on average, how many days it takes the company to collect cash after a sale. A rising DSO means customers are taking longer and longer to pay — or, more worryingly, that some of the "sales" never really happened and will never be paid.</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X — FY2024: Revenue = $100,000,000 ; Accounts Receivable = $13,700,000</w:t>
      </w:r>
    </w:p>
    <w:p>
      <w:pPr>
        <w:shd w:fill="EAEFF5" w:val="clear"/>
        <w:spacing w:after="20" w:before="0"/>
        <w:ind w:left="200" w:right="200"/>
      </w:pPr>
      <w:r>
        <w:rPr>
          <w:rFonts w:ascii="Consolas" w:cs="Consolas" w:eastAsia="Consolas" w:hAnsi="Consolas"/>
          <w:b w:val="false"/>
          <w:bCs w:val="false"/>
          <w:color w:val="000000"/>
          <w:sz w:val="18"/>
          <w:szCs w:val="18"/>
        </w:rPr>
        <w:t xml:space="preserve">DSO (FY2024) = 13,700,000 ÷ (100,000,000 ÷ 365) = 13,700,000 ÷ 273,973 = 50 days</w:t>
      </w:r>
    </w:p>
    <w:p>
      <w:pPr>
        <w:shd w:fill="EAEFF5" w:val="clear"/>
        <w:spacing w:after="20" w:before="0"/>
        <w:ind w:left="200" w:right="200"/>
      </w:pPr>
      <w:r>
        <w:rPr>
          <w:rFonts w:ascii="Consolas" w:cs="Consolas" w:eastAsia="Consolas" w:hAnsi="Consolas"/>
          <w:b w:val="false"/>
          <w:bCs w:val="false"/>
          <w:color w:val="000000"/>
          <w:sz w:val="18"/>
          <w:szCs w:val="18"/>
        </w:rPr>
        <w:t xml:space="preserve">Company X — FY2025: Revenue = $115,000,000 (up 15%) ; Accounts Receivable = $23,600,000</w:t>
      </w:r>
    </w:p>
    <w:p>
      <w:pPr>
        <w:shd w:fill="EAEFF5" w:val="clear"/>
        <w:spacing w:after="20" w:before="0"/>
        <w:ind w:left="200" w:right="200"/>
      </w:pPr>
      <w:r>
        <w:rPr>
          <w:rFonts w:ascii="Consolas" w:cs="Consolas" w:eastAsia="Consolas" w:hAnsi="Consolas"/>
          <w:b w:val="false"/>
          <w:bCs w:val="false"/>
          <w:color w:val="000000"/>
          <w:sz w:val="18"/>
          <w:szCs w:val="18"/>
        </w:rPr>
        <w:t xml:space="preserve">DSO (FY2025) = 23,600,000 ÷ (115,000,000 ÷ 365) = 23,600,000 ÷ 315,068 = 74.9 days</w:t>
      </w:r>
    </w:p>
    <w:p>
      <w:pPr>
        <w:shd w:fill="EAEFF5" w:val="clear"/>
        <w:spacing w:after="100" w:before="0"/>
        <w:ind w:left="200" w:right="200"/>
      </w:pPr>
      <w:r>
        <w:rPr>
          <w:rFonts w:ascii="Calibri" w:cs="Calibri" w:eastAsia="Calibri" w:hAnsi="Calibri"/>
          <w:b/>
          <w:bCs/>
          <w:color w:val="000000"/>
          <w:sz w:val="18"/>
          <w:szCs w:val="18"/>
        </w:rPr>
        <w:t xml:space="preserve">Result: DSO jumped from 50 days to ~75 days — a 25-day increase — even though revenue only grew 15%. This is a red flag: customers are taking far longer to pay, or some revenue may not be real.</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For each entity, for the current period and the immediately prior period, retrieve revenue and accounts_receivable from the financial_periods[] array</w:t>
      </w:r>
    </w:p>
    <w:p>
      <w:pPr>
        <w:shd w:fill="FFF8E8" w:val="clear"/>
        <w:spacing w:after="20" w:before="20"/>
        <w:ind w:left="400" w:hanging="200"/>
      </w:pPr>
      <w:r>
        <w:rPr>
          <w:b/>
          <w:bCs/>
          <w:color w:val="C7600A"/>
          <w:sz w:val="18"/>
          <w:szCs w:val="18"/>
        </w:rPr>
        <w:t xml:space="preserve">2.  </w:t>
      </w:r>
      <w:r>
        <w:rPr>
          <w:color w:val="000000"/>
          <w:sz w:val="18"/>
          <w:szCs w:val="18"/>
        </w:rPr>
        <w:t xml:space="preserve">Compute DSO for both periods using the formula above</w:t>
      </w:r>
    </w:p>
    <w:p>
      <w:pPr>
        <w:shd w:fill="FFF8E8" w:val="clear"/>
        <w:spacing w:after="20" w:before="20"/>
        <w:ind w:left="400" w:hanging="200"/>
      </w:pPr>
      <w:r>
        <w:rPr>
          <w:b/>
          <w:bCs/>
          <w:color w:val="C7600A"/>
          <w:sz w:val="18"/>
          <w:szCs w:val="18"/>
        </w:rPr>
        <w:t xml:space="preserve">3.  </w:t>
      </w:r>
      <w:r>
        <w:rPr>
          <w:color w:val="000000"/>
          <w:sz w:val="18"/>
          <w:szCs w:val="18"/>
        </w:rPr>
        <w:t xml:space="preserve">Compute the change: dso_change_days = DSO_current − DSO_prior</w:t>
      </w:r>
    </w:p>
    <w:p>
      <w:pPr>
        <w:shd w:fill="FFF8E8" w:val="clear"/>
        <w:spacing w:after="20" w:before="20"/>
        <w:ind w:left="400" w:hanging="200"/>
      </w:pPr>
      <w:r>
        <w:rPr>
          <w:b/>
          <w:bCs/>
          <w:color w:val="C7600A"/>
          <w:sz w:val="18"/>
          <w:szCs w:val="18"/>
        </w:rPr>
        <w:t xml:space="preserve">4.  </w:t>
      </w:r>
      <w:r>
        <w:rPr>
          <w:color w:val="000000"/>
          <w:sz w:val="18"/>
          <w:szCs w:val="18"/>
        </w:rPr>
        <w:t xml:space="preserve">IF dso_change_days &gt; 20 days AND the entity has not disclosed a specific commercial explanation (e.g., new credit terms, expansion into markets with longer payment cycles) in the notes to the financial statements → TRIGGER FIN-REV-001 at severity HIGH</w:t>
      </w:r>
    </w:p>
    <w:p>
      <w:pPr>
        <w:shd w:fill="FFF8E8" w:val="clear"/>
        <w:spacing w:after="20" w:before="20"/>
        <w:ind w:left="400" w:hanging="200"/>
      </w:pPr>
      <w:r>
        <w:rPr>
          <w:b/>
          <w:bCs/>
          <w:color w:val="C7600A"/>
          <w:sz w:val="18"/>
          <w:szCs w:val="18"/>
        </w:rPr>
        <w:t xml:space="preserve">5.  </w:t>
      </w:r>
      <w:r>
        <w:rPr>
          <w:color w:val="000000"/>
          <w:sz w:val="18"/>
          <w:szCs w:val="18"/>
        </w:rPr>
        <w:t xml:space="preserve">IF dso_change_days is between 10 and 20 days → TRIGGER FIN-REV-001 at severity MEDIUM</w:t>
      </w:r>
    </w:p>
    <w:p>
      <w:pPr>
        <w:shd w:fill="FFF8E8" w:val="clear"/>
        <w:spacing w:after="100" w:before="20"/>
        <w:ind w:left="400" w:hanging="200"/>
      </w:pPr>
      <w:r>
        <w:rPr>
          <w:b/>
          <w:bCs/>
          <w:color w:val="C7600A"/>
          <w:sz w:val="18"/>
          <w:szCs w:val="18"/>
        </w:rPr>
        <w:t xml:space="preserve">6.  </w:t>
      </w:r>
      <w:r>
        <w:rPr>
          <w:color w:val="000000"/>
          <w:sz w:val="18"/>
          <w:szCs w:val="18"/>
        </w:rPr>
        <w:t xml:space="preserve">Store computed DSO values for both periods in computed_value and threshold_value fields of the result object</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FIN-REV-002 — Related-Party Revenue at Non-Arm's-Length Pricing</w:t>
      </w:r>
    </w:p>
    <w:p>
      <w:pPr>
        <w:spacing w:after="120" w:before="0"/>
      </w:pPr>
      <w:r>
        <w:rPr>
          <w:color w:val="000000"/>
          <w:sz w:val="20"/>
          <w:szCs w:val="20"/>
        </w:rPr>
        <w:t xml:space="preserve">"Related party" means an entity connected to the company through common ownership or directorship (e.g., a company owned by the CEO's brother). "Arm's length" means a transaction priced as if the two parties were strangers negotiating fairly. When a company books significant revenue from a related party at an unusually favourable price, it can artificially inflate revenue without any genuine third-party demand behind it.</w:t>
      </w:r>
    </w:p>
    <w:p>
      <w:pPr>
        <w:shd w:fill="EAEFF5" w:val="clear"/>
        <w:spacing w:after="0" w:before="100"/>
        <w:ind w:left="200" w:right="200"/>
      </w:pPr>
      <w:r>
        <w:rPr>
          <w:b/>
          <w:bCs/>
          <w:color w:val="1A6B3C"/>
          <w:sz w:val="18"/>
          <w:szCs w:val="18"/>
        </w:rPr>
        <w:t xml:space="preserve">FORMULA — Related-Party Revenue Concentration</w:t>
      </w:r>
    </w:p>
    <w:p>
      <w:pPr>
        <w:shd w:fill="EAEFF5" w:val="clear"/>
        <w:spacing w:after="80" w:before="40"/>
        <w:ind w:left="200" w:right="200"/>
      </w:pPr>
      <w:r>
        <w:rPr>
          <w:rFonts w:ascii="Consolas" w:cs="Consolas" w:eastAsia="Consolas" w:hAnsi="Consolas"/>
          <w:b/>
          <w:bCs/>
          <w:color w:val="0A2540"/>
          <w:sz w:val="19"/>
          <w:szCs w:val="19"/>
        </w:rPr>
        <w:t xml:space="preserve">RPT_Revenue_Pct = Related-Party Revenue ÷ Total Revenue</w:t>
      </w:r>
    </w:p>
    <w:p>
      <w:pPr>
        <w:shd w:fill="EAEFF5" w:val="clear"/>
        <w:spacing w:after="80" w:before="0"/>
        <w:ind w:left="200" w:right="200"/>
      </w:pPr>
      <w:r>
        <w:rPr>
          <w:b/>
          <w:bCs/>
          <w:color w:val="1A3F6F"/>
          <w:sz w:val="18"/>
          <w:szCs w:val="18"/>
        </w:rPr>
        <w:t xml:space="preserve">In plain terms: </w:t>
      </w:r>
      <w:r>
        <w:rPr>
          <w:color w:val="000000"/>
          <w:sz w:val="18"/>
          <w:szCs w:val="18"/>
        </w:rPr>
        <w:t xml:space="preserve">This tells you what percentage of total sales came from companies connected to the company's own owners or directors, rather than from independent customers.</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Y — Total Revenue = $80,000,000 ; Revenue from a company owned by the Chairman's daughter = $9,500,000</w:t>
      </w:r>
    </w:p>
    <w:p>
      <w:pPr>
        <w:shd w:fill="EAEFF5" w:val="clear"/>
        <w:spacing w:after="20" w:before="0"/>
        <w:ind w:left="200" w:right="200"/>
      </w:pPr>
      <w:r>
        <w:rPr>
          <w:rFonts w:ascii="Consolas" w:cs="Consolas" w:eastAsia="Consolas" w:hAnsi="Consolas"/>
          <w:b w:val="false"/>
          <w:bCs w:val="false"/>
          <w:color w:val="000000"/>
          <w:sz w:val="18"/>
          <w:szCs w:val="18"/>
        </w:rPr>
        <w:t xml:space="preserve">RPT_Revenue_Pct = 9,500,000 ÷ 80,000,000 = 0.119 = 11.9%</w:t>
      </w:r>
    </w:p>
    <w:p>
      <w:pPr>
        <w:shd w:fill="EAEFF5" w:val="clear"/>
        <w:spacing w:after="100" w:before="0"/>
        <w:ind w:left="200" w:right="200"/>
      </w:pPr>
      <w:r>
        <w:rPr>
          <w:rFonts w:ascii="Calibri" w:cs="Calibri" w:eastAsia="Calibri" w:hAnsi="Calibri"/>
          <w:b/>
          <w:bCs/>
          <w:color w:val="000000"/>
          <w:sz w:val="18"/>
          <w:szCs w:val="18"/>
        </w:rPr>
        <w:t xml:space="preserve">Result: Nearly 12% of all sales came from one related party. Since this exceeds the 5% threshold below, this triggers a flag for closer review of whether the pricing was fair and properly disclosed.</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For each disclosed related-party transaction in the notes to the financial statements, classify whether it is a revenue-type transaction (the company is the seller)</w:t>
      </w:r>
    </w:p>
    <w:p>
      <w:pPr>
        <w:shd w:fill="FFF8E8" w:val="clear"/>
        <w:spacing w:after="20" w:before="20"/>
        <w:ind w:left="400" w:hanging="200"/>
      </w:pPr>
      <w:r>
        <w:rPr>
          <w:b/>
          <w:bCs/>
          <w:color w:val="C7600A"/>
          <w:sz w:val="18"/>
          <w:szCs w:val="18"/>
        </w:rPr>
        <w:t xml:space="preserve">2.  </w:t>
      </w:r>
      <w:r>
        <w:rPr>
          <w:color w:val="000000"/>
          <w:sz w:val="18"/>
          <w:szCs w:val="18"/>
        </w:rPr>
        <w:t xml:space="preserve">Sum all related-party revenue transactions for the period to get total related-party revenue</w:t>
      </w:r>
    </w:p>
    <w:p>
      <w:pPr>
        <w:shd w:fill="FFF8E8" w:val="clear"/>
        <w:spacing w:after="20" w:before="20"/>
        <w:ind w:left="400" w:hanging="200"/>
      </w:pPr>
      <w:r>
        <w:rPr>
          <w:b/>
          <w:bCs/>
          <w:color w:val="C7600A"/>
          <w:sz w:val="18"/>
          <w:szCs w:val="18"/>
        </w:rPr>
        <w:t xml:space="preserve">3.  </w:t>
      </w:r>
      <w:r>
        <w:rPr>
          <w:color w:val="000000"/>
          <w:sz w:val="18"/>
          <w:szCs w:val="18"/>
        </w:rPr>
        <w:t xml:space="preserve">Compute RPT_Revenue_Pct using the formula above</w:t>
      </w:r>
    </w:p>
    <w:p>
      <w:pPr>
        <w:shd w:fill="FFF8E8" w:val="clear"/>
        <w:spacing w:after="20" w:before="20"/>
        <w:ind w:left="400" w:hanging="200"/>
      </w:pPr>
      <w:r>
        <w:rPr>
          <w:b/>
          <w:bCs/>
          <w:color w:val="C7600A"/>
          <w:sz w:val="18"/>
          <w:szCs w:val="18"/>
        </w:rPr>
        <w:t xml:space="preserve">4.  </w:t>
      </w:r>
      <w:r>
        <w:rPr>
          <w:color w:val="000000"/>
          <w:sz w:val="18"/>
          <w:szCs w:val="18"/>
        </w:rPr>
        <w:t xml:space="preserve">Cross-reference the counterparty name against the ACRA-derived related_party_register[] to confirm the relationship (director, controlling shareholder, or their associates)</w:t>
      </w:r>
    </w:p>
    <w:p>
      <w:pPr>
        <w:shd w:fill="FFF8E8" w:val="clear"/>
        <w:spacing w:after="20" w:before="20"/>
        <w:ind w:left="400" w:hanging="200"/>
      </w:pPr>
      <w:r>
        <w:rPr>
          <w:b/>
          <w:bCs/>
          <w:color w:val="C7600A"/>
          <w:sz w:val="18"/>
          <w:szCs w:val="18"/>
        </w:rPr>
        <w:t xml:space="preserve">5.  </w:t>
      </w:r>
      <w:r>
        <w:rPr>
          <w:color w:val="000000"/>
          <w:sz w:val="18"/>
          <w:szCs w:val="18"/>
        </w:rPr>
        <w:t xml:space="preserve">IF RPT_Revenue_Pct &gt; 0.05 (5%) AND the transaction value exceeds the SGX shareholder-approval threshold under Mainboard Rule 906 AND no shareholder approval announcement is found on SGXNET → TRIGGER FIN-REV-002 at severity HIGH (potential breach of disclosure rules)</w:t>
      </w:r>
    </w:p>
    <w:p>
      <w:pPr>
        <w:shd w:fill="FFF8E8" w:val="clear"/>
        <w:spacing w:after="20" w:before="20"/>
        <w:ind w:left="400" w:hanging="200"/>
      </w:pPr>
      <w:r>
        <w:rPr>
          <w:b/>
          <w:bCs/>
          <w:color w:val="C7600A"/>
          <w:sz w:val="18"/>
          <w:szCs w:val="18"/>
        </w:rPr>
        <w:t xml:space="preserve">6.  </w:t>
      </w:r>
      <w:r>
        <w:rPr>
          <w:color w:val="000000"/>
          <w:sz w:val="18"/>
          <w:szCs w:val="18"/>
        </w:rPr>
        <w:t xml:space="preserve">IF RPT_Revenue_Pct &gt; 0.05 (5%) but proper disclosure and approval is found → TRIGGER FIN-REV-002 at severity MEDIUM (still worth monitoring for pricing fairness)</w:t>
      </w:r>
    </w:p>
    <w:p>
      <w:pPr>
        <w:shd w:fill="FFF8E8" w:val="clear"/>
        <w:spacing w:after="100" w:before="20"/>
        <w:ind w:left="400" w:hanging="200"/>
      </w:pPr>
      <w:r>
        <w:rPr>
          <w:b/>
          <w:bCs/>
          <w:color w:val="C7600A"/>
          <w:sz w:val="18"/>
          <w:szCs w:val="18"/>
        </w:rPr>
        <w:t xml:space="preserve">7.  </w:t>
      </w:r>
      <w:r>
        <w:rPr>
          <w:color w:val="000000"/>
          <w:sz w:val="18"/>
          <w:szCs w:val="18"/>
        </w:rPr>
        <w:t xml:space="preserve">IF RPT_Revenue_Pct between 0.02 and 0.05 → TRIGGER FIN-REV-002 at severity LOW</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FIN-REV-003 — Revenue and Cash Collection Divergence (Channel Stuffing Signal)</w:t>
      </w:r>
    </w:p>
    <w:p>
      <w:pPr>
        <w:spacing w:after="120" w:before="0"/>
      </w:pPr>
      <w:r>
        <w:rPr>
          <w:color w:val="000000"/>
          <w:sz w:val="20"/>
          <w:szCs w:val="20"/>
        </w:rPr>
        <w:t xml:space="preserve">"Channel stuffing" means pushing more goods to distributors than they actually need, just to book revenue before period-end, often with secret agreements to take the goods back later. A tell-tale sign is a revenue spike right at period-end that doesn't show up as real cash a few months later.</w:t>
      </w:r>
    </w:p>
    <w:p>
      <w:pPr>
        <w:shd w:fill="EAEFF5" w:val="clear"/>
        <w:spacing w:after="0" w:before="100"/>
        <w:ind w:left="200" w:right="200"/>
      </w:pPr>
      <w:r>
        <w:rPr>
          <w:b/>
          <w:bCs/>
          <w:color w:val="1A6B3C"/>
          <w:sz w:val="18"/>
          <w:szCs w:val="18"/>
        </w:rPr>
        <w:t xml:space="preserve">FORMULA — Quarter-End Revenue Concentration</w:t>
      </w:r>
    </w:p>
    <w:p>
      <w:pPr>
        <w:shd w:fill="EAEFF5" w:val="clear"/>
        <w:spacing w:after="80" w:before="40"/>
        <w:ind w:left="200" w:right="200"/>
      </w:pPr>
      <w:r>
        <w:rPr>
          <w:rFonts w:ascii="Consolas" w:cs="Consolas" w:eastAsia="Consolas" w:hAnsi="Consolas"/>
          <w:b/>
          <w:bCs/>
          <w:color w:val="0A2540"/>
          <w:sz w:val="19"/>
          <w:szCs w:val="19"/>
        </w:rPr>
        <w:t xml:space="preserve">Q4_Revenue_Pct = Q4 Revenue ÷ Full-Year Revenue</w:t>
      </w:r>
    </w:p>
    <w:p>
      <w:pPr>
        <w:shd w:fill="EAEFF5" w:val="clear"/>
        <w:spacing w:after="80" w:before="0"/>
        <w:ind w:left="200" w:right="200"/>
      </w:pPr>
      <w:r>
        <w:rPr>
          <w:b/>
          <w:bCs/>
          <w:color w:val="1A3F6F"/>
          <w:sz w:val="18"/>
          <w:szCs w:val="18"/>
        </w:rPr>
        <w:t xml:space="preserve">In plain terms: </w:t>
      </w:r>
      <w:r>
        <w:rPr>
          <w:color w:val="000000"/>
          <w:sz w:val="18"/>
          <w:szCs w:val="18"/>
        </w:rPr>
        <w:t xml:space="preserve">If a company's sales are unusually concentrated in the last quarter of the year — way more than in Q1, Q2, or Q3 — relative to its own historical pattern, that's a sign it may be "stuffing" the channel to hit annual targets.</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Z — historical pattern: each quarter normally contributes ~25% of full-year revenue</w:t>
      </w:r>
    </w:p>
    <w:p>
      <w:pPr>
        <w:shd w:fill="EAEFF5" w:val="clear"/>
        <w:spacing w:after="20" w:before="0"/>
        <w:ind w:left="200" w:right="200"/>
      </w:pPr>
      <w:r>
        <w:rPr>
          <w:rFonts w:ascii="Consolas" w:cs="Consolas" w:eastAsia="Consolas" w:hAnsi="Consolas"/>
          <w:b w:val="false"/>
          <w:bCs w:val="false"/>
          <w:color w:val="000000"/>
          <w:sz w:val="18"/>
          <w:szCs w:val="18"/>
        </w:rPr>
        <w:t xml:space="preserve">FY2025: Q1 = $18m, Q2 = $19m, Q3 = $20m, Q4 = $43m. Full Year = $100m</w:t>
      </w:r>
    </w:p>
    <w:p>
      <w:pPr>
        <w:shd w:fill="EAEFF5" w:val="clear"/>
        <w:spacing w:after="20" w:before="0"/>
        <w:ind w:left="200" w:right="200"/>
      </w:pPr>
      <w:r>
        <w:rPr>
          <w:rFonts w:ascii="Consolas" w:cs="Consolas" w:eastAsia="Consolas" w:hAnsi="Consolas"/>
          <w:b w:val="false"/>
          <w:bCs w:val="false"/>
          <w:color w:val="000000"/>
          <w:sz w:val="18"/>
          <w:szCs w:val="18"/>
        </w:rPr>
        <w:t xml:space="preserve">Q4_Revenue_Pct = 43,000,000 ÷ 100,000,000 = 0.43 = 43%</w:t>
      </w:r>
    </w:p>
    <w:p>
      <w:pPr>
        <w:shd w:fill="EAEFF5" w:val="clear"/>
        <w:spacing w:after="100" w:before="0"/>
        <w:ind w:left="200" w:right="200"/>
      </w:pPr>
      <w:r>
        <w:rPr>
          <w:rFonts w:ascii="Calibri" w:cs="Calibri" w:eastAsia="Calibri" w:hAnsi="Calibri"/>
          <w:b/>
          <w:bCs/>
          <w:color w:val="000000"/>
          <w:sz w:val="18"/>
          <w:szCs w:val="18"/>
        </w:rPr>
        <w:t xml:space="preserve">Result: Q4 alone made up 43% of the year, far above the expected ~25%. Combined with a check of whether Q1 of the following year shows an unusual drop or return of goods, this triggers a flag.</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Where quarterly or half-year data is available, compute each quarter's revenue as a percentage of full-year revenue</w:t>
      </w:r>
    </w:p>
    <w:p>
      <w:pPr>
        <w:shd w:fill="FFF8E8" w:val="clear"/>
        <w:spacing w:after="20" w:before="20"/>
        <w:ind w:left="400" w:hanging="200"/>
      </w:pPr>
      <w:r>
        <w:rPr>
          <w:b/>
          <w:bCs/>
          <w:color w:val="C7600A"/>
          <w:sz w:val="18"/>
          <w:szCs w:val="18"/>
        </w:rPr>
        <w:t xml:space="preserve">2.  </w:t>
      </w:r>
      <w:r>
        <w:rPr>
          <w:color w:val="000000"/>
          <w:sz w:val="18"/>
          <w:szCs w:val="18"/>
        </w:rPr>
        <w:t xml:space="preserve">Compute the entity's own 3-year historical average Q4 concentration as a baseline</w:t>
      </w:r>
    </w:p>
    <w:p>
      <w:pPr>
        <w:shd w:fill="FFF8E8" w:val="clear"/>
        <w:spacing w:after="20" w:before="20"/>
        <w:ind w:left="400" w:hanging="200"/>
      </w:pPr>
      <w:r>
        <w:rPr>
          <w:b/>
          <w:bCs/>
          <w:color w:val="C7600A"/>
          <w:sz w:val="18"/>
          <w:szCs w:val="18"/>
        </w:rPr>
        <w:t xml:space="preserve">3.  </w:t>
      </w:r>
      <w:r>
        <w:rPr>
          <w:color w:val="000000"/>
          <w:sz w:val="18"/>
          <w:szCs w:val="18"/>
        </w:rPr>
        <w:t xml:space="preserve">IF current year Q4_Revenue_Pct exceeds the entity's own 3-year historical average by more than 10 percentage points → TRIGGER FIN-REV-003 at severity MEDIUM</w:t>
      </w:r>
    </w:p>
    <w:p>
      <w:pPr>
        <w:shd w:fill="FFF8E8" w:val="clear"/>
        <w:spacing w:after="100" w:before="20"/>
        <w:ind w:left="400" w:hanging="200"/>
      </w:pPr>
      <w:r>
        <w:rPr>
          <w:b/>
          <w:bCs/>
          <w:color w:val="C7600A"/>
          <w:sz w:val="18"/>
          <w:szCs w:val="18"/>
        </w:rPr>
        <w:t xml:space="preserve">4.  </w:t>
      </w:r>
      <w:r>
        <w:rPr>
          <w:color w:val="000000"/>
          <w:sz w:val="18"/>
          <w:szCs w:val="18"/>
        </w:rPr>
        <w:t xml:space="preserve">IF, in addition, the following period's opening receivables or returns provisions show an unusual spike (&gt;20% increase not explained by revenue growth) → ESCALATE FIN-REV-003 to severity HIGH</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FIN-REV-004 — Revenue Recognition Policy Changes</w:t>
      </w:r>
    </w:p>
    <w:p>
      <w:pPr>
        <w:spacing w:after="120" w:before="0"/>
      </w:pPr>
      <w:r>
        <w:rPr>
          <w:color w:val="000000"/>
          <w:sz w:val="20"/>
          <w:szCs w:val="20"/>
        </w:rPr>
        <w:t xml:space="preserve">Companies must disclose, in writing, exactly how and when they count a sale as "revenue." If this written policy changes from one year to the next — especially toward something more aggressive (e.g., counting revenue earlier than before) — without a clear, disclosed reason, that's a red flag.</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Extract the text of the "Revenue Recognition" accounting policy note from the current year and prior year annual reports (this is a text-extraction / NLP task, not a pure numeric rule)</w:t>
      </w:r>
    </w:p>
    <w:p>
      <w:pPr>
        <w:shd w:fill="FFF8E8" w:val="clear"/>
        <w:spacing w:after="20" w:before="20"/>
        <w:ind w:left="400" w:hanging="200"/>
      </w:pPr>
      <w:r>
        <w:rPr>
          <w:b/>
          <w:bCs/>
          <w:color w:val="C7600A"/>
          <w:sz w:val="18"/>
          <w:szCs w:val="18"/>
        </w:rPr>
        <w:t xml:space="preserve">2.  </w:t>
      </w:r>
      <w:r>
        <w:rPr>
          <w:color w:val="000000"/>
          <w:sz w:val="18"/>
          <w:szCs w:val="18"/>
        </w:rPr>
        <w:t xml:space="preserve">Run a text-similarity comparison (e.g., cosine similarity on sentence embeddings) between the two policy texts</w:t>
      </w:r>
    </w:p>
    <w:p>
      <w:pPr>
        <w:shd w:fill="FFF8E8" w:val="clear"/>
        <w:spacing w:after="20" w:before="20"/>
        <w:ind w:left="400" w:hanging="200"/>
      </w:pPr>
      <w:r>
        <w:rPr>
          <w:b/>
          <w:bCs/>
          <w:color w:val="C7600A"/>
          <w:sz w:val="18"/>
          <w:szCs w:val="18"/>
        </w:rPr>
        <w:t xml:space="preserve">3.  </w:t>
      </w:r>
      <w:r>
        <w:rPr>
          <w:color w:val="000000"/>
          <w:sz w:val="18"/>
          <w:szCs w:val="18"/>
        </w:rPr>
        <w:t xml:space="preserve">IF similarity score falls below a defined threshold (suggested starting point: 0.85, to be calibrated with real data) → TRIGGER FIN-REV-004 at severity MEDIUM for manual review</w:t>
      </w:r>
    </w:p>
    <w:p>
      <w:pPr>
        <w:shd w:fill="FFF8E8" w:val="clear"/>
        <w:spacing w:after="100" w:before="20"/>
        <w:ind w:left="400" w:hanging="200"/>
      </w:pPr>
      <w:r>
        <w:rPr>
          <w:b/>
          <w:bCs/>
          <w:color w:val="C7600A"/>
          <w:sz w:val="18"/>
          <w:szCs w:val="18"/>
        </w:rPr>
        <w:t xml:space="preserve">4.  </w:t>
      </w:r>
      <w:r>
        <w:rPr>
          <w:color w:val="000000"/>
          <w:sz w:val="18"/>
          <w:szCs w:val="18"/>
        </w:rPr>
        <w:t xml:space="preserve">IF the policy change coincides with a period where revenue growth significantly exceeded the entity's historical trend (&gt;2 standard deviations from its own 3-year average growth rate) → ESCALATE to severity HIGH</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FIN-REV-005 — Circular Fund Flows (Round-Tripping)</w:t>
      </w:r>
    </w:p>
    <w:p>
      <w:pPr>
        <w:spacing w:after="120" w:before="0"/>
      </w:pPr>
      <w:r>
        <w:rPr>
          <w:color w:val="000000"/>
          <w:sz w:val="20"/>
          <w:szCs w:val="20"/>
        </w:rPr>
        <w:t xml:space="preserve">"Round-tripping" is when a company sends money out (disguised as a loan or investment) to a related party, and that same related party sends money back to the company labelled as "revenue" — creating fake sales out of the company's own cash. This requires looking at the relationship graph between entities, not just one company's accounts in isolation.</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Using the entity relationship graph (built from ACRA director/shareholder data — see Annexure on Entity Resolution / UBO Module), identify all entities connected to the company under review (shared directors, shared shareholders, common UBO)</w:t>
      </w:r>
    </w:p>
    <w:p>
      <w:pPr>
        <w:shd w:fill="FFF8E8" w:val="clear"/>
        <w:spacing w:after="20" w:before="20"/>
        <w:ind w:left="400" w:hanging="200"/>
      </w:pPr>
      <w:r>
        <w:rPr>
          <w:b/>
          <w:bCs/>
          <w:color w:val="C7600A"/>
          <w:sz w:val="18"/>
          <w:szCs w:val="18"/>
        </w:rPr>
        <w:t xml:space="preserve">2.  </w:t>
      </w:r>
      <w:r>
        <w:rPr>
          <w:color w:val="000000"/>
          <w:sz w:val="18"/>
          <w:szCs w:val="18"/>
        </w:rPr>
        <w:t xml:space="preserve">For each connected entity that also appears as a customer (revenue source) in the company's related-party disclosures, check whether the company has also disclosed a loan, investment, or advance to that same entity within the same or prior reporting period</w:t>
      </w:r>
    </w:p>
    <w:p>
      <w:pPr>
        <w:shd w:fill="FFF8E8" w:val="clear"/>
        <w:spacing w:after="100" w:before="20"/>
        <w:ind w:left="400" w:hanging="200"/>
      </w:pPr>
      <w:r>
        <w:rPr>
          <w:b/>
          <w:bCs/>
          <w:color w:val="C7600A"/>
          <w:sz w:val="18"/>
          <w:szCs w:val="18"/>
        </w:rPr>
        <w:t xml:space="preserve">3.  </w:t>
      </w:r>
      <w:r>
        <w:rPr>
          <w:color w:val="000000"/>
          <w:sz w:val="18"/>
          <w:szCs w:val="18"/>
        </w:rPr>
        <w:t xml:space="preserve">IF a connected entity is BOTH a recipient of funds (loan/investment/advance) AND a source of revenue within a 12-month window → TRIGGER FIN-REV-005 at severity CRITICAL — this is one of the highest-confidence fraud patterns and should always escalate regardless of dollar value</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2.3  Asset Manipulation Rules</w:t>
      </w:r>
    </w:p>
    <w:p>
      <w:pPr>
        <w:spacing w:after="120" w:before="0"/>
      </w:pPr>
      <w:r>
        <w:rPr>
          <w:i/>
          <w:iCs/>
          <w:color w:val="1A3F6F"/>
          <w:sz w:val="20"/>
          <w:szCs w:val="20"/>
        </w:rPr>
        <w:t xml:space="preserve">Why this category exists: </w:t>
      </w:r>
      <w:r>
        <w:rPr>
          <w:color w:val="000000"/>
          <w:sz w:val="20"/>
          <w:szCs w:val="20"/>
        </w:rPr>
        <w:t xml:space="preserve">Assets (things the company owns, like cash, inventory, equipment, and money owed to it) are inflated to make the company look financially healthier than it really is, and to avoid showing a loss when an asset has actually become worthless or impaired.</w:t>
      </w:r>
    </w:p>
    <w:p>
      <w:pPr>
        <w:spacing w:after="60" w:before="60"/>
      </w:pPr>
      <w:r>
        <w:t xml:space="preserve"/>
      </w:r>
    </w:p>
    <w:p>
      <w:pPr>
        <w:shd w:fill="0A2540" w:val="clear"/>
        <w:spacing w:after="80" w:before="240"/>
      </w:pPr>
      <w:r>
        <w:rPr>
          <w:b/>
          <w:bCs/>
          <w:color w:val="FFFFFF"/>
          <w:sz w:val="22"/>
          <w:szCs w:val="22"/>
        </w:rPr>
        <w:t xml:space="preserve">  RULE FIN-AST-001 — Inventory Turnover Decline</w:t>
      </w:r>
    </w:p>
    <w:p>
      <w:pPr>
        <w:spacing w:after="120" w:before="0"/>
      </w:pPr>
      <w:r>
        <w:rPr>
          <w:color w:val="000000"/>
          <w:sz w:val="20"/>
          <w:szCs w:val="20"/>
        </w:rPr>
        <w:t xml:space="preserve">"Inventory" is unsold stock sitting in the warehouse. If a company is faking sales or hiding obsolete/unsellable stock, inventory builds up faster than it should relative to how much the company is actually selling.</w:t>
      </w:r>
    </w:p>
    <w:p>
      <w:pPr>
        <w:shd w:fill="EAEFF5" w:val="clear"/>
        <w:spacing w:after="0" w:before="100"/>
        <w:ind w:left="200" w:right="200"/>
      </w:pPr>
      <w:r>
        <w:rPr>
          <w:b/>
          <w:bCs/>
          <w:color w:val="1A6B3C"/>
          <w:sz w:val="18"/>
          <w:szCs w:val="18"/>
        </w:rPr>
        <w:t xml:space="preserve">FORMULA — Inventory Turnover Ratio</w:t>
      </w:r>
    </w:p>
    <w:p>
      <w:pPr>
        <w:shd w:fill="EAEFF5" w:val="clear"/>
        <w:spacing w:after="80" w:before="40"/>
        <w:ind w:left="200" w:right="200"/>
      </w:pPr>
      <w:r>
        <w:rPr>
          <w:rFonts w:ascii="Consolas" w:cs="Consolas" w:eastAsia="Consolas" w:hAnsi="Consolas"/>
          <w:b/>
          <w:bCs/>
          <w:color w:val="0A2540"/>
          <w:sz w:val="19"/>
          <w:szCs w:val="19"/>
        </w:rPr>
        <w:t xml:space="preserve">Inventory Turnover = Cost of Goods Sold ÷ Average Inventory  (where Average Inventory = (Opening Inventory + Closing Inventory) ÷ 2)</w:t>
      </w:r>
    </w:p>
    <w:p>
      <w:pPr>
        <w:shd w:fill="EAEFF5" w:val="clear"/>
        <w:spacing w:after="80" w:before="0"/>
        <w:ind w:left="200" w:right="200"/>
      </w:pPr>
      <w:r>
        <w:rPr>
          <w:b/>
          <w:bCs/>
          <w:color w:val="1A3F6F"/>
          <w:sz w:val="18"/>
          <w:szCs w:val="18"/>
        </w:rPr>
        <w:t xml:space="preserve">In plain terms: </w:t>
      </w:r>
      <w:r>
        <w:rPr>
          <w:color w:val="000000"/>
          <w:sz w:val="18"/>
          <w:szCs w:val="18"/>
        </w:rPr>
        <w:t xml:space="preserve">This tells you how many times per year the company sells through its entire stock of inventory. A high number means inventory moves quickly (healthy). A declining number means stock is piling up and not selling — or the inventory value on the books may be fictional or overstated.</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A — FY2024: Cost of Goods Sold = $60,000,000 ; Opening Inventory = $9,000,000 ; Closing Inventory = $11,000,000</w:t>
      </w:r>
    </w:p>
    <w:p>
      <w:pPr>
        <w:shd w:fill="EAEFF5" w:val="clear"/>
        <w:spacing w:after="20" w:before="0"/>
        <w:ind w:left="200" w:right="200"/>
      </w:pPr>
      <w:r>
        <w:rPr>
          <w:rFonts w:ascii="Consolas" w:cs="Consolas" w:eastAsia="Consolas" w:hAnsi="Consolas"/>
          <w:b w:val="false"/>
          <w:bCs w:val="false"/>
          <w:color w:val="000000"/>
          <w:sz w:val="18"/>
          <w:szCs w:val="18"/>
        </w:rPr>
        <w:t xml:space="preserve">Average Inventory (FY2024) = (9,000,000 + 11,000,000) ÷ 2 = 10,000,000</w:t>
      </w:r>
    </w:p>
    <w:p>
      <w:pPr>
        <w:shd w:fill="EAEFF5" w:val="clear"/>
        <w:spacing w:after="20" w:before="0"/>
        <w:ind w:left="200" w:right="200"/>
      </w:pPr>
      <w:r>
        <w:rPr>
          <w:rFonts w:ascii="Consolas" w:cs="Consolas" w:eastAsia="Consolas" w:hAnsi="Consolas"/>
          <w:b w:val="false"/>
          <w:bCs w:val="false"/>
          <w:color w:val="000000"/>
          <w:sz w:val="18"/>
          <w:szCs w:val="18"/>
        </w:rPr>
        <w:t xml:space="preserve">Inventory Turnover (FY2024) = 60,000,000 ÷ 10,000,000 = 6.0x</w:t>
      </w:r>
    </w:p>
    <w:p>
      <w:pPr>
        <w:shd w:fill="EAEFF5" w:val="clear"/>
        <w:spacing w:after="20" w:before="0"/>
        <w:ind w:left="200" w:right="200"/>
      </w:pPr>
      <w:r>
        <w:rPr>
          <w:rFonts w:ascii="Consolas" w:cs="Consolas" w:eastAsia="Consolas" w:hAnsi="Consolas"/>
          <w:b w:val="false"/>
          <w:bCs w:val="false"/>
          <w:color w:val="000000"/>
          <w:sz w:val="18"/>
          <w:szCs w:val="18"/>
        </w:rPr>
        <w:t xml:space="preserve">FY2025: Cost of Goods Sold = $58,000,000 ; Opening Inventory = $11,000,000 ; Closing Inventory = $19,000,000</w:t>
      </w:r>
    </w:p>
    <w:p>
      <w:pPr>
        <w:shd w:fill="EAEFF5" w:val="clear"/>
        <w:spacing w:after="20" w:before="0"/>
        <w:ind w:left="200" w:right="200"/>
      </w:pPr>
      <w:r>
        <w:rPr>
          <w:rFonts w:ascii="Consolas" w:cs="Consolas" w:eastAsia="Consolas" w:hAnsi="Consolas"/>
          <w:b w:val="false"/>
          <w:bCs w:val="false"/>
          <w:color w:val="000000"/>
          <w:sz w:val="18"/>
          <w:szCs w:val="18"/>
        </w:rPr>
        <w:t xml:space="preserve">Average Inventory (FY2025) = (11,000,000 + 19,000,000) ÷ 2 = 15,000,000</w:t>
      </w:r>
    </w:p>
    <w:p>
      <w:pPr>
        <w:shd w:fill="EAEFF5" w:val="clear"/>
        <w:spacing w:after="20" w:before="0"/>
        <w:ind w:left="200" w:right="200"/>
      </w:pPr>
      <w:r>
        <w:rPr>
          <w:rFonts w:ascii="Consolas" w:cs="Consolas" w:eastAsia="Consolas" w:hAnsi="Consolas"/>
          <w:b w:val="false"/>
          <w:bCs w:val="false"/>
          <w:color w:val="000000"/>
          <w:sz w:val="18"/>
          <w:szCs w:val="18"/>
        </w:rPr>
        <w:t xml:space="preserve">Inventory Turnover (FY2025) = 58,000,000 ÷ 15,000,000 = 3.87x</w:t>
      </w:r>
    </w:p>
    <w:p>
      <w:pPr>
        <w:shd w:fill="EAEFF5" w:val="clear"/>
        <w:spacing w:after="100" w:before="0"/>
        <w:ind w:left="200" w:right="200"/>
      </w:pPr>
      <w:r>
        <w:rPr>
          <w:rFonts w:ascii="Calibri" w:cs="Calibri" w:eastAsia="Calibri" w:hAnsi="Calibri"/>
          <w:b/>
          <w:bCs/>
          <w:color w:val="000000"/>
          <w:sz w:val="18"/>
          <w:szCs w:val="18"/>
        </w:rPr>
        <w:t xml:space="preserve">Result: Turnover dropped from 6.0x to 3.87x — a decline of about 35%. Stock is piling up much faster than sales justify. This crosses the 25% decline threshold below.</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For each period, compute Inventory Turnover using the formula above (requires opening and closing inventory, both available from consecutive balance sheets)</w:t>
      </w:r>
    </w:p>
    <w:p>
      <w:pPr>
        <w:shd w:fill="FFF8E8" w:val="clear"/>
        <w:spacing w:after="20" w:before="20"/>
        <w:ind w:left="400" w:hanging="200"/>
      </w:pPr>
      <w:r>
        <w:rPr>
          <w:b/>
          <w:bCs/>
          <w:color w:val="C7600A"/>
          <w:sz w:val="18"/>
          <w:szCs w:val="18"/>
        </w:rPr>
        <w:t xml:space="preserve">2.  </w:t>
      </w:r>
      <w:r>
        <w:rPr>
          <w:color w:val="000000"/>
          <w:sz w:val="18"/>
          <w:szCs w:val="18"/>
        </w:rPr>
        <w:t xml:space="preserve">Compute percentage change vs. prior period: turnover_change_pct = (Turnover_current − Turnover_prior) ÷ Turnover_prior</w:t>
      </w:r>
    </w:p>
    <w:p>
      <w:pPr>
        <w:shd w:fill="FFF8E8" w:val="clear"/>
        <w:spacing w:after="20" w:before="20"/>
        <w:ind w:left="400" w:hanging="200"/>
      </w:pPr>
      <w:r>
        <w:rPr>
          <w:b/>
          <w:bCs/>
          <w:color w:val="C7600A"/>
          <w:sz w:val="18"/>
          <w:szCs w:val="18"/>
        </w:rPr>
        <w:t xml:space="preserve">3.  </w:t>
      </w:r>
      <w:r>
        <w:rPr>
          <w:color w:val="000000"/>
          <w:sz w:val="18"/>
          <w:szCs w:val="18"/>
        </w:rPr>
        <w:t xml:space="preserve">IF turnover_change_pct is a decline of more than 25% AND gross margin is stable or expanding in the same period (i.e., no obvious explanation like a price war) → TRIGGER FIN-AST-001 at severity HIGH</w:t>
      </w:r>
    </w:p>
    <w:p>
      <w:pPr>
        <w:shd w:fill="FFF8E8" w:val="clear"/>
        <w:spacing w:after="100" w:before="20"/>
        <w:ind w:left="400" w:hanging="200"/>
      </w:pPr>
      <w:r>
        <w:rPr>
          <w:b/>
          <w:bCs/>
          <w:color w:val="C7600A"/>
          <w:sz w:val="18"/>
          <w:szCs w:val="18"/>
        </w:rPr>
        <w:t xml:space="preserve">4.  </w:t>
      </w:r>
      <w:r>
        <w:rPr>
          <w:color w:val="000000"/>
          <w:sz w:val="18"/>
          <w:szCs w:val="18"/>
        </w:rPr>
        <w:t xml:space="preserve">IF decline is between 15% and 25% → TRIGGER FIN-AST-001 at severity MEDIUM</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FIN-AST-002 — Expense Capitalisation (Hiding Costs as Assets)</w:t>
      </w:r>
    </w:p>
    <w:p>
      <w:pPr>
        <w:spacing w:after="120" w:before="0"/>
      </w:pPr>
      <w:r>
        <w:rPr>
          <w:color w:val="000000"/>
          <w:sz w:val="20"/>
          <w:szCs w:val="20"/>
        </w:rPr>
        <w:t xml:space="preserve">Normally, when a company spends money running its business, that cost reduces profit immediately (an "expense"). But some costs — like building a new product — are allowed to be recorded as an "asset" instead (called "capitalising"), spread out over future years. Companies sometimes abuse this by capitalising costs that should really be immediate expenses, to make current-year profit look bigger.</w:t>
      </w:r>
    </w:p>
    <w:p>
      <w:pPr>
        <w:shd w:fill="EAEFF5" w:val="clear"/>
        <w:spacing w:after="0" w:before="100"/>
        <w:ind w:left="200" w:right="200"/>
      </w:pPr>
      <w:r>
        <w:rPr>
          <w:b/>
          <w:bCs/>
          <w:color w:val="1A6B3C"/>
          <w:sz w:val="18"/>
          <w:szCs w:val="18"/>
        </w:rPr>
        <w:t xml:space="preserve">FORMULA — Capitalised Cost Ratio</w:t>
      </w:r>
    </w:p>
    <w:p>
      <w:pPr>
        <w:shd w:fill="EAEFF5" w:val="clear"/>
        <w:spacing w:after="80" w:before="40"/>
        <w:ind w:left="200" w:right="200"/>
      </w:pPr>
      <w:r>
        <w:rPr>
          <w:rFonts w:ascii="Consolas" w:cs="Consolas" w:eastAsia="Consolas" w:hAnsi="Consolas"/>
          <w:b/>
          <w:bCs/>
          <w:color w:val="0A2540"/>
          <w:sz w:val="19"/>
          <w:szCs w:val="19"/>
        </w:rPr>
        <w:t xml:space="preserve">Capitalised_Cost_Ratio = Increase in Intangible Assets (excluding acquisitions) ÷ Total Revenue</w:t>
      </w:r>
    </w:p>
    <w:p>
      <w:pPr>
        <w:shd w:fill="EAEFF5" w:val="clear"/>
        <w:spacing w:after="80" w:before="0"/>
        <w:ind w:left="200" w:right="200"/>
      </w:pPr>
      <w:r>
        <w:rPr>
          <w:b/>
          <w:bCs/>
          <w:color w:val="1A3F6F"/>
          <w:sz w:val="18"/>
          <w:szCs w:val="18"/>
        </w:rPr>
        <w:t xml:space="preserve">In plain terms: </w:t>
      </w:r>
      <w:r>
        <w:rPr>
          <w:color w:val="000000"/>
          <w:sz w:val="18"/>
          <w:szCs w:val="18"/>
        </w:rPr>
        <w:t xml:space="preserve">This shows how much of the company's spending — that should arguably have reduced profit as an expense — was instead added to the balance sheet as an asset, making profit look bigger than it would otherwise be.</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B — Intangible Assets (Development Costs only, excluding any acquired goodwill) at start of FY2025 = $5,000,000 ; at end of FY2025 = $14,000,000 ; Revenue FY2025 = $30,000,000</w:t>
      </w:r>
    </w:p>
    <w:p>
      <w:pPr>
        <w:shd w:fill="EAEFF5" w:val="clear"/>
        <w:spacing w:after="20" w:before="0"/>
        <w:ind w:left="200" w:right="200"/>
      </w:pPr>
      <w:r>
        <w:rPr>
          <w:rFonts w:ascii="Consolas" w:cs="Consolas" w:eastAsia="Consolas" w:hAnsi="Consolas"/>
          <w:b w:val="false"/>
          <w:bCs w:val="false"/>
          <w:color w:val="000000"/>
          <w:sz w:val="18"/>
          <w:szCs w:val="18"/>
        </w:rPr>
        <w:t xml:space="preserve">Increase in Intangible Assets = 14,000,000 − 5,000,000 = 9,000,000</w:t>
      </w:r>
    </w:p>
    <w:p>
      <w:pPr>
        <w:shd w:fill="EAEFF5" w:val="clear"/>
        <w:spacing w:after="20" w:before="0"/>
        <w:ind w:left="200" w:right="200"/>
      </w:pPr>
      <w:r>
        <w:rPr>
          <w:rFonts w:ascii="Consolas" w:cs="Consolas" w:eastAsia="Consolas" w:hAnsi="Consolas"/>
          <w:b w:val="false"/>
          <w:bCs w:val="false"/>
          <w:color w:val="000000"/>
          <w:sz w:val="18"/>
          <w:szCs w:val="18"/>
        </w:rPr>
        <w:t xml:space="preserve">Capitalised_Cost_Ratio = 9,000,000 ÷ 30,000,000 = 0.30 = 30%</w:t>
      </w:r>
    </w:p>
    <w:p>
      <w:pPr>
        <w:shd w:fill="EAEFF5" w:val="clear"/>
        <w:spacing w:after="100" w:before="0"/>
        <w:ind w:left="200" w:right="200"/>
      </w:pPr>
      <w:r>
        <w:rPr>
          <w:rFonts w:ascii="Calibri" w:cs="Calibri" w:eastAsia="Calibri" w:hAnsi="Calibri"/>
          <w:b/>
          <w:bCs/>
          <w:color w:val="000000"/>
          <w:sz w:val="18"/>
          <w:szCs w:val="18"/>
        </w:rPr>
        <w:t xml:space="preserve">Result: 30% of revenue was effectively capitalised rather than expensed, well above the 30% threshold below — especially noteworthy if there's no major new product launch to explain it.</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Compute the year-on-year increase in intangible_assets_and_goodwill, EXCLUDING any increase explained by a disclosed acquisition (acquisitions must be separately identified and subtracted — check notes for 'business combination' or 'acquisition' disclosures)</w:t>
      </w:r>
    </w:p>
    <w:p>
      <w:pPr>
        <w:shd w:fill="FFF8E8" w:val="clear"/>
        <w:spacing w:after="20" w:before="20"/>
        <w:ind w:left="400" w:hanging="200"/>
      </w:pPr>
      <w:r>
        <w:rPr>
          <w:b/>
          <w:bCs/>
          <w:color w:val="C7600A"/>
          <w:sz w:val="18"/>
          <w:szCs w:val="18"/>
        </w:rPr>
        <w:t xml:space="preserve">2.  </w:t>
      </w:r>
      <w:r>
        <w:rPr>
          <w:color w:val="000000"/>
          <w:sz w:val="18"/>
          <w:szCs w:val="18"/>
        </w:rPr>
        <w:t xml:space="preserve">Compute Capitalised_Cost_Ratio using the formula above</w:t>
      </w:r>
    </w:p>
    <w:p>
      <w:pPr>
        <w:shd w:fill="FFF8E8" w:val="clear"/>
        <w:spacing w:after="20" w:before="20"/>
        <w:ind w:left="400" w:hanging="200"/>
      </w:pPr>
      <w:r>
        <w:rPr>
          <w:b/>
          <w:bCs/>
          <w:color w:val="C7600A"/>
          <w:sz w:val="18"/>
          <w:szCs w:val="18"/>
        </w:rPr>
        <w:t xml:space="preserve">3.  </w:t>
      </w:r>
      <w:r>
        <w:rPr>
          <w:color w:val="000000"/>
          <w:sz w:val="18"/>
          <w:szCs w:val="18"/>
        </w:rPr>
        <w:t xml:space="preserve">IF ratio exceeds 30% of revenue AND there is no disclosed new product launch, R&amp;D milestone, or major project in the period → TRIGGER FIN-AST-002 at severity HIGH</w:t>
      </w:r>
    </w:p>
    <w:p>
      <w:pPr>
        <w:shd w:fill="FFF8E8" w:val="clear"/>
        <w:spacing w:after="100" w:before="20"/>
        <w:ind w:left="400" w:hanging="200"/>
      </w:pPr>
      <w:r>
        <w:rPr>
          <w:b/>
          <w:bCs/>
          <w:color w:val="C7600A"/>
          <w:sz w:val="18"/>
          <w:szCs w:val="18"/>
        </w:rPr>
        <w:t xml:space="preserve">4.  </w:t>
      </w:r>
      <w:r>
        <w:rPr>
          <w:color w:val="000000"/>
          <w:sz w:val="18"/>
          <w:szCs w:val="18"/>
        </w:rPr>
        <w:t xml:space="preserve">Compare the ratio against the entity's own 3-year historical average; IF the current ratio is more than double the historical average → ESCALATE to severity HIGH regardless of absolute percentage</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FIN-AST-003 — Impairment Avoidance</w:t>
      </w:r>
    </w:p>
    <w:p>
      <w:pPr>
        <w:spacing w:after="120" w:before="0"/>
      </w:pPr>
      <w:r>
        <w:rPr>
          <w:color w:val="000000"/>
          <w:sz w:val="20"/>
          <w:szCs w:val="20"/>
        </w:rPr>
        <w:t xml:space="preserve">"Impairment" means writing down the value of an asset (like goodwill from a past acquisition) because it's now worth less than what's on the books — for example, because the business it relates to is now loss-making. Companies under pressure to show profit often delay or avoid recording impairments they should be recording.</w:t>
      </w:r>
    </w:p>
    <w:p>
      <w:pPr>
        <w:shd w:fill="EAEFF5" w:val="clear"/>
        <w:spacing w:after="0" w:before="100"/>
        <w:ind w:left="200" w:right="200"/>
      </w:pPr>
      <w:r>
        <w:rPr>
          <w:b/>
          <w:bCs/>
          <w:color w:val="1A6B3C"/>
          <w:sz w:val="18"/>
          <w:szCs w:val="18"/>
        </w:rPr>
        <w:t xml:space="preserve">FORMULA — Goodwill-to-Total-Assets Ratio + Market Cap Discount Test</w:t>
      </w:r>
    </w:p>
    <w:p>
      <w:pPr>
        <w:shd w:fill="EAEFF5" w:val="clear"/>
        <w:spacing w:after="80" w:before="40"/>
        <w:ind w:left="200" w:right="200"/>
      </w:pPr>
      <w:r>
        <w:rPr>
          <w:rFonts w:ascii="Consolas" w:cs="Consolas" w:eastAsia="Consolas" w:hAnsi="Consolas"/>
          <w:b/>
          <w:bCs/>
          <w:color w:val="0A2540"/>
          <w:sz w:val="19"/>
          <w:szCs w:val="19"/>
        </w:rPr>
        <w:t xml:space="preserve">Goodwill_Ratio = (Intangible Assets + Goodwill) ÷ Total Assets    AND    Market_Discount = (Net Book Value − Market Capitalisation) ÷ Net Book Value</w:t>
      </w:r>
    </w:p>
    <w:p>
      <w:pPr>
        <w:shd w:fill="EAEFF5" w:val="clear"/>
        <w:spacing w:after="80" w:before="0"/>
        <w:ind w:left="200" w:right="200"/>
      </w:pPr>
      <w:r>
        <w:rPr>
          <w:b/>
          <w:bCs/>
          <w:color w:val="1A3F6F"/>
          <w:sz w:val="18"/>
          <w:szCs w:val="18"/>
        </w:rPr>
        <w:t xml:space="preserve">In plain terms: </w:t>
      </w:r>
      <w:r>
        <w:rPr>
          <w:color w:val="000000"/>
          <w:sz w:val="18"/>
          <w:szCs w:val="18"/>
        </w:rPr>
        <w:t xml:space="preserve">The first ratio flags companies that are carrying a lot of goodwill (a soft, easily-overstated asset) relative to their total balance sheet. The second test checks whether the stock market itself is already pricing the company below its book value — which is the market's way of saying 'we don't believe your balance sheet is worth what you say it's worth.'</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C — Total Assets = $200,000,000 ; Intangible Assets + Goodwill = $70,000,000</w:t>
      </w:r>
    </w:p>
    <w:p>
      <w:pPr>
        <w:shd w:fill="EAEFF5" w:val="clear"/>
        <w:spacing w:after="20" w:before="0"/>
        <w:ind w:left="200" w:right="200"/>
      </w:pPr>
      <w:r>
        <w:rPr>
          <w:rFonts w:ascii="Consolas" w:cs="Consolas" w:eastAsia="Consolas" w:hAnsi="Consolas"/>
          <w:b w:val="false"/>
          <w:bCs w:val="false"/>
          <w:color w:val="000000"/>
          <w:sz w:val="18"/>
          <w:szCs w:val="18"/>
        </w:rPr>
        <w:t xml:space="preserve">Goodwill_Ratio = 70,000,000 ÷ 200,000,000 = 0.35 = 35%</w:t>
      </w:r>
    </w:p>
    <w:p>
      <w:pPr>
        <w:shd w:fill="EAEFF5" w:val="clear"/>
        <w:spacing w:after="20" w:before="0"/>
        <w:ind w:left="200" w:right="200"/>
      </w:pPr>
      <w:r>
        <w:rPr>
          <w:rFonts w:ascii="Consolas" w:cs="Consolas" w:eastAsia="Consolas" w:hAnsi="Consolas"/>
          <w:b w:val="false"/>
          <w:bCs w:val="false"/>
          <w:color w:val="000000"/>
          <w:sz w:val="18"/>
          <w:szCs w:val="18"/>
        </w:rPr>
        <w:t xml:space="preserve">Net Book Value (Total Equity) = $90,000,000 ; Market Capitalisation (from SGX share price × shares outstanding) = $65,000,000</w:t>
      </w:r>
    </w:p>
    <w:p>
      <w:pPr>
        <w:shd w:fill="EAEFF5" w:val="clear"/>
        <w:spacing w:after="20" w:before="0"/>
        <w:ind w:left="200" w:right="200"/>
      </w:pPr>
      <w:r>
        <w:rPr>
          <w:rFonts w:ascii="Consolas" w:cs="Consolas" w:eastAsia="Consolas" w:hAnsi="Consolas"/>
          <w:b w:val="false"/>
          <w:bCs w:val="false"/>
          <w:color w:val="000000"/>
          <w:sz w:val="18"/>
          <w:szCs w:val="18"/>
        </w:rPr>
        <w:t xml:space="preserve">Market_Discount = (90,000,000 − 65,000,000) ÷ 90,000,000 = 25,000,000 ÷ 90,000,000 = 0.278 = 27.8%</w:t>
      </w:r>
    </w:p>
    <w:p>
      <w:pPr>
        <w:shd w:fill="EAEFF5" w:val="clear"/>
        <w:spacing w:after="100" w:before="0"/>
        <w:ind w:left="200" w:right="200"/>
      </w:pPr>
      <w:r>
        <w:rPr>
          <w:rFonts w:ascii="Calibri" w:cs="Calibri" w:eastAsia="Calibri" w:hAnsi="Calibri"/>
          <w:b/>
          <w:bCs/>
          <w:color w:val="000000"/>
          <w:sz w:val="18"/>
          <w:szCs w:val="18"/>
        </w:rPr>
        <w:t xml:space="preserve">Result: Goodwill is 35% of total assets (above the 30% threshold) AND the market is valuing the company 27.8% below its own stated book value (above the 20% threshold). Both conditions are met — strong impairment-avoidance signal.</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Compute Goodwill_Ratio using the formula above for the current period</w:t>
      </w:r>
    </w:p>
    <w:p>
      <w:pPr>
        <w:shd w:fill="FFF8E8" w:val="clear"/>
        <w:spacing w:after="20" w:before="20"/>
        <w:ind w:left="400" w:hanging="200"/>
      </w:pPr>
      <w:r>
        <w:rPr>
          <w:b/>
          <w:bCs/>
          <w:color w:val="C7600A"/>
          <w:sz w:val="18"/>
          <w:szCs w:val="18"/>
        </w:rPr>
        <w:t xml:space="preserve">2.  </w:t>
      </w:r>
      <w:r>
        <w:rPr>
          <w:color w:val="000000"/>
          <w:sz w:val="18"/>
          <w:szCs w:val="18"/>
        </w:rPr>
        <w:t xml:space="preserve">Pull current market capitalisation from SGX market data (share price × total shares outstanding) and compute Market_Discount using total equity as a proxy for net book value</w:t>
      </w:r>
    </w:p>
    <w:p>
      <w:pPr>
        <w:shd w:fill="FFF8E8" w:val="clear"/>
        <w:spacing w:after="20" w:before="20"/>
        <w:ind w:left="400" w:hanging="200"/>
      </w:pPr>
      <w:r>
        <w:rPr>
          <w:b/>
          <w:bCs/>
          <w:color w:val="C7600A"/>
          <w:sz w:val="18"/>
          <w:szCs w:val="18"/>
        </w:rPr>
        <w:t xml:space="preserve">3.  </w:t>
      </w:r>
      <w:r>
        <w:rPr>
          <w:color w:val="000000"/>
          <w:sz w:val="18"/>
          <w:szCs w:val="18"/>
        </w:rPr>
        <w:t xml:space="preserve">IF Goodwill_Ratio &gt; 0.30 (30%) AND Market_Discount &gt; 0.20 (20%) for two consecutive reporting periods → TRIGGER FIN-AST-003 at severity HIGH</w:t>
      </w:r>
    </w:p>
    <w:p>
      <w:pPr>
        <w:shd w:fill="FFF8E8" w:val="clear"/>
        <w:spacing w:after="100" w:before="20"/>
        <w:ind w:left="400" w:hanging="200"/>
      </w:pPr>
      <w:r>
        <w:rPr>
          <w:b/>
          <w:bCs/>
          <w:color w:val="C7600A"/>
          <w:sz w:val="18"/>
          <w:szCs w:val="18"/>
        </w:rPr>
        <w:t xml:space="preserve">4.  </w:t>
      </w:r>
      <w:r>
        <w:rPr>
          <w:color w:val="000000"/>
          <w:sz w:val="18"/>
          <w:szCs w:val="18"/>
        </w:rPr>
        <w:t xml:space="preserve">IF the entity also reports an operating loss in the same period with NO goodwill impairment charge recorded → ESCALATE to severity CRITICAL</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2.4  Liability Concealment and Understatement Rules</w:t>
      </w:r>
    </w:p>
    <w:p>
      <w:pPr>
        <w:spacing w:after="120" w:before="0"/>
      </w:pPr>
      <w:r>
        <w:rPr>
          <w:i/>
          <w:iCs/>
          <w:color w:val="1A3F6F"/>
          <w:sz w:val="20"/>
          <w:szCs w:val="20"/>
        </w:rPr>
        <w:t xml:space="preserve">Why this category exists: </w:t>
      </w:r>
      <w:r>
        <w:rPr>
          <w:color w:val="000000"/>
          <w:sz w:val="20"/>
          <w:szCs w:val="20"/>
        </w:rPr>
        <w:t xml:space="preserve">Liabilities (what the company owes) are hidden or understated to make the company look less indebted and financially stronger than it really is.</w:t>
      </w:r>
    </w:p>
    <w:p>
      <w:pPr>
        <w:spacing w:after="60" w:before="60"/>
      </w:pPr>
      <w:r>
        <w:t xml:space="preserve"/>
      </w:r>
    </w:p>
    <w:p>
      <w:pPr>
        <w:shd w:fill="0A2540" w:val="clear"/>
        <w:spacing w:after="80" w:before="240"/>
      </w:pPr>
      <w:r>
        <w:rPr>
          <w:b/>
          <w:bCs/>
          <w:color w:val="FFFFFF"/>
          <w:sz w:val="22"/>
          <w:szCs w:val="22"/>
        </w:rPr>
        <w:t xml:space="preserve">  RULE FIN-LIA-001 — Related-Party Payables Concentration</w:t>
      </w:r>
    </w:p>
    <w:p>
      <w:pPr>
        <w:spacing w:after="120" w:before="0"/>
      </w:pPr>
      <w:r>
        <w:rPr>
          <w:color w:val="000000"/>
          <w:sz w:val="20"/>
          <w:szCs w:val="20"/>
        </w:rPr>
        <w:t xml:space="preserve">Sometimes what looks like an ordinary trade payable (money owed to a supplier) is actually a disguised loan from a director or controlling shareholder — debt that doesn't show up clearly as "debt" in the headline numbers.</w:t>
      </w:r>
    </w:p>
    <w:p>
      <w:pPr>
        <w:shd w:fill="EAEFF5" w:val="clear"/>
        <w:spacing w:after="0" w:before="100"/>
        <w:ind w:left="200" w:right="200"/>
      </w:pPr>
      <w:r>
        <w:rPr>
          <w:b/>
          <w:bCs/>
          <w:color w:val="1A6B3C"/>
          <w:sz w:val="18"/>
          <w:szCs w:val="18"/>
        </w:rPr>
        <w:t xml:space="preserve">FORMULA — Related-Party Liability Ratio</w:t>
      </w:r>
    </w:p>
    <w:p>
      <w:pPr>
        <w:shd w:fill="EAEFF5" w:val="clear"/>
        <w:spacing w:after="80" w:before="40"/>
        <w:ind w:left="200" w:right="200"/>
      </w:pPr>
      <w:r>
        <w:rPr>
          <w:rFonts w:ascii="Consolas" w:cs="Consolas" w:eastAsia="Consolas" w:hAnsi="Consolas"/>
          <w:b/>
          <w:bCs/>
          <w:color w:val="0A2540"/>
          <w:sz w:val="19"/>
          <w:szCs w:val="19"/>
        </w:rPr>
        <w:t xml:space="preserve">RPT_Liability_Ratio = Related-Party Payables (including loans from related parties) ÷ Total Liabilities</w:t>
      </w:r>
    </w:p>
    <w:p>
      <w:pPr>
        <w:shd w:fill="EAEFF5" w:val="clear"/>
        <w:spacing w:after="80" w:before="0"/>
        <w:ind w:left="200" w:right="200"/>
      </w:pPr>
      <w:r>
        <w:rPr>
          <w:b/>
          <w:bCs/>
          <w:color w:val="1A3F6F"/>
          <w:sz w:val="18"/>
          <w:szCs w:val="18"/>
        </w:rPr>
        <w:t xml:space="preserve">In plain terms: </w:t>
      </w:r>
      <w:r>
        <w:rPr>
          <w:color w:val="000000"/>
          <w:sz w:val="18"/>
          <w:szCs w:val="18"/>
        </w:rPr>
        <w:t xml:space="preserve">This shows what fraction of everything the company owes is owed specifically to people or entities connected to its own directors or major shareholders, rather than to independent, arm's-length creditors.</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D — Total Liabilities = $40,000,000 ; Payables and loans owed to entities connected to the Managing Director = $7,200,000</w:t>
      </w:r>
    </w:p>
    <w:p>
      <w:pPr>
        <w:shd w:fill="EAEFF5" w:val="clear"/>
        <w:spacing w:after="20" w:before="0"/>
        <w:ind w:left="200" w:right="200"/>
      </w:pPr>
      <w:r>
        <w:rPr>
          <w:rFonts w:ascii="Consolas" w:cs="Consolas" w:eastAsia="Consolas" w:hAnsi="Consolas"/>
          <w:b w:val="false"/>
          <w:bCs w:val="false"/>
          <w:color w:val="000000"/>
          <w:sz w:val="18"/>
          <w:szCs w:val="18"/>
        </w:rPr>
        <w:t xml:space="preserve">RPT_Liability_Ratio = 7,200,000 ÷ 40,000,000 = 0.18 = 18%</w:t>
      </w:r>
    </w:p>
    <w:p>
      <w:pPr>
        <w:shd w:fill="EAEFF5" w:val="clear"/>
        <w:spacing w:after="100" w:before="0"/>
        <w:ind w:left="200" w:right="200"/>
      </w:pPr>
      <w:r>
        <w:rPr>
          <w:rFonts w:ascii="Calibri" w:cs="Calibri" w:eastAsia="Calibri" w:hAnsi="Calibri"/>
          <w:b/>
          <w:bCs/>
          <w:color w:val="000000"/>
          <w:sz w:val="18"/>
          <w:szCs w:val="18"/>
        </w:rPr>
        <w:t xml:space="preserve">Result: 18% of all liabilities are owed to related parties — above the 15% threshold below — warranting closer review of whether this represents genuine trade debt or disguised financing.</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Sum related_party_payables (from the notes) including any loans specifically identified as being from directors, controlling shareholders, or their associates</w:t>
      </w:r>
    </w:p>
    <w:p>
      <w:pPr>
        <w:shd w:fill="FFF8E8" w:val="clear"/>
        <w:spacing w:after="20" w:before="20"/>
        <w:ind w:left="400" w:hanging="200"/>
      </w:pPr>
      <w:r>
        <w:rPr>
          <w:b/>
          <w:bCs/>
          <w:color w:val="C7600A"/>
          <w:sz w:val="18"/>
          <w:szCs w:val="18"/>
        </w:rPr>
        <w:t xml:space="preserve">2.  </w:t>
      </w:r>
      <w:r>
        <w:rPr>
          <w:color w:val="000000"/>
          <w:sz w:val="18"/>
          <w:szCs w:val="18"/>
        </w:rPr>
        <w:t xml:space="preserve">Compute RPT_Liability_Ratio using the formula above</w:t>
      </w:r>
    </w:p>
    <w:p>
      <w:pPr>
        <w:shd w:fill="FFF8E8" w:val="clear"/>
        <w:spacing w:after="20" w:before="20"/>
        <w:ind w:left="400" w:hanging="200"/>
      </w:pPr>
      <w:r>
        <w:rPr>
          <w:b/>
          <w:bCs/>
          <w:color w:val="C7600A"/>
          <w:sz w:val="18"/>
          <w:szCs w:val="18"/>
        </w:rPr>
        <w:t xml:space="preserve">3.  </w:t>
      </w:r>
      <w:r>
        <w:rPr>
          <w:color w:val="000000"/>
          <w:sz w:val="18"/>
          <w:szCs w:val="18"/>
        </w:rPr>
        <w:t xml:space="preserve">IF ratio exceeds 0.15 (15%) without a clear commercial explanation in the notes (e.g., normal trade credit terms with a related supplier at arm's length pricing) → TRIGGER FIN-LIA-001 at severity HIGH</w:t>
      </w:r>
    </w:p>
    <w:p>
      <w:pPr>
        <w:shd w:fill="FFF8E8" w:val="clear"/>
        <w:spacing w:after="100" w:before="20"/>
        <w:ind w:left="400" w:hanging="200"/>
      </w:pPr>
      <w:r>
        <w:rPr>
          <w:b/>
          <w:bCs/>
          <w:color w:val="C7600A"/>
          <w:sz w:val="18"/>
          <w:szCs w:val="18"/>
        </w:rPr>
        <w:t xml:space="preserve">4.  </w:t>
      </w:r>
      <w:r>
        <w:rPr>
          <w:color w:val="000000"/>
          <w:sz w:val="18"/>
          <w:szCs w:val="18"/>
        </w:rPr>
        <w:t xml:space="preserve">Cross-reference the counterparty against the ACRA-derived related_party_register[] to confirm the directorship/shareholding connection independently of what the company itself discloses</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FIN-LIA-002 — Understated Provisions</w:t>
      </w:r>
    </w:p>
    <w:p>
      <w:pPr>
        <w:spacing w:after="120" w:before="0"/>
      </w:pPr>
      <w:r>
        <w:rPr>
          <w:color w:val="000000"/>
          <w:sz w:val="20"/>
          <w:szCs w:val="20"/>
        </w:rPr>
        <w:t xml:space="preserve">A "provision" is money a company sets aside on its books for a probable future cost — for example, expected product returns, warranty claims, or an ongoing lawsuit it's likely to lose. Companies under pressure to show profit sometimes set these provisions too low, or reduce them without the underlying problem actually being resolved.</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Track the provisions_and_contingent_liabilities value across consecutive periods for the entity</w:t>
      </w:r>
    </w:p>
    <w:p>
      <w:pPr>
        <w:shd w:fill="FFF8E8" w:val="clear"/>
        <w:spacing w:after="20" w:before="20"/>
        <w:ind w:left="400" w:hanging="200"/>
      </w:pPr>
      <w:r>
        <w:rPr>
          <w:b/>
          <w:bCs/>
          <w:color w:val="C7600A"/>
          <w:sz w:val="18"/>
          <w:szCs w:val="18"/>
        </w:rPr>
        <w:t xml:space="preserve">2.  </w:t>
      </w:r>
      <w:r>
        <w:rPr>
          <w:color w:val="000000"/>
          <w:sz w:val="18"/>
          <w:szCs w:val="18"/>
        </w:rPr>
        <w:t xml:space="preserve">Separately track any disclosed litigation, warranty exposure, or contingent liability events from SGXNET announcements and court records</w:t>
      </w:r>
    </w:p>
    <w:p>
      <w:pPr>
        <w:shd w:fill="FFF8E8" w:val="clear"/>
        <w:spacing w:after="20" w:before="20"/>
        <w:ind w:left="400" w:hanging="200"/>
      </w:pPr>
      <w:r>
        <w:rPr>
          <w:b/>
          <w:bCs/>
          <w:color w:val="C7600A"/>
          <w:sz w:val="18"/>
          <w:szCs w:val="18"/>
        </w:rPr>
        <w:t xml:space="preserve">3.  </w:t>
      </w:r>
      <w:r>
        <w:rPr>
          <w:color w:val="000000"/>
          <w:sz w:val="18"/>
          <w:szCs w:val="18"/>
        </w:rPr>
        <w:t xml:space="preserve">IF the provisions balance DECREASES by more than 20% in a period where a related litigation or contingent event disclosed in a PRIOR period has NOT been disclosed as resolved (no settlement announcement, no court judgment found) → TRIGGER FIN-LIA-002 at severity HIGH</w:t>
      </w:r>
    </w:p>
    <w:p>
      <w:pPr>
        <w:shd w:fill="FFF8E8" w:val="clear"/>
        <w:spacing w:after="100" w:before="20"/>
        <w:ind w:left="400" w:hanging="200"/>
      </w:pPr>
      <w:r>
        <w:rPr>
          <w:b/>
          <w:bCs/>
          <w:color w:val="C7600A"/>
          <w:sz w:val="18"/>
          <w:szCs w:val="18"/>
        </w:rPr>
        <w:t xml:space="preserve">4.  </w:t>
      </w:r>
      <w:r>
        <w:rPr>
          <w:color w:val="000000"/>
          <w:sz w:val="18"/>
          <w:szCs w:val="18"/>
        </w:rPr>
        <w:t xml:space="preserve">Compare the entity's provisions as a percentage of revenue against the sector median (see Section 2.8 — Sector Benchmarking); IF the entity's ratio is below the 25th percentile of its sector peer group → TRIGGER FIN-LIA-002 at severity MEDIUM</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FIN-LIA-003 — Off-Balance-Sheet Guarantees</w:t>
      </w:r>
    </w:p>
    <w:p>
      <w:pPr>
        <w:spacing w:after="120" w:before="0"/>
      </w:pPr>
      <w:r>
        <w:rPr>
          <w:color w:val="000000"/>
          <w:sz w:val="20"/>
          <w:szCs w:val="20"/>
        </w:rPr>
        <w:t xml:space="preserve">Sometimes a company promises to cover a related party's debt if that related party can't pay (a "guarantee"). This is a real financial risk to the company, but if it's structured as a guarantee rather than a direct loan, it may not appear clearly as a liability on the balance sheet — only buried in the notes.</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Extract all disclosed contingent liabilities and guarantees from the notes to the financial statements (text-extraction task)</w:t>
      </w:r>
    </w:p>
    <w:p>
      <w:pPr>
        <w:shd w:fill="FFF8E8" w:val="clear"/>
        <w:spacing w:after="20" w:before="20"/>
        <w:ind w:left="400" w:hanging="200"/>
      </w:pPr>
      <w:r>
        <w:rPr>
          <w:b/>
          <w:bCs/>
          <w:color w:val="C7600A"/>
          <w:sz w:val="18"/>
          <w:szCs w:val="18"/>
        </w:rPr>
        <w:t xml:space="preserve">2.  </w:t>
      </w:r>
      <w:r>
        <w:rPr>
          <w:color w:val="000000"/>
          <w:sz w:val="18"/>
          <w:szCs w:val="18"/>
        </w:rPr>
        <w:t xml:space="preserve">Sum the disclosed value of guarantees given on behalf of related parties</w:t>
      </w:r>
    </w:p>
    <w:p>
      <w:pPr>
        <w:shd w:fill="FFF8E8" w:val="clear"/>
        <w:spacing w:after="20" w:before="20"/>
        <w:ind w:left="400" w:hanging="200"/>
      </w:pPr>
      <w:r>
        <w:rPr>
          <w:b/>
          <w:bCs/>
          <w:color w:val="C7600A"/>
          <w:sz w:val="18"/>
          <w:szCs w:val="18"/>
        </w:rPr>
        <w:t xml:space="preserve">3.  </w:t>
      </w:r>
      <w:r>
        <w:rPr>
          <w:color w:val="000000"/>
          <w:sz w:val="18"/>
          <w:szCs w:val="18"/>
        </w:rPr>
        <w:t xml:space="preserve">IF total disclosed related-party guarantees exceed 10% of total equity → TRIGGER FIN-LIA-003 at severity HIGH</w:t>
      </w:r>
    </w:p>
    <w:p>
      <w:pPr>
        <w:shd w:fill="FFF8E8" w:val="clear"/>
        <w:spacing w:after="100" w:before="20"/>
        <w:ind w:left="400" w:hanging="200"/>
      </w:pPr>
      <w:r>
        <w:rPr>
          <w:b/>
          <w:bCs/>
          <w:color w:val="C7600A"/>
          <w:sz w:val="18"/>
          <w:szCs w:val="18"/>
        </w:rPr>
        <w:t xml:space="preserve">4.  </w:t>
      </w:r>
      <w:r>
        <w:rPr>
          <w:color w:val="000000"/>
          <w:sz w:val="18"/>
          <w:szCs w:val="18"/>
        </w:rPr>
        <w:t xml:space="preserve">IF the beneficiary of the guarantee (the related party whose debt is being guaranteed) cannot be identified from public ACRA records as a financially sound entity (e.g., it is a newly incorporated company with minimal paid-up capital) → ESCALATE to severity CRITICAL</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2.5  Cash Flow Anomaly Rules</w:t>
      </w:r>
    </w:p>
    <w:p>
      <w:pPr>
        <w:spacing w:after="120" w:before="0"/>
      </w:pPr>
      <w:r>
        <w:rPr>
          <w:i/>
          <w:iCs/>
          <w:color w:val="1A3F6F"/>
          <w:sz w:val="20"/>
          <w:szCs w:val="20"/>
        </w:rPr>
        <w:t xml:space="preserve">Why this category exists: </w:t>
      </w:r>
      <w:r>
        <w:rPr>
          <w:color w:val="000000"/>
          <w:sz w:val="20"/>
          <w:szCs w:val="20"/>
        </w:rPr>
        <w:t xml:space="preserve">The Cash Flow Statement is the hardest financial statement to fake convincingly, because it should reflect real money moving in and out of real bank accounts. This makes it one of the most powerful cross-checks against the Income Statement and Balance Sheet — if profit and cash tell different stories, something usually needs explaining.</w:t>
      </w:r>
    </w:p>
    <w:p>
      <w:pPr>
        <w:spacing w:after="60" w:before="60"/>
      </w:pPr>
      <w:r>
        <w:t xml:space="preserve"/>
      </w:r>
    </w:p>
    <w:p>
      <w:pPr>
        <w:shd w:fill="0A2540" w:val="clear"/>
        <w:spacing w:after="80" w:before="240"/>
      </w:pPr>
      <w:r>
        <w:rPr>
          <w:b/>
          <w:bCs/>
          <w:color w:val="FFFFFF"/>
          <w:sz w:val="22"/>
          <w:szCs w:val="22"/>
        </w:rPr>
        <w:t xml:space="preserve">  RULE FIN-CSH-001 — Profit-to-Cash Divergence (The Single Most Important Rule)</w:t>
      </w:r>
    </w:p>
    <w:p>
      <w:pPr>
        <w:spacing w:after="120" w:before="0"/>
      </w:pPr>
      <w:r>
        <w:rPr>
          <w:color w:val="000000"/>
          <w:sz w:val="20"/>
          <w:szCs w:val="20"/>
        </w:rPr>
        <w:t xml:space="preserve">If a company says it made a healthy profit, but its bank account didn't actually receive much cash from its operations, that's one of the strongest possible fraud signals — because faked revenue or hidden expenses show up in "paper profit" but never show up as real cash.</w:t>
      </w:r>
    </w:p>
    <w:p>
      <w:pPr>
        <w:shd w:fill="EAEFF5" w:val="clear"/>
        <w:spacing w:after="0" w:before="100"/>
        <w:ind w:left="200" w:right="200"/>
      </w:pPr>
      <w:r>
        <w:rPr>
          <w:b/>
          <w:bCs/>
          <w:color w:val="1A6B3C"/>
          <w:sz w:val="18"/>
          <w:szCs w:val="18"/>
        </w:rPr>
        <w:t xml:space="preserve">FORMULA — Cash Conversion Ratio</w:t>
      </w:r>
    </w:p>
    <w:p>
      <w:pPr>
        <w:shd w:fill="EAEFF5" w:val="clear"/>
        <w:spacing w:after="80" w:before="40"/>
        <w:ind w:left="200" w:right="200"/>
      </w:pPr>
      <w:r>
        <w:rPr>
          <w:rFonts w:ascii="Consolas" w:cs="Consolas" w:eastAsia="Consolas" w:hAnsi="Consolas"/>
          <w:b/>
          <w:bCs/>
          <w:color w:val="0A2540"/>
          <w:sz w:val="19"/>
          <w:szCs w:val="19"/>
        </w:rPr>
        <w:t xml:space="preserve">Cash_Conversion_Ratio = Operating Cash Flow ÷ Net Profit</w:t>
      </w:r>
    </w:p>
    <w:p>
      <w:pPr>
        <w:shd w:fill="EAEFF5" w:val="clear"/>
        <w:spacing w:after="80" w:before="0"/>
        <w:ind w:left="200" w:right="200"/>
      </w:pPr>
      <w:r>
        <w:rPr>
          <w:b/>
          <w:bCs/>
          <w:color w:val="1A3F6F"/>
          <w:sz w:val="18"/>
          <w:szCs w:val="18"/>
        </w:rPr>
        <w:t xml:space="preserve">In plain terms: </w:t>
      </w:r>
      <w:r>
        <w:rPr>
          <w:color w:val="000000"/>
          <w:sz w:val="18"/>
          <w:szCs w:val="18"/>
        </w:rPr>
        <w:t xml:space="preserve">This compares the real cash generated by day-to-day business (from the Cash Flow Statement) against the accounting profit reported (from the Income Statement). A healthy, non-fraudulent company usually has a ratio close to or above 1.0 — meaning its paper profit is backed by real cash. A ratio well below 1.0 (or negative) for multiple periods is a major warning sign.</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E — FY2024: Net Profit = $20,000,000 ; Operating Cash Flow = $18,500,000</w:t>
      </w:r>
    </w:p>
    <w:p>
      <w:pPr>
        <w:shd w:fill="EAEFF5" w:val="clear"/>
        <w:spacing w:after="20" w:before="0"/>
        <w:ind w:left="200" w:right="200"/>
      </w:pPr>
      <w:r>
        <w:rPr>
          <w:rFonts w:ascii="Consolas" w:cs="Consolas" w:eastAsia="Consolas" w:hAnsi="Consolas"/>
          <w:b w:val="false"/>
          <w:bCs w:val="false"/>
          <w:color w:val="000000"/>
          <w:sz w:val="18"/>
          <w:szCs w:val="18"/>
        </w:rPr>
        <w:t xml:space="preserve">Cash_Conversion_Ratio (FY2024) = 18,500,000 ÷ 20,000,000 = 0.925 — healthy, close to 1.0</w:t>
      </w:r>
    </w:p>
    <w:p>
      <w:pPr>
        <w:shd w:fill="EAEFF5" w:val="clear"/>
        <w:spacing w:after="20" w:before="0"/>
        <w:ind w:left="200" w:right="200"/>
      </w:pPr>
      <w:r>
        <w:rPr>
          <w:rFonts w:ascii="Consolas" w:cs="Consolas" w:eastAsia="Consolas" w:hAnsi="Consolas"/>
          <w:b w:val="false"/>
          <w:bCs w:val="false"/>
          <w:color w:val="000000"/>
          <w:sz w:val="18"/>
          <w:szCs w:val="18"/>
        </w:rPr>
        <w:t xml:space="preserve">FY2025: Net Profit = $24,000,000 (profit went UP) ; Operating Cash Flow = $6,000,000 (cash went DOWN)</w:t>
      </w:r>
    </w:p>
    <w:p>
      <w:pPr>
        <w:shd w:fill="EAEFF5" w:val="clear"/>
        <w:spacing w:after="20" w:before="0"/>
        <w:ind w:left="200" w:right="200"/>
      </w:pPr>
      <w:r>
        <w:rPr>
          <w:rFonts w:ascii="Consolas" w:cs="Consolas" w:eastAsia="Consolas" w:hAnsi="Consolas"/>
          <w:b w:val="false"/>
          <w:bCs w:val="false"/>
          <w:color w:val="000000"/>
          <w:sz w:val="18"/>
          <w:szCs w:val="18"/>
        </w:rPr>
        <w:t xml:space="preserve">Cash_Conversion_Ratio (FY2025) = 6,000,000 ÷ 24,000,000 = 0.25</w:t>
      </w:r>
    </w:p>
    <w:p>
      <w:pPr>
        <w:shd w:fill="EAEFF5" w:val="clear"/>
        <w:spacing w:after="100" w:before="0"/>
        <w:ind w:left="200" w:right="200"/>
      </w:pPr>
      <w:r>
        <w:rPr>
          <w:rFonts w:ascii="Calibri" w:cs="Calibri" w:eastAsia="Calibri" w:hAnsi="Calibri"/>
          <w:b/>
          <w:bCs/>
          <w:color w:val="000000"/>
          <w:sz w:val="18"/>
          <w:szCs w:val="18"/>
        </w:rPr>
        <w:t xml:space="preserve">Result: The ratio collapsed from 0.925 to 0.25 in one year. The company is reporting record profit, but barely any of it is showing up as real cash. This is a CRITICAL-level red flag.</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For each period, compute Cash_Conversion_Ratio using the formula above</w:t>
      </w:r>
    </w:p>
    <w:p>
      <w:pPr>
        <w:shd w:fill="FFF8E8" w:val="clear"/>
        <w:spacing w:after="20" w:before="20"/>
        <w:ind w:left="400" w:hanging="200"/>
      </w:pPr>
      <w:r>
        <w:rPr>
          <w:b/>
          <w:bCs/>
          <w:color w:val="C7600A"/>
          <w:sz w:val="18"/>
          <w:szCs w:val="18"/>
        </w:rPr>
        <w:t xml:space="preserve">2.  </w:t>
      </w:r>
      <w:r>
        <w:rPr>
          <w:color w:val="000000"/>
          <w:sz w:val="18"/>
          <w:szCs w:val="18"/>
        </w:rPr>
        <w:t xml:space="preserve">IF Cash_Conversion_Ratio &lt; 0.5 for the current period → TRIGGER FIN-CSH-001 at severity HIGH</w:t>
      </w:r>
    </w:p>
    <w:p>
      <w:pPr>
        <w:shd w:fill="FFF8E8" w:val="clear"/>
        <w:spacing w:after="20" w:before="20"/>
        <w:ind w:left="400" w:hanging="200"/>
      </w:pPr>
      <w:r>
        <w:rPr>
          <w:b/>
          <w:bCs/>
          <w:color w:val="C7600A"/>
          <w:sz w:val="18"/>
          <w:szCs w:val="18"/>
        </w:rPr>
        <w:t xml:space="preserve">3.  </w:t>
      </w:r>
      <w:r>
        <w:rPr>
          <w:color w:val="000000"/>
          <w:sz w:val="18"/>
          <w:szCs w:val="18"/>
        </w:rPr>
        <w:t xml:space="preserve">IF Cash_Conversion_Ratio &lt; 0.5 for TWO OR MORE consecutive periods → ESCALATE to severity CRITICAL</w:t>
      </w:r>
    </w:p>
    <w:p>
      <w:pPr>
        <w:shd w:fill="FFF8E8" w:val="clear"/>
        <w:spacing w:after="20" w:before="20"/>
        <w:ind w:left="400" w:hanging="200"/>
      </w:pPr>
      <w:r>
        <w:rPr>
          <w:b/>
          <w:bCs/>
          <w:color w:val="C7600A"/>
          <w:sz w:val="18"/>
          <w:szCs w:val="18"/>
        </w:rPr>
        <w:t xml:space="preserve">4.  </w:t>
      </w:r>
      <w:r>
        <w:rPr>
          <w:color w:val="000000"/>
          <w:sz w:val="18"/>
          <w:szCs w:val="18"/>
        </w:rPr>
        <w:t xml:space="preserve">IF Cash_Conversion_Ratio is negative (i.e., operating cash flow is negative while net profit is positive) → ALWAYS CRITICAL, regardless of how many periods</w:t>
      </w:r>
    </w:p>
    <w:p>
      <w:pPr>
        <w:shd w:fill="FFF8E8" w:val="clear"/>
        <w:spacing w:after="100" w:before="20"/>
        <w:ind w:left="400" w:hanging="200"/>
      </w:pPr>
      <w:r>
        <w:rPr>
          <w:b/>
          <w:bCs/>
          <w:color w:val="C7600A"/>
          <w:sz w:val="18"/>
          <w:szCs w:val="18"/>
        </w:rPr>
        <w:t xml:space="preserve">5.  </w:t>
      </w:r>
      <w:r>
        <w:rPr>
          <w:color w:val="000000"/>
          <w:sz w:val="18"/>
          <w:szCs w:val="18"/>
        </w:rPr>
        <w:t xml:space="preserve">Always check for a disclosed, legitimate explanation first (e.g., a deliberate, disclosed build-up of inventory ahead of a major expansion) before finalising the severity — flag for analyst review rather than fully automated escalation if a plausible explanation is found in the notes</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FIN-CSH-002 — Period-End Borrowing Spikes</w:t>
      </w:r>
    </w:p>
    <w:p>
      <w:pPr>
        <w:spacing w:after="120" w:before="0"/>
      </w:pPr>
      <w:r>
        <w:rPr>
          <w:color w:val="000000"/>
          <w:sz w:val="20"/>
          <w:szCs w:val="20"/>
        </w:rPr>
        <w:t xml:space="preserve">A company can make its cash balance look artificially strong right at the reporting date by borrowing money just before period-end (inflating the cash shown on the balance sheet snapshot), then repaying that borrowing shortly after the new period begins — a trick to flatter the year-end liquidity position investors see.</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Track cash_and_equivalents at each period-end alongside the financing_cash_flow for that period</w:t>
      </w:r>
    </w:p>
    <w:p>
      <w:pPr>
        <w:shd w:fill="FFF8E8" w:val="clear"/>
        <w:spacing w:after="20" w:before="20"/>
        <w:ind w:left="400" w:hanging="200"/>
      </w:pPr>
      <w:r>
        <w:rPr>
          <w:b/>
          <w:bCs/>
          <w:color w:val="C7600A"/>
          <w:sz w:val="18"/>
          <w:szCs w:val="18"/>
        </w:rPr>
        <w:t xml:space="preserve">2.  </w:t>
      </w:r>
      <w:r>
        <w:rPr>
          <w:color w:val="000000"/>
          <w:sz w:val="18"/>
          <w:szCs w:val="18"/>
        </w:rPr>
        <w:t xml:space="preserve">Compute the change in cash balance vs. the prior period: cash_increase_pct = (Cash_current − Cash_prior) ÷ Cash_prior</w:t>
      </w:r>
    </w:p>
    <w:p>
      <w:pPr>
        <w:shd w:fill="FFF8E8" w:val="clear"/>
        <w:spacing w:after="20" w:before="20"/>
        <w:ind w:left="400" w:hanging="200"/>
      </w:pPr>
      <w:r>
        <w:rPr>
          <w:b/>
          <w:bCs/>
          <w:color w:val="C7600A"/>
          <w:sz w:val="18"/>
          <w:szCs w:val="18"/>
        </w:rPr>
        <w:t xml:space="preserve">3.  </w:t>
      </w:r>
      <w:r>
        <w:rPr>
          <w:color w:val="000000"/>
          <w:sz w:val="18"/>
          <w:szCs w:val="18"/>
        </w:rPr>
        <w:t xml:space="preserve">IF cash_increase_pct &gt; 0.30 (30%) AND a significant portion of that increase is attributable to financing_cash_flow (new borrowing) rather than operating_cash_flow → TRIGGER FIN-CSH-002 at severity MEDIUM</w:t>
      </w:r>
    </w:p>
    <w:p>
      <w:pPr>
        <w:shd w:fill="FFF8E8" w:val="clear"/>
        <w:spacing w:after="100" w:before="20"/>
        <w:ind w:left="400" w:hanging="200"/>
      </w:pPr>
      <w:r>
        <w:rPr>
          <w:b/>
          <w:bCs/>
          <w:color w:val="C7600A"/>
          <w:sz w:val="18"/>
          <w:szCs w:val="18"/>
        </w:rPr>
        <w:t xml:space="preserve">4.  </w:t>
      </w:r>
      <w:r>
        <w:rPr>
          <w:color w:val="000000"/>
          <w:sz w:val="18"/>
          <w:szCs w:val="18"/>
        </w:rPr>
        <w:t xml:space="preserve">IF, in the NEXT reporting period (e.g., the following half-year report), the cash balance falls back down by a similar amount AND financing_cash_flow shows a large repayment within 60 days of the original period-end date → ESCALATE FIN-CSH-002 to severity HIGH for the prior period's report</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2.6  Related-Party and Ownership Structure Rules</w:t>
      </w:r>
    </w:p>
    <w:p>
      <w:pPr>
        <w:spacing w:after="120" w:before="0"/>
      </w:pPr>
      <w:r>
        <w:rPr>
          <w:i/>
          <w:iCs/>
          <w:color w:val="1A3F6F"/>
          <w:sz w:val="20"/>
          <w:szCs w:val="20"/>
        </w:rPr>
        <w:t xml:space="preserve">Why this category exists: </w:t>
      </w:r>
      <w:r>
        <w:rPr>
          <w:color w:val="000000"/>
          <w:sz w:val="20"/>
          <w:szCs w:val="20"/>
        </w:rPr>
        <w:t xml:space="preserve">Complex or undisclosed ownership structures are how the people behind a fraud hide their fingerprints. These rules rely on the entity relationship graph built from ACRA director and shareholder data — the same underlying data structure used by the UBO Resolution Module.</w:t>
      </w:r>
    </w:p>
    <w:p>
      <w:pPr>
        <w:spacing w:after="60" w:before="60"/>
      </w:pPr>
      <w:r>
        <w:t xml:space="preserve"/>
      </w:r>
    </w:p>
    <w:p>
      <w:pPr>
        <w:shd w:fill="0A2540" w:val="clear"/>
        <w:spacing w:after="80" w:before="240"/>
      </w:pPr>
      <w:r>
        <w:rPr>
          <w:b/>
          <w:bCs/>
          <w:color w:val="FFFFFF"/>
          <w:sz w:val="22"/>
          <w:szCs w:val="22"/>
        </w:rPr>
        <w:t xml:space="preserve">  RULE FIN-OWN-001 — Opaque Multi-Layer Ownership</w:t>
      </w:r>
    </w:p>
    <w:p>
      <w:pPr>
        <w:spacing w:after="120" w:before="0"/>
      </w:pPr>
      <w:r>
        <w:rPr>
          <w:color w:val="000000"/>
          <w:sz w:val="20"/>
          <w:szCs w:val="20"/>
        </w:rPr>
        <w:t xml:space="preserve">A genuine, simple company is usually owned directly by a small number of identifiable people. When a company is owned through a long chain of holding companies — each owning the next — it becomes much harder for outsiders (including auditors and regulators) to see who actually controls it and benefits from it.</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Using ACRA shareholder filings, traverse the ownership chain upward from the listed entity until reaching a natural person (the UBO) or until no further data is available</w:t>
      </w:r>
    </w:p>
    <w:p>
      <w:pPr>
        <w:shd w:fill="FFF8E8" w:val="clear"/>
        <w:spacing w:after="20" w:before="20"/>
        <w:ind w:left="400" w:hanging="200"/>
      </w:pPr>
      <w:r>
        <w:rPr>
          <w:b/>
          <w:bCs/>
          <w:color w:val="C7600A"/>
          <w:sz w:val="18"/>
          <w:szCs w:val="18"/>
        </w:rPr>
        <w:t xml:space="preserve">2.  </w:t>
      </w:r>
      <w:r>
        <w:rPr>
          <w:color w:val="000000"/>
          <w:sz w:val="18"/>
          <w:szCs w:val="18"/>
        </w:rPr>
        <w:t xml:space="preserve">Count the number of distinct holding-entity layers between the listed company and its UBO</w:t>
      </w:r>
    </w:p>
    <w:p>
      <w:pPr>
        <w:shd w:fill="FFF8E8" w:val="clear"/>
        <w:spacing w:after="20" w:before="20"/>
        <w:ind w:left="400" w:hanging="200"/>
      </w:pPr>
      <w:r>
        <w:rPr>
          <w:b/>
          <w:bCs/>
          <w:color w:val="C7600A"/>
          <w:sz w:val="18"/>
          <w:szCs w:val="18"/>
        </w:rPr>
        <w:t xml:space="preserve">3.  </w:t>
      </w:r>
      <w:r>
        <w:rPr>
          <w:color w:val="000000"/>
          <w:sz w:val="18"/>
          <w:szCs w:val="18"/>
        </w:rPr>
        <w:t xml:space="preserve">IF the chain exceeds 3 layers → TRIGGER FIN-OWN-001 at severity MEDIUM</w:t>
      </w:r>
    </w:p>
    <w:p>
      <w:pPr>
        <w:shd w:fill="FFF8E8" w:val="clear"/>
        <w:spacing w:after="100" w:before="20"/>
        <w:ind w:left="400" w:hanging="200"/>
      </w:pPr>
      <w:r>
        <w:rPr>
          <w:b/>
          <w:bCs/>
          <w:color w:val="C7600A"/>
          <w:sz w:val="18"/>
          <w:szCs w:val="18"/>
        </w:rPr>
        <w:t xml:space="preserve">4.  </w:t>
      </w:r>
      <w:r>
        <w:rPr>
          <w:color w:val="000000"/>
          <w:sz w:val="18"/>
          <w:szCs w:val="18"/>
        </w:rPr>
        <w:t xml:space="preserve">IF any intermediate holding entity in the chain is incorporated in a jurisdiction commonly associated with limited beneficial ownership disclosure (this jurisdiction list should be maintained and reviewed periodically, not hard-coded permanently) AND no commercial rationale is disclosed → ESCALATE to severity HIGH</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FIN-OWN-002 — Concentrated Single-Party Control with Weak Independent Oversight</w:t>
      </w:r>
    </w:p>
    <w:p>
      <w:pPr>
        <w:spacing w:after="120" w:before="0"/>
      </w:pPr>
      <w:r>
        <w:rPr>
          <w:color w:val="000000"/>
          <w:sz w:val="20"/>
          <w:szCs w:val="20"/>
        </w:rPr>
        <w:t xml:space="preserve">When one person or family controls almost all the votes in a company, and the board doesn't have enough genuinely independent directors to push back on that person's decisions, there is very little internal check against that person manipulating the company's accounts for personal benefit.</w:t>
      </w:r>
    </w:p>
    <w:p>
      <w:pPr>
        <w:shd w:fill="EAEFF5" w:val="clear"/>
        <w:spacing w:after="0" w:before="100"/>
        <w:ind w:left="200" w:right="200"/>
      </w:pPr>
      <w:r>
        <w:rPr>
          <w:b/>
          <w:bCs/>
          <w:color w:val="1A6B3C"/>
          <w:sz w:val="18"/>
          <w:szCs w:val="18"/>
        </w:rPr>
        <w:t xml:space="preserve">FORMULA — Effective Control Percentage + Independent Director Ratio</w:t>
      </w:r>
    </w:p>
    <w:p>
      <w:pPr>
        <w:shd w:fill="EAEFF5" w:val="clear"/>
        <w:spacing w:after="80" w:before="40"/>
        <w:ind w:left="200" w:right="200"/>
      </w:pPr>
      <w:r>
        <w:rPr>
          <w:rFonts w:ascii="Consolas" w:cs="Consolas" w:eastAsia="Consolas" w:hAnsi="Consolas"/>
          <w:b/>
          <w:bCs/>
          <w:color w:val="0A2540"/>
          <w:sz w:val="19"/>
          <w:szCs w:val="19"/>
        </w:rPr>
        <w:t xml:space="preserve">Effective_Control_Pct = (Direct Shares + Indirect Shares via Related Entities) ÷ Total Voting Shares    AND    Independent_Director_Ratio = Independent Directors ÷ Total Board Members</w:t>
      </w:r>
    </w:p>
    <w:p>
      <w:pPr>
        <w:shd w:fill="EAEFF5" w:val="clear"/>
        <w:spacing w:after="80" w:before="0"/>
        <w:ind w:left="200" w:right="200"/>
      </w:pPr>
      <w:r>
        <w:rPr>
          <w:b/>
          <w:bCs/>
          <w:color w:val="1A3F6F"/>
          <w:sz w:val="18"/>
          <w:szCs w:val="18"/>
        </w:rPr>
        <w:t xml:space="preserve">In plain terms: </w:t>
      </w:r>
      <w:r>
        <w:rPr>
          <w:color w:val="000000"/>
          <w:sz w:val="18"/>
          <w:szCs w:val="18"/>
        </w:rPr>
        <w:t xml:space="preserve">The first number shows how much voting power one person or family effectively holds, once you count shares held through companies they control. The second number shows what fraction of the board is genuinely independent and not beholden to that controlling party.</w:t>
      </w:r>
    </w:p>
    <w:p>
      <w:pPr>
        <w:shd w:fill="EAEFF5" w:val="clear"/>
        <w:spacing w:after="20" w:before="0"/>
        <w:ind w:left="200" w:right="200"/>
      </w:pPr>
      <w:r>
        <w:rPr>
          <w:rFonts w:ascii="Consolas" w:cs="Consolas" w:eastAsia="Consolas" w:hAnsi="Consolas"/>
          <w:b w:val="false"/>
          <w:bCs w:val="false"/>
          <w:color w:val="000000"/>
          <w:sz w:val="18"/>
          <w:szCs w:val="18"/>
        </w:rPr>
        <w:t xml:space="preserve">Example: Company F — Chairman directly owns 35% of shares. He also controls (via 100% ownership) two holding companies that together own another 28% of Company F's shares.</w:t>
      </w:r>
    </w:p>
    <w:p>
      <w:pPr>
        <w:shd w:fill="EAEFF5" w:val="clear"/>
        <w:spacing w:after="20" w:before="0"/>
        <w:ind w:left="200" w:right="200"/>
      </w:pPr>
      <w:r>
        <w:rPr>
          <w:rFonts w:ascii="Consolas" w:cs="Consolas" w:eastAsia="Consolas" w:hAnsi="Consolas"/>
          <w:b w:val="false"/>
          <w:bCs w:val="false"/>
          <w:color w:val="000000"/>
          <w:sz w:val="18"/>
          <w:szCs w:val="18"/>
        </w:rPr>
        <w:t xml:space="preserve">Effective_Control_Pct = 35% + 28% = 63%</w:t>
      </w:r>
    </w:p>
    <w:p>
      <w:pPr>
        <w:shd w:fill="EAEFF5" w:val="clear"/>
        <w:spacing w:after="20" w:before="0"/>
        <w:ind w:left="200" w:right="200"/>
      </w:pPr>
      <w:r>
        <w:rPr>
          <w:rFonts w:ascii="Consolas" w:cs="Consolas" w:eastAsia="Consolas" w:hAnsi="Consolas"/>
          <w:b w:val="false"/>
          <w:bCs w:val="false"/>
          <w:color w:val="000000"/>
          <w:sz w:val="18"/>
          <w:szCs w:val="18"/>
        </w:rPr>
        <w:t xml:space="preserve">Company F's board has 7 members, of whom 2 are classified as independent directors</w:t>
      </w:r>
    </w:p>
    <w:p>
      <w:pPr>
        <w:shd w:fill="EAEFF5" w:val="clear"/>
        <w:spacing w:after="20" w:before="0"/>
        <w:ind w:left="200" w:right="200"/>
      </w:pPr>
      <w:r>
        <w:rPr>
          <w:rFonts w:ascii="Consolas" w:cs="Consolas" w:eastAsia="Consolas" w:hAnsi="Consolas"/>
          <w:b w:val="false"/>
          <w:bCs w:val="false"/>
          <w:color w:val="000000"/>
          <w:sz w:val="18"/>
          <w:szCs w:val="18"/>
        </w:rPr>
        <w:t xml:space="preserve">Independent_Director_Ratio = 2 ÷ 7 = 0.286 = 28.6%</w:t>
      </w:r>
    </w:p>
    <w:p>
      <w:pPr>
        <w:shd w:fill="EAEFF5" w:val="clear"/>
        <w:spacing w:after="100" w:before="0"/>
        <w:ind w:left="200" w:right="200"/>
      </w:pPr>
      <w:r>
        <w:rPr>
          <w:rFonts w:ascii="Calibri" w:cs="Calibri" w:eastAsia="Calibri" w:hAnsi="Calibri"/>
          <w:b/>
          <w:bCs/>
          <w:color w:val="000000"/>
          <w:sz w:val="18"/>
          <w:szCs w:val="18"/>
        </w:rPr>
        <w:t xml:space="preserve">Result: The Chairman effectively controls 63% of votes (below the 70% trigger) but the independent director ratio of 28.6% is below the one-third (33.3%) recommended minimum — this combination still triggers a flag for weak oversight.</w:t>
      </w:r>
    </w:p>
    <w:p>
      <w:pPr>
        <w:shd w:fill="FFF8E8" w:val="clear"/>
        <w:spacing w:after="40" w:before="100"/>
        <w:ind w:left="200" w:right="200"/>
      </w:pPr>
      <w:r>
        <w:rPr>
          <w:b/>
          <w:bCs/>
          <w:color w:val="C7600A"/>
          <w:sz w:val="18"/>
          <w:szCs w:val="18"/>
        </w:rPr>
        <w:t xml:space="preserve">HOW THE ENGINE COMPUTES THIS</w:t>
      </w:r>
    </w:p>
    <w:p>
      <w:pPr>
        <w:shd w:fill="FFF8E8" w:val="clear"/>
        <w:spacing w:after="20" w:before="20"/>
        <w:ind w:left="400" w:hanging="200"/>
      </w:pPr>
      <w:r>
        <w:rPr>
          <w:b/>
          <w:bCs/>
          <w:color w:val="C7600A"/>
          <w:sz w:val="18"/>
          <w:szCs w:val="18"/>
        </w:rPr>
        <w:t xml:space="preserve">1.  </w:t>
      </w:r>
      <w:r>
        <w:rPr>
          <w:color w:val="000000"/>
          <w:sz w:val="18"/>
          <w:szCs w:val="18"/>
        </w:rPr>
        <w:t xml:space="preserve">Compute Effective_Control_Pct by combining direct shareholdings (from SGX substantial shareholder filings) with indirect shareholdings held via entities the same individual/family controls (from the ACRA-derived ownership graph)</w:t>
      </w:r>
    </w:p>
    <w:p>
      <w:pPr>
        <w:shd w:fill="FFF8E8" w:val="clear"/>
        <w:spacing w:after="20" w:before="20"/>
        <w:ind w:left="400" w:hanging="200"/>
      </w:pPr>
      <w:r>
        <w:rPr>
          <w:b/>
          <w:bCs/>
          <w:color w:val="C7600A"/>
          <w:sz w:val="18"/>
          <w:szCs w:val="18"/>
        </w:rPr>
        <w:t xml:space="preserve">2.  </w:t>
      </w:r>
      <w:r>
        <w:rPr>
          <w:color w:val="000000"/>
          <w:sz w:val="18"/>
          <w:szCs w:val="18"/>
        </w:rPr>
        <w:t xml:space="preserve">Compute Independent_Director_Ratio from the board composition data disclosed in the annual report</w:t>
      </w:r>
    </w:p>
    <w:p>
      <w:pPr>
        <w:shd w:fill="FFF8E8" w:val="clear"/>
        <w:spacing w:after="20" w:before="20"/>
        <w:ind w:left="400" w:hanging="200"/>
      </w:pPr>
      <w:r>
        <w:rPr>
          <w:b/>
          <w:bCs/>
          <w:color w:val="C7600A"/>
          <w:sz w:val="18"/>
          <w:szCs w:val="18"/>
        </w:rPr>
        <w:t xml:space="preserve">3.  </w:t>
      </w:r>
      <w:r>
        <w:rPr>
          <w:color w:val="000000"/>
          <w:sz w:val="18"/>
          <w:szCs w:val="18"/>
        </w:rPr>
        <w:t xml:space="preserve">IF Effective_Control_Pct &gt; 0.70 (70%) → TRIGGER FIN-OWN-002 at severity MEDIUM, regardless of board composition</w:t>
      </w:r>
    </w:p>
    <w:p>
      <w:pPr>
        <w:shd w:fill="FFF8E8" w:val="clear"/>
        <w:spacing w:after="20" w:before="20"/>
        <w:ind w:left="400" w:hanging="200"/>
      </w:pPr>
      <w:r>
        <w:rPr>
          <w:b/>
          <w:bCs/>
          <w:color w:val="C7600A"/>
          <w:sz w:val="18"/>
          <w:szCs w:val="18"/>
        </w:rPr>
        <w:t xml:space="preserve">4.  </w:t>
      </w:r>
      <w:r>
        <w:rPr>
          <w:color w:val="000000"/>
          <w:sz w:val="18"/>
          <w:szCs w:val="18"/>
        </w:rPr>
        <w:t xml:space="preserve">IF Independent_Director_Ratio &lt; 0.333 (one-third) → TRIGGER FIN-OWN-002 at severity MEDIUM, regardless of control percentage</w:t>
      </w:r>
    </w:p>
    <w:p>
      <w:pPr>
        <w:shd w:fill="FFF8E8" w:val="clear"/>
        <w:spacing w:after="100" w:before="20"/>
        <w:ind w:left="400" w:hanging="200"/>
      </w:pPr>
      <w:r>
        <w:rPr>
          <w:b/>
          <w:bCs/>
          <w:color w:val="C7600A"/>
          <w:sz w:val="18"/>
          <w:szCs w:val="18"/>
        </w:rPr>
        <w:t xml:space="preserve">5.  </w:t>
      </w:r>
      <w:r>
        <w:rPr>
          <w:color w:val="000000"/>
          <w:sz w:val="18"/>
          <w:szCs w:val="18"/>
        </w:rPr>
        <w:t xml:space="preserve">IF BOTH conditions are true simultaneously → ESCALATE to severity HIGH</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2.7  Composite Fraud Risk Scores (Industry-Standard Models)</w:t>
      </w:r>
    </w:p>
    <w:p>
      <w:pPr>
        <w:spacing w:after="120" w:before="0"/>
      </w:pPr>
      <w:r>
        <w:rPr>
          <w:color w:val="000000"/>
          <w:sz w:val="20"/>
          <w:szCs w:val="20"/>
        </w:rPr>
        <w:t xml:space="preserve">In addition to the individual rules above, the engine should compute two well-established composite scores that combine multiple financial ratios into a single number. These are widely used in academic and professional fraud detection and provide a useful cross-check against the individual rule-based flags.</w:t>
      </w:r>
    </w:p>
    <w:p>
      <w:pPr>
        <w:spacing w:after="60" w:before="60"/>
      </w:pPr>
      <w:r>
        <w:t xml:space="preserve"/>
      </w:r>
    </w:p>
    <w:p>
      <w:pPr>
        <w:shd w:fill="0A2540" w:val="clear"/>
        <w:spacing w:after="80" w:before="240"/>
      </w:pPr>
      <w:r>
        <w:rPr>
          <w:b/>
          <w:bCs/>
          <w:color w:val="FFFFFF"/>
          <w:sz w:val="22"/>
          <w:szCs w:val="22"/>
        </w:rPr>
        <w:t xml:space="preserve">  RULE FIN-CMP-001 — Beneish M-Score (Earnings Manipulation Probability)</w:t>
      </w:r>
    </w:p>
    <w:p>
      <w:pPr>
        <w:spacing w:after="120" w:before="0"/>
      </w:pPr>
      <w:r>
        <w:rPr>
          <w:color w:val="000000"/>
          <w:sz w:val="20"/>
          <w:szCs w:val="20"/>
        </w:rPr>
        <w:t xml:space="preserve">The Beneish M-Score is a published, peer-reviewed formula (developed by Professor Messod Beneish) that combines eight financial ratios into a single score estimating the probability that a company is manipulating its earnings. It was originally built by analysing companies later proven to have committed accounting fraud, comparing them against companies that had not.</w:t>
      </w:r>
    </w:p>
    <w:p>
      <w:pPr>
        <w:shd w:fill="EAEFF5" w:val="clear"/>
        <w:spacing w:after="0" w:before="100"/>
        <w:ind w:left="200" w:right="200"/>
      </w:pPr>
      <w:r>
        <w:rPr>
          <w:b/>
          <w:bCs/>
          <w:color w:val="1A6B3C"/>
          <w:sz w:val="18"/>
          <w:szCs w:val="18"/>
        </w:rPr>
        <w:t xml:space="preserve">FORMULA — Beneish M-Score (simplified structure)</w:t>
      </w:r>
    </w:p>
    <w:p>
      <w:pPr>
        <w:shd w:fill="EAEFF5" w:val="clear"/>
        <w:spacing w:after="80" w:before="40"/>
        <w:ind w:left="200" w:right="200"/>
      </w:pPr>
      <w:r>
        <w:rPr>
          <w:rFonts w:ascii="Consolas" w:cs="Consolas" w:eastAsia="Consolas" w:hAnsi="Consolas"/>
          <w:b/>
          <w:bCs/>
          <w:color w:val="0A2540"/>
          <w:sz w:val="19"/>
          <w:szCs w:val="19"/>
        </w:rPr>
        <w:t xml:space="preserve">M-Score = −4.84 + 0.92×DSRI + 0.528×GMI + 0.404×AQI + 0.892×SGI + 0.115×DEPI − 0.172×SGAI + 4.679×TATA − 0.327×LVGI</w:t>
      </w:r>
    </w:p>
    <w:p>
      <w:pPr>
        <w:shd w:fill="EAEFF5" w:val="clear"/>
        <w:spacing w:after="80" w:before="0"/>
        <w:ind w:left="200" w:right="200"/>
      </w:pPr>
      <w:r>
        <w:rPr>
          <w:b/>
          <w:bCs/>
          <w:color w:val="1A3F6F"/>
          <w:sz w:val="18"/>
          <w:szCs w:val="18"/>
        </w:rPr>
        <w:t xml:space="preserve">In plain terms: </w:t>
      </w:r>
      <w:r>
        <w:rPr>
          <w:color w:val="000000"/>
          <w:sz w:val="18"/>
          <w:szCs w:val="18"/>
        </w:rPr>
        <w:t xml:space="preserve">This is a weighted sum of eight sub-ratios, each comparing the current period to the prior period (e.g., DSRI = Days Sales in Receivables Index, GMI = Gross Margin Index, AQI = Asset Quality Index, SGI = Sales Growth Index, and so on). A score above −1.78 suggests an elevated probability of earnings manipulation; a score below −1.78 suggests a lower probability. The exact calculation of each of the eight sub-ratios should be implemented by the data science team using the original published Beneish (1999) methodology — engineering should treat this as a single composite-score module fed by the same financial_periods[] data already being ingested for the rules above.</w:t>
      </w:r>
    </w:p>
    <w:p>
      <w:pPr>
        <w:shd w:fill="EAEFF5" w:val="clear"/>
        <w:spacing w:after="20" w:before="0"/>
        <w:ind w:left="200" w:right="200"/>
      </w:pPr>
      <w:r>
        <w:rPr>
          <w:rFonts w:ascii="Consolas" w:cs="Consolas" w:eastAsia="Consolas" w:hAnsi="Consolas"/>
          <w:b w:val="false"/>
          <w:bCs w:val="false"/>
          <w:color w:val="000000"/>
          <w:sz w:val="18"/>
          <w:szCs w:val="18"/>
        </w:rPr>
        <w:t xml:space="preserve">This rule should be built as a self-contained scoring module that consumes two consecutive financial_periods[] records (current and prior) and outputs a single numeric M-Score plus a binary manipulation_likely flag (true if M-Score &gt; −1.78).</w:t>
      </w:r>
    </w:p>
    <w:p>
      <w:pPr>
        <w:shd w:fill="EAEFF5" w:val="clear"/>
        <w:spacing w:after="100" w:before="0"/>
        <w:ind w:left="200" w:right="200"/>
      </w:pPr>
      <w:r>
        <w:rPr>
          <w:rFonts w:ascii="Calibri" w:cs="Calibri" w:eastAsia="Calibri" w:hAnsi="Calibri"/>
          <w:b/>
          <w:bCs/>
          <w:color w:val="000000"/>
          <w:sz w:val="18"/>
          <w:szCs w:val="18"/>
        </w:rPr>
        <w:t xml:space="preserve">TRIGGER FIN-CMP-001 at severity HIGH when manipulation_likely = true. This acts as a single consolidated cross-check against the individual rules in 2.2–2.6 — if several individual rules AND the M-Score both flag the same entity, confidence in the overall risk classification should increase materially (see Section 2.8).</w:t>
      </w:r>
    </w:p>
    <w:p>
      <w:pPr>
        <w:spacing w:after="80" w:before="80"/>
        <w:ind w:left="360"/>
      </w:pPr>
      <w:r>
        <w:rPr>
          <w:b/>
          <w:bCs/>
          <w:color w:val="C7600A"/>
          <w:sz w:val="18"/>
          <w:szCs w:val="18"/>
        </w:rPr>
        <w:t xml:space="preserve">⚠  Implementation Note: </w:t>
      </w:r>
      <w:r>
        <w:rPr>
          <w:i/>
          <w:iCs/>
          <w:color w:val="C7600A"/>
          <w:sz w:val="18"/>
          <w:szCs w:val="18"/>
        </w:rPr>
        <w:t xml:space="preserve">The data science team should source the precise Beneish M-Score sub-ratio formulas from the original published methodology (Beneish, M.D., 'The Detection of Earnings Manipulation', Financial Analysts Journal, 1999) rather than from this document, to ensure mathematical accuracy. This document specifies the rule's role in the system, not the underlying academic derivation.</w:t>
      </w:r>
    </w:p>
    <w:p>
      <w:pPr>
        <w:spacing w:after="60" w:before="60"/>
      </w:pPr>
      <w:r>
        <w:t xml:space="preserve"/>
      </w:r>
    </w:p>
    <w:p>
      <w:pPr>
        <w:spacing w:after="60" w:before="60"/>
      </w:pPr>
      <w:r>
        <w:t xml:space="preserve"/>
      </w:r>
    </w:p>
    <w:p>
      <w:pPr>
        <w:shd w:fill="0A2540" w:val="clear"/>
        <w:spacing w:after="80" w:before="240"/>
      </w:pPr>
      <w:r>
        <w:rPr>
          <w:b/>
          <w:bCs/>
          <w:color w:val="FFFFFF"/>
          <w:sz w:val="22"/>
          <w:szCs w:val="22"/>
        </w:rPr>
        <w:t xml:space="preserve">  RULE FIN-CMP-002 — Altman Z-Score (Bankruptcy / Financial Distress Probability)</w:t>
      </w:r>
    </w:p>
    <w:p>
      <w:pPr>
        <w:spacing w:after="120" w:before="0"/>
      </w:pPr>
      <w:r>
        <w:rPr>
          <w:color w:val="000000"/>
          <w:sz w:val="20"/>
          <w:szCs w:val="20"/>
        </w:rPr>
        <w:t xml:space="preserve">The Altman Z-Score is a separate, well-established formula estimating a company's probability of bankruptcy within two years. While it is not a fraud-detection tool by itself, financial distress is one of the strongest known motivators for management to commit fraud — a company facing real failure has a strong incentive to manipulate its numbers to survive. The engine should compute this score and use it as a contextual risk multiplier.</w:t>
      </w:r>
    </w:p>
    <w:p>
      <w:pPr>
        <w:shd w:fill="EAEFF5" w:val="clear"/>
        <w:spacing w:after="0" w:before="100"/>
        <w:ind w:left="200" w:right="200"/>
      </w:pPr>
      <w:r>
        <w:rPr>
          <w:b/>
          <w:bCs/>
          <w:color w:val="1A6B3C"/>
          <w:sz w:val="18"/>
          <w:szCs w:val="18"/>
        </w:rPr>
        <w:t xml:space="preserve">FORMULA — Altman Z-Score (for manufacturing/general public companies)</w:t>
      </w:r>
    </w:p>
    <w:p>
      <w:pPr>
        <w:shd w:fill="EAEFF5" w:val="clear"/>
        <w:spacing w:after="80" w:before="40"/>
        <w:ind w:left="200" w:right="200"/>
      </w:pPr>
      <w:r>
        <w:rPr>
          <w:rFonts w:ascii="Consolas" w:cs="Consolas" w:eastAsia="Consolas" w:hAnsi="Consolas"/>
          <w:b/>
          <w:bCs/>
          <w:color w:val="0A2540"/>
          <w:sz w:val="19"/>
          <w:szCs w:val="19"/>
        </w:rPr>
        <w:t xml:space="preserve">Z = 1.2×A + 1.4×B + 3.3×C + 0.6×D + 1.0×E   where: A = Working Capital ÷ Total Assets, B = Retained Earnings ÷ Total Assets, C = EBIT ÷ Total Assets, D = Market Value of Equity ÷ Total Liabilities, E = Revenue ÷ Total Assets</w:t>
      </w:r>
    </w:p>
    <w:p>
      <w:pPr>
        <w:shd w:fill="EAEFF5" w:val="clear"/>
        <w:spacing w:after="80" w:before="0"/>
        <w:ind w:left="200" w:right="200"/>
      </w:pPr>
      <w:r>
        <w:rPr>
          <w:b/>
          <w:bCs/>
          <w:color w:val="1A3F6F"/>
          <w:sz w:val="18"/>
          <w:szCs w:val="18"/>
        </w:rPr>
        <w:t xml:space="preserve">In plain terms: </w:t>
      </w:r>
      <w:r>
        <w:rPr>
          <w:color w:val="000000"/>
          <w:sz w:val="18"/>
          <w:szCs w:val="18"/>
        </w:rPr>
        <w:t xml:space="preserve">Like the Beneish score, this combines five ratios into a single number. A score below 1.8 indicates high bankruptcy risk (the 'distress zone'); a score above 3.0 indicates low risk (the 'safe zone'); scores in between are a 'grey zone' requiring further review.</w:t>
      </w:r>
    </w:p>
    <w:p>
      <w:pPr>
        <w:shd w:fill="EAEFF5" w:val="clear"/>
        <w:spacing w:after="20" w:before="0"/>
        <w:ind w:left="200" w:right="200"/>
      </w:pPr>
      <w:r>
        <w:rPr>
          <w:rFonts w:ascii="Consolas" w:cs="Consolas" w:eastAsia="Consolas" w:hAnsi="Consolas"/>
          <w:b w:val="false"/>
          <w:bCs w:val="false"/>
          <w:color w:val="000000"/>
          <w:sz w:val="18"/>
          <w:szCs w:val="18"/>
        </w:rPr>
        <w:t xml:space="preserve">This should also be built as a self-contained scoring module, consuming the same financial_periods[] data plus market capitalisation from SGX market data.</w:t>
      </w:r>
    </w:p>
    <w:p>
      <w:pPr>
        <w:shd w:fill="EAEFF5" w:val="clear"/>
        <w:spacing w:after="100" w:before="0"/>
        <w:ind w:left="200" w:right="200"/>
      </w:pPr>
      <w:r>
        <w:rPr>
          <w:rFonts w:ascii="Calibri" w:cs="Calibri" w:eastAsia="Calibri" w:hAnsi="Calibri"/>
          <w:b/>
          <w:bCs/>
          <w:color w:val="000000"/>
          <w:sz w:val="18"/>
          <w:szCs w:val="18"/>
        </w:rPr>
        <w:t xml:space="preserve">TRIGGER FIN-CMP-002 at severity MEDIUM when Z-Score &lt; 1.8 (distress zone). This flag does not by itself indicate fraud, but when an entity also has multiple HIGH or CRITICAL flags from Sections 2.2–2.6, a low Z-Score should be used as a severity multiplier in the aggregation logic in Section 2.8 (financial distress increases the likelihood that other flagged anomalies represent deliberate manipulation rather than innocent error).</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2.8  Aggregation Logic — From Individual Rules to a Single Risk Tier</w:t>
      </w:r>
    </w:p>
    <w:p>
      <w:pPr>
        <w:spacing w:after="120" w:before="0"/>
      </w:pPr>
      <w:r>
        <w:rPr>
          <w:color w:val="000000"/>
          <w:sz w:val="20"/>
          <w:szCs w:val="20"/>
        </w:rPr>
        <w:t xml:space="preserve">Every rule above produces an independent result object (see Section 0's Standard Output Format). The aggregation engine combines all triggered flags for a single entity, in a single reporting period, into one overall risk tier. This section specifies exactly how that combination should work.</w:t>
      </w:r>
    </w:p>
    <w:p>
      <w:pPr>
        <w:spacing w:after="60" w:before="60"/>
      </w:pPr>
      <w:r>
        <w:t xml:space="preserve"/>
      </w:r>
    </w:p>
    <w:p>
      <w:pPr>
        <w:spacing w:after="60" w:before="160"/>
      </w:pPr>
      <w:r>
        <w:rPr>
          <w:b/>
          <w:bCs/>
          <w:color w:val="1A3F6F"/>
          <w:sz w:val="20"/>
          <w:szCs w:val="20"/>
        </w:rPr>
        <w:t xml:space="preserve">2.8.1  Severity Weights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0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Severity Level</w:t>
            </w:r>
          </w:p>
        </w:tc>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Numeric Weight</w:t>
            </w:r>
          </w:p>
        </w:tc>
        <w:tc>
          <w:tcPr>
            <w:tcW w:type="dxa" w:w="56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Meaning</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CRITICAL</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40 points</w:t>
            </w:r>
          </w:p>
        </w:tc>
        <w:tc>
          <w:tcPr>
            <w:tcW w:type="dxa" w:w="56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Near-certain indicator of deliberate manipulation (e.g., round-tripping confirmed, negative cash conversion)</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HIGH</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20 points</w:t>
            </w:r>
          </w:p>
        </w:tc>
        <w:tc>
          <w:tcPr>
            <w:tcW w:type="dxa" w:w="56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Strong individual indicator requiring priority review</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MEDIUM</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8 points</w:t>
            </w:r>
          </w:p>
        </w:tc>
        <w:tc>
          <w:tcPr>
            <w:tcW w:type="dxa" w:w="56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Notable anomaly that alone is inconclusive but contributes to overall risk picture</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LOW</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3 points</w:t>
            </w:r>
          </w:p>
        </w:tc>
        <w:tc>
          <w:tcPr>
            <w:tcW w:type="dxa" w:w="56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Minor anomaly, primarily useful for trend-tracking over time</w:t>
            </w:r>
          </w:p>
        </w:tc>
      </w:tr>
    </w:tbl>
    <w:p>
      <w:pPr>
        <w:spacing w:after="60" w:before="60"/>
      </w:pPr>
      <w:r>
        <w:t xml:space="preserve"/>
      </w:r>
    </w:p>
    <w:p>
      <w:pPr>
        <w:spacing w:after="60" w:before="160"/>
      </w:pPr>
      <w:r>
        <w:rPr>
          <w:b/>
          <w:bCs/>
          <w:color w:val="1A3F6F"/>
          <w:sz w:val="20"/>
          <w:szCs w:val="20"/>
        </w:rPr>
        <w:t xml:space="preserve">2.8.2  Composite Score Calculation</w:t>
      </w:r>
    </w:p>
    <w:p>
      <w:pPr>
        <w:spacing w:after="40" w:before="40"/>
        <w:ind w:left="360" w:hanging="280"/>
      </w:pPr>
      <w:r>
        <w:rPr>
          <w:color w:val="000000"/>
          <w:sz w:val="20"/>
          <w:szCs w:val="20"/>
        </w:rPr>
        <w:t xml:space="preserve">•  composite_score = SUM of (severity weight) for every TRIGGERED flag across all rules in Sections 2.2–2.7, for the entity's most recent reporting period</w:t>
      </w:r>
    </w:p>
    <w:p>
      <w:pPr>
        <w:spacing w:after="40" w:before="40"/>
        <w:ind w:left="360" w:hanging="280"/>
      </w:pPr>
      <w:r>
        <w:rPr>
          <w:color w:val="000000"/>
          <w:sz w:val="20"/>
          <w:szCs w:val="20"/>
        </w:rPr>
        <w:t xml:space="preserve">•  IF any single flag has severity = CRITICAL → the entity's overall risk_tier is automatically set to CRITICAL, regardless of composite_score (a CRITICAL flag should never be diluted by averaging against other low-severity results)</w:t>
      </w:r>
    </w:p>
    <w:p>
      <w:pPr>
        <w:spacing w:after="40" w:before="40"/>
        <w:ind w:left="360" w:hanging="280"/>
      </w:pPr>
      <w:r>
        <w:rPr>
          <w:color w:val="000000"/>
          <w:sz w:val="20"/>
          <w:szCs w:val="20"/>
        </w:rPr>
        <w:t xml:space="preserve">•  Otherwise, map composite_score to risk_tier using the table below</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dxa" w:w="40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composite_score Range</w:t>
            </w:r>
          </w:p>
        </w:tc>
        <w:tc>
          <w:tcPr>
            <w:tcW w:type="dxa" w:w="60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Resulting risk_tier</w:t>
            </w:r>
          </w:p>
        </w:tc>
      </w:tr>
      <w:tr>
        <w:tc>
          <w:tcPr>
            <w:tcW w:type="dxa" w:w="4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 60 points (without an automatic CRITICAL override)</w:t>
            </w:r>
          </w:p>
        </w:tc>
        <w:tc>
          <w:tcPr>
            <w:tcW w:type="dxa" w:w="6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HIGH</w:t>
            </w:r>
          </w:p>
        </w:tc>
      </w:tr>
      <w:tr>
        <w:tc>
          <w:tcPr>
            <w:tcW w:type="dxa" w:w="4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30 – 59 points</w:t>
            </w:r>
          </w:p>
        </w:tc>
        <w:tc>
          <w:tcPr>
            <w:tcW w:type="dxa" w:w="6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MEDIUM</w:t>
            </w:r>
          </w:p>
        </w:tc>
      </w:tr>
      <w:tr>
        <w:tc>
          <w:tcPr>
            <w:tcW w:type="dxa" w:w="4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10 – 29 points</w:t>
            </w:r>
          </w:p>
        </w:tc>
        <w:tc>
          <w:tcPr>
            <w:tcW w:type="dxa" w:w="60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LOW / WATCH</w:t>
            </w:r>
          </w:p>
        </w:tc>
      </w:tr>
      <w:tr>
        <w:tc>
          <w:tcPr>
            <w:tcW w:type="dxa" w:w="4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0 – 9 points</w:t>
            </w:r>
          </w:p>
        </w:tc>
        <w:tc>
          <w:tcPr>
            <w:tcW w:type="dxa" w:w="60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No elevated risk — standard monitoring only</w:t>
            </w:r>
          </w:p>
        </w:tc>
      </w:tr>
    </w:tbl>
    <w:p>
      <w:pPr>
        <w:spacing w:after="60" w:before="60"/>
      </w:pPr>
      <w:r>
        <w:t xml:space="preserve"/>
      </w:r>
    </w:p>
    <w:p>
      <w:pPr>
        <w:spacing w:after="60" w:before="160"/>
      </w:pPr>
      <w:r>
        <w:rPr>
          <w:b/>
          <w:bCs/>
          <w:color w:val="1A3F6F"/>
          <w:sz w:val="20"/>
          <w:szCs w:val="20"/>
        </w:rPr>
        <w:t xml:space="preserve">2.8.3  Required Output Per Entity, Per Reporting Period</w:t>
      </w:r>
    </w:p>
    <w:p>
      <w:pPr>
        <w:spacing w:after="40" w:before="40"/>
        <w:ind w:left="360" w:hanging="280"/>
      </w:pPr>
      <w:r>
        <w:rPr>
          <w:color w:val="000000"/>
          <w:sz w:val="20"/>
          <w:szCs w:val="20"/>
        </w:rPr>
        <w:t xml:space="preserve">•  entity_id, period_label, risk_tier, composite_score</w:t>
      </w:r>
    </w:p>
    <w:p>
      <w:pPr>
        <w:spacing w:after="40" w:before="40"/>
        <w:ind w:left="360" w:hanging="280"/>
      </w:pPr>
      <w:r>
        <w:rPr>
          <w:color w:val="000000"/>
          <w:sz w:val="20"/>
          <w:szCs w:val="20"/>
        </w:rPr>
        <w:t xml:space="preserve">•  Full array of every result object from every rule that was evaluated (whether triggered or not, for audit completeness)</w:t>
      </w:r>
    </w:p>
    <w:p>
      <w:pPr>
        <w:spacing w:after="40" w:before="40"/>
        <w:ind w:left="360" w:hanging="280"/>
      </w:pPr>
      <w:r>
        <w:rPr>
          <w:color w:val="000000"/>
          <w:sz w:val="20"/>
          <w:szCs w:val="20"/>
        </w:rPr>
        <w:t xml:space="preserve">•  Beneish M-Score and Altman Z-Score values (Section 2.7) alongside their pass/fail status</w:t>
      </w:r>
    </w:p>
    <w:p>
      <w:pPr>
        <w:spacing w:after="40" w:before="40"/>
        <w:ind w:left="360" w:hanging="280"/>
      </w:pPr>
      <w:r>
        <w:rPr>
          <w:color w:val="000000"/>
          <w:sz w:val="20"/>
          <w:szCs w:val="20"/>
        </w:rPr>
        <w:t xml:space="preserve">•  A plain-language summary auto-generated from the triggered flags (e.g., "This entity shows 3 HIGH-severity revenue-related flags and a Beneish M-Score above the manipulation threshold, primarily driven by a sharp divergence between reported profit and operating cash flow.")</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2.9  Material Events Monitoring (Non-Financial Triggers)</w:t>
      </w:r>
    </w:p>
    <w:p>
      <w:pPr>
        <w:spacing w:after="120" w:before="0"/>
      </w:pPr>
      <w:r>
        <w:rPr>
          <w:color w:val="000000"/>
          <w:sz w:val="20"/>
          <w:szCs w:val="20"/>
        </w:rPr>
        <w:t xml:space="preserve">In addition to the financial statement rules above, the following events should trigger an immediate, independent alert regardless of the entity's current composite_score, because each is individually significant enough to warrant attention. These are detected from announcement text on SGXNET rather than from numeric financial data, and should be built as a separate event-classification pipeline (e.g., a text classifier trained to categorise SGXNET announcement types).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900"/>
        <w:gridCol w:w="220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Event</w:t>
            </w:r>
          </w:p>
        </w:tc>
        <w:tc>
          <w:tcPr>
            <w:tcW w:type="dxa" w:w="27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Why It Matters</w:t>
            </w:r>
          </w:p>
        </w:tc>
        <w:tc>
          <w:tcPr>
            <w:tcW w:type="dxa" w:w="29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Detection Approach</w:t>
            </w:r>
          </w:p>
        </w:tc>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Auto-Assigned Severity</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Sudden resignation of external auditor</w:t>
            </w:r>
          </w:p>
        </w:tc>
        <w:tc>
          <w:tcPr>
            <w:tcW w:type="dxa" w:w="27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Auditors who resign mid-engagement, especially without a clear administrative reason, may have uncovered something they could not get comfortable with, or faced disagreement with management over the numbers.</w:t>
            </w:r>
          </w:p>
        </w:tc>
        <w:tc>
          <w:tcPr>
            <w:tcW w:type="dxa" w:w="2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Classify SGXNET announcement text for 'auditor resignation' / 'cessation of auditor' category. Check the announcement for the stated reason — if the company cites disagreement, scope limitation, or 'unable to obtain sufficient evidence', escalate severity</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HIGH (escalates to CRITICAL if the disclosed reason references inability to obtain evidence or disagreement with management)</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Qualified, adverse, or disclaimer audit opinion</w:t>
            </w:r>
          </w:p>
        </w:tc>
        <w:tc>
          <w:tcPr>
            <w:tcW w:type="dxa" w:w="27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These are formal signals from the company's own independent auditor that something in the accounts could not be verified or is materially wrong.</w:t>
            </w:r>
          </w:p>
        </w:tc>
        <w:tc>
          <w:tcPr>
            <w:tcW w:type="dxa" w:w="2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Extract auditor_opinion_type directly from the cover page of the auditor's report (text extraction, not numeric)</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Qualified = HIGH; Adverse or Disclaimer = CRITICAL; Emphasis of Matter = MEDIUM</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Going concern doubt</w:t>
            </w:r>
          </w:p>
        </w:tc>
        <w:tc>
          <w:tcPr>
            <w:tcW w:type="dxa" w:w="27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The auditor doubts whether the company can keep operating for the next 12 months — an explicit statement that bankruptcy risk is real and disclosed.</w:t>
            </w:r>
          </w:p>
        </w:tc>
        <w:tc>
          <w:tcPr>
            <w:tcW w:type="dxa" w:w="2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Classify auditor's report text for 'going concern' / 'material uncertainty' language</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HIGH</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Sudden CEO, CFO, or Chairman resignation</w:t>
            </w:r>
          </w:p>
        </w:tc>
        <w:tc>
          <w:tcPr>
            <w:tcW w:type="dxa" w:w="27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Key executives — especially the CFO, who signs off on the numbers — leaving suddenly and without explanation may indicate internal disagreement over the financial statements.</w:t>
            </w:r>
          </w:p>
        </w:tc>
        <w:tc>
          <w:tcPr>
            <w:tcW w:type="dxa" w:w="2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Classify SGXNET director/officer change announcements; flag resignations with no stated reason, or resignations occurring within 30 days of a financial reporting deadline</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HIGH</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Restatement of previously published financial statements</w:t>
            </w:r>
          </w:p>
        </w:tc>
        <w:tc>
          <w:tcPr>
            <w:tcW w:type="dxa" w:w="27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The company itself admitting that previously published numbers were wrong is one of the clearest possible signals that something was previously misstated, whether by error or intent.</w:t>
            </w:r>
          </w:p>
        </w:tc>
        <w:tc>
          <w:tcPr>
            <w:tcW w:type="dxa" w:w="29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Classify SGXNET announcements for 'restatement' category; compare the restated figures against originally published figures to compute the magnitude of the change</w:t>
            </w:r>
          </w:p>
        </w:tc>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Restatement reducing revenue or profit by &gt;5% = HIGH; &gt;15% = CRITICAL</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Trade-with-Caution (TWC) designation</w:t>
            </w:r>
          </w:p>
        </w:tc>
        <w:tc>
          <w:tcPr>
            <w:tcW w:type="dxa" w:w="27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RegCo itself has flagged the entity as warranting investor caution — an external, independent confirmation of risk.</w:t>
            </w:r>
          </w:p>
        </w:tc>
        <w:tc>
          <w:tcPr>
            <w:tcW w:type="dxa" w:w="29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Monitor SGX RegCo's published TWC list/announcements directly</w:t>
            </w:r>
          </w:p>
        </w:tc>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HIGH</w:t>
            </w:r>
          </w:p>
        </w:tc>
      </w:tr>
    </w:tbl>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2"/>
        <w:spacing w:after="120" w:before="240"/>
      </w:pPr>
      <w:r>
        <w:rPr>
          <w:b/>
          <w:bCs/>
          <w:color w:val="0A2540"/>
          <w:sz w:val="24"/>
          <w:szCs w:val="24"/>
        </w:rPr>
        <w:t xml:space="preserve">2.10  Explainability Requirements</w:t>
      </w:r>
    </w:p>
    <w:p>
      <w:pPr>
        <w:spacing w:after="120" w:before="0"/>
      </w:pPr>
      <w:r>
        <w:rPr>
          <w:color w:val="000000"/>
          <w:sz w:val="20"/>
          <w:szCs w:val="20"/>
        </w:rPr>
        <w:t xml:space="preserve">Every output the engine produces must be traceable back to its source data. This is a hard functional requirement, not a nice-to-have — both for engineering testability and because the eventual users (compliance officers, auditors, regulators) must be able to verify every claim the engine makes.</w:t>
      </w:r>
    </w:p>
    <w:p>
      <w:pPr>
        <w:spacing w:after="40" w:before="40"/>
        <w:ind w:left="360" w:hanging="280"/>
      </w:pPr>
      <w:r>
        <w:rPr>
          <w:color w:val="000000"/>
          <w:sz w:val="20"/>
          <w:szCs w:val="20"/>
        </w:rPr>
        <w:t xml:space="preserve">•  Every triggered flag must store the exact source document and, where possible, the page or note reference it was extracted from</w:t>
      </w:r>
    </w:p>
    <w:p>
      <w:pPr>
        <w:spacing w:after="40" w:before="40"/>
        <w:ind w:left="360" w:hanging="280"/>
      </w:pPr>
      <w:r>
        <w:rPr>
          <w:color w:val="000000"/>
          <w:sz w:val="20"/>
          <w:szCs w:val="20"/>
        </w:rPr>
        <w:t xml:space="preserve">•  Every computed ratio must store both the raw input values and the computed result, so a human reviewer can manually verify the calculation</w:t>
      </w:r>
    </w:p>
    <w:p>
      <w:pPr>
        <w:spacing w:after="40" w:before="40"/>
        <w:ind w:left="360" w:hanging="280"/>
      </w:pPr>
      <w:r>
        <w:rPr>
          <w:color w:val="000000"/>
          <w:sz w:val="20"/>
          <w:szCs w:val="20"/>
        </w:rPr>
        <w:t xml:space="preserve">•  No flag should ever be presented without its corresponding threshold, so the reviewer can see not just "this was flagged" but "this was flagged because X exceeded threshold Y"</w:t>
      </w:r>
    </w:p>
    <w:p>
      <w:pPr>
        <w:spacing w:after="40" w:before="40"/>
        <w:ind w:left="360" w:hanging="280"/>
      </w:pPr>
      <w:r>
        <w:rPr>
          <w:color w:val="000000"/>
          <w:sz w:val="20"/>
          <w:szCs w:val="20"/>
        </w:rPr>
        <w:t xml:space="preserve">•  The auto-generated plain-language summary (Section 2.8.3) must be generated from a template that directly references the underlying triggered flags — never from a free-form language model summarisation step that could introduce unverified claims</w:t>
      </w:r>
    </w:p>
    <w:p>
      <w:pPr>
        <w:spacing w:after="60" w:before="60"/>
      </w:pPr>
      <w:r>
        <w:t xml:space="preserve"/>
      </w:r>
    </w:p>
    <w:p>
      <w:pPr>
        <w:spacing w:after="60" w:before="60"/>
      </w:pPr>
      <w:r>
        <w:t xml:space="preserve"/>
      </w:r>
    </w:p>
    <w:p>
      <w:pPr>
        <w:pBdr>
          <w:bottom w:val="single" w:color="D5DCE4" w:sz="4"/>
        </w:pBdr>
        <w:spacing w:after="120" w:before="120"/>
      </w:pPr>
      <w:r>
        <w:t xml:space="preserve"/>
      </w:r>
    </w:p>
    <w:p>
      <w:pPr>
        <w:pStyle w:val="Heading1"/>
        <w:spacing w:after="120" w:before="240"/>
      </w:pPr>
      <w:r>
        <w:rPr>
          <w:b/>
          <w:bCs/>
          <w:color w:val="0A2540"/>
          <w:sz w:val="28"/>
          <w:szCs w:val="28"/>
        </w:rPr>
        <w:t xml:space="preserve">GLOSSARY OF KEY TERMS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Term</w:t>
            </w:r>
          </w:p>
        </w:tc>
        <w:tc>
          <w:tcPr>
            <w:tcW w:type="dxa" w:w="7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vAlign w:val="center"/>
          </w:tcPr>
          <w:p>
            <w:pPr>
              <w:jc w:val="center"/>
            </w:pPr>
            <w:r>
              <w:rPr>
                <w:b/>
                <w:bCs/>
                <w:color w:val="FFFFFF"/>
                <w:sz w:val="18"/>
                <w:szCs w:val="18"/>
              </w:rPr>
              <w:t xml:space="preserve">Definition</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Accounts Receivable</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Money owed to the company by its customers for goods/services already delivered but not yet paid for</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Accounts Payable</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Money the company owes to its suppliers for goods/services already received but not yet paid for</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ACRA</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Accounting and Corporate Regulatory Authority — Singapore's national regulator for companies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Altman Z-Score</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 published formula combining five financial ratios to estimate a company's probability of bankruptcy within two years</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Arm's Length</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 transaction priced as if the two parties were unrelated strangers negotiating fairly, with no special favour given</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Beneish M-Score</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 published formula combining eight financial ratios to estimate the probability that a company is manipulating its earnings</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Capitalising (an expense)</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Recording a cost as an asset on the balance sheet (spread over future years) instead of as an immediate expense that reduces this year's profit</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Cash Conversion Ratio</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Operating Cash Flow ÷ Net Profit — measures how much of reported profit is backed by real cash</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Channel Stuffing</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Pushing excess goods to distributors near period-end to inflate reported revenue, often with an understanding that goods will be returned later</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Days Sales Outstanding (DSO)</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The average number of days it takes a company to collect cash after making a sale</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Goodwill</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An intangible asset representing the premium paid in an acquisition above the fair value of the target's identifiable net assets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Gross Margin</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(Revenue − Cost of Goods Sold) ÷ Revenue — the percentage of revenue retained after direct production costs</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Impairment</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 formal write-down in the recorded value of an asset because it is now worth less than its book value</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Income Statement</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The financial statement showing revenue earned and expenses incurred over a period (also called Profit &amp; Loss / P&amp;L)</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ISA 240</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International Standard on Auditing 240 — The Auditor's Responsibilities Relating to Fraud in an Audit of Financial Statements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Net Profit</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Revenue minus all expenses, taxes, and costs — the 'bottom line' of the Income Statement</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Provisions</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Amounts a company sets aside on its books for probable future costs (e.g., expected product returns, lawsuit losses)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Related Party</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An entity connected to the company through common ownership, directorship, or close family relationship to a director/major shareholder</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Restatement</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A formal correction and republication of previously issued financial statements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Round-Tripping</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Sending money out to a related party (disguised as a loan/investment) which then comes back labelled as revenue, creating fake sales</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SFRS(I)</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Singapore Financial Reporting Standards (International) — Singapore's accounting standards, aligned to IFRS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RegCo</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SGX Regulation — the independent regulatory subsidiary of the Singapore Exchange responsible for listing rule enforcement</w:t>
            </w:r>
          </w:p>
        </w:tc>
      </w:tr>
      <w:tr>
        <w:tc>
          <w:tcPr>
            <w:tcW w:type="dxa" w:w="22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SGXNET</w:t>
            </w:r>
          </w:p>
        </w:tc>
        <w:tc>
          <w:tcPr>
            <w:tcW w:type="dxa" w:w="7800"/>
            <w:tcBorders>
              <w:top w:val="single" w:color="D5DCE4" w:sz="4"/>
              <w:left w:val="single" w:color="D5DCE4" w:sz="4"/>
              <w:bottom w:val="single" w:color="D5DCE4" w:sz="4"/>
              <w:right w:val="single" w:color="D5DCE4" w:sz="4"/>
            </w:tcBorders>
            <w:shd w:fill="FFFFFF" w:val="clear"/>
            <w:tcMar>
              <w:top w:type="dxa" w:w="60"/>
              <w:left w:type="dxa" w:w="120"/>
              <w:bottom w:type="dxa" w:w="60"/>
              <w:right w:type="dxa" w:w="120"/>
            </w:tcMar>
            <w:vAlign w:val="top"/>
          </w:tcPr>
          <w:p>
            <w:r>
              <w:rPr>
                <w:color w:val="000000"/>
                <w:sz w:val="18"/>
                <w:szCs w:val="18"/>
              </w:rPr>
              <w:t xml:space="preserve">The official online portal through which SGX-listed companies make all regulatory announcements</w:t>
            </w:r>
          </w:p>
        </w:tc>
      </w:tr>
      <w:tr>
        <w:tc>
          <w:tcPr>
            <w:tcW w:type="dxa" w:w="22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UBO</w:t>
            </w:r>
          </w:p>
        </w:tc>
        <w:tc>
          <w:tcPr>
            <w:tcW w:type="dxa" w:w="7800"/>
            <w:tcBorders>
              <w:top w:val="single" w:color="D5DCE4" w:sz="4"/>
              <w:left w:val="single" w:color="D5DCE4" w:sz="4"/>
              <w:bottom w:val="single" w:color="D5DCE4" w:sz="4"/>
              <w:right w:val="single" w:color="D5DCE4" w:sz="4"/>
            </w:tcBorders>
            <w:shd w:fill="F2F5F8" w:val="clear"/>
            <w:tcMar>
              <w:top w:type="dxa" w:w="60"/>
              <w:left w:type="dxa" w:w="120"/>
              <w:bottom w:type="dxa" w:w="60"/>
              <w:right w:type="dxa" w:w="120"/>
            </w:tcMar>
            <w:vAlign w:val="top"/>
          </w:tcPr>
          <w:p>
            <w:r>
              <w:rPr>
                <w:color w:val="000000"/>
                <w:sz w:val="18"/>
                <w:szCs w:val="18"/>
              </w:rPr>
              <w:t xml:space="preserve">Ultimate Beneficial Owner — the natural person(s) who ultimately own or control a legal entity</w:t>
            </w:r>
          </w:p>
        </w:tc>
      </w:tr>
    </w:tbl>
    <w:p>
      <w:pPr>
        <w:spacing w:after="60" w:before="60"/>
      </w:pPr>
      <w:r>
        <w:t xml:space="preserve"/>
      </w:r>
    </w:p>
    <w:p>
      <w:pPr>
        <w:spacing w:after="60" w:before="60"/>
      </w:pPr>
      <w:r>
        <w:t xml:space="preserve"/>
      </w:r>
    </w:p>
    <w:p>
      <w:pPr>
        <w:pBdr>
          <w:bottom w:val="single" w:color="D5DCE4" w:sz="4"/>
        </w:pBdr>
        <w:spacing w:after="120" w:before="120"/>
      </w:pPr>
      <w:r>
        <w:t xml:space="preserve"/>
      </w:r>
    </w:p>
    <w:p>
      <w:pPr>
        <w:spacing w:after="120" w:before="240"/>
        <w:jc w:val="center"/>
      </w:pPr>
      <w:r>
        <w:rPr>
          <w:b/>
          <w:bCs/>
          <w:color w:val="D5DCE4"/>
          <w:sz w:val="18"/>
          <w:szCs w:val="18"/>
        </w:rPr>
        <w:t xml:space="preserve">— END OF ANNEXURE C (ENGINEERING EDITION) —</w:t>
      </w:r>
    </w:p>
    <w:p>
      <w:pPr>
        <w:jc w:val="center"/>
      </w:pPr>
      <w:r>
        <w:rPr>
          <w:i/>
          <w:iCs/>
          <w:color w:val="D5DCE4"/>
          <w:sz w:val="16"/>
          <w:szCs w:val="16"/>
        </w:rPr>
        <w:t xml:space="preserve">This document is a confidential draft. All formulas, thresholds, and regulatory references should be validated with the data science and compliance teams before production deployment.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0A2540"/>
      <w:sz w:val="28"/>
      <w:szCs w:val="28"/>
    </w:rPr>
  </w:style>
  <w:style w:type="paragraph" w:styleId="Heading2">
    <w:name w:val="Heading 2"/>
    <w:basedOn w:val="Normal"/>
    <w:pPr>
      <w:spacing w:after="120" w:before="240"/>
    </w:pPr>
    <w:rPr>
      <w:rFonts w:ascii="Calibri" w:cs="Calibri" w:eastAsia="Calibri" w:hAnsi="Calibri"/>
      <w:b/>
      <w:bCs/>
      <w:color w:val="1B6CA8"/>
      <w:sz w:val="24"/>
      <w:szCs w:val="24"/>
    </w:rPr>
  </w:style>
  <w:style w:type="paragraph" w:styleId="Heading3">
    <w:name w:val="Heading 3"/>
    <w:basedOn w:val="Normal"/>
    <w:pPr>
      <w:spacing w:after="80" w:before="160"/>
    </w:pPr>
    <w:rPr>
      <w:rFonts w:ascii="Calibri" w:cs="Calibri" w:eastAsia="Calibri" w:hAnsi="Calibri"/>
      <w:b/>
      <w:bCs/>
      <w:color w:val="1A3F6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FSRE Functional Requirements Specification - Annexure C (Engineering Edition)</dc:title>
  <dc:creator>FSRE Project Team</dc:creator>
  <dc:description>Singapore Market Functional Requirements for the Financial Statement Risk Engine - Listed Companies, Engineering Detail</dc:description>
  <cp:lastModifiedBy>Un-named</cp:lastModifiedBy>
  <cp:revision>1</cp:revision>
  <dcterms:created xsi:type="dcterms:W3CDTF">2026-06-19T07:04:55.208Z</dcterms:created>
  <dcterms:modified xsi:type="dcterms:W3CDTF">2026-06-19T07:04:55.221Z</dcterms:modified>
</cp:coreProperties>
</file>

<file path=docProps/custom.xml><?xml version="1.0" encoding="utf-8"?>
<Properties xmlns="http://schemas.openxmlformats.org/officeDocument/2006/custom-properties" xmlns:vt="http://schemas.openxmlformats.org/officeDocument/2006/docPropsVTypes"/>
</file>