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
        <w:gridCol w:w="9700"/>
      </w:tblGrid>
      <w:tr>
        <w:tc>
          <w:tcPr>
            <w:tcW w:type="dxa" w:w="3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7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60" w:before="0"/>
              <w:jc w:val="left"/>
            </w:pPr>
            <w:r>
              <w:rPr>
                <w:rFonts w:ascii="Arial" w:cs="Arial" w:eastAsia="Arial" w:hAnsi="Arial"/>
                <w:b/>
                <w:bCs/>
                <w:color w:val="219EBC"/>
                <w:sz w:val="52"/>
                <w:szCs w:val="52"/>
              </w:rPr>
              <w:t xml:space="preserve">SCIENTE</w:t>
            </w:r>
          </w:p>
          <w:p>
            <w:pPr>
              <w:spacing w:after="30" w:before="0"/>
              <w:jc w:val="left"/>
            </w:pPr>
            <w:r>
              <w:rPr>
                <w:rFonts w:ascii="Arial" w:cs="Arial" w:eastAsia="Arial" w:hAnsi="Arial"/>
                <w:b/>
                <w:bCs/>
                <w:color w:val="1A5E72"/>
                <w:sz w:val="56"/>
                <w:szCs w:val="56"/>
              </w:rPr>
              <w:t xml:space="preserve">Financial Statement Risk Engine</w:t>
            </w:r>
          </w:p>
          <w:p>
            <w:pPr>
              <w:spacing w:after="60" w:before="0"/>
              <w:jc w:val="left"/>
            </w:pPr>
            <w:r>
              <w:rPr>
                <w:rFonts w:ascii="Arial" w:cs="Arial" w:eastAsia="Arial" w:hAnsi="Arial"/>
                <w:color w:val="475569"/>
                <w:sz w:val="30"/>
                <w:szCs w:val="30"/>
              </w:rPr>
              <w:t xml:space="preserve">Universal Engine — Architecture &amp; Design Specification</w:t>
            </w:r>
          </w:p>
          <w:p>
            <w:pPr>
              <w:pBdr>
                <w:bottom w:val="single" w:color="CBD5E1" w:sz="2" w:space="1"/>
              </w:pBdr>
              <w:spacing w:after="60" w:before="60"/>
              <w:jc w:val="left"/>
            </w:pPr>
            <w:r>
              <w:rPr>
                <w:rFonts w:ascii="Arial" w:cs="Arial" w:eastAsia="Arial" w:hAnsi="Arial"/>
                <w:color w:val="1E293B"/>
                <w:sz w:val="22"/>
                <w:szCs w:val="22"/>
              </w:rPr>
              <w:t xml:space="preserve"/>
            </w:r>
          </w:p>
          <w:p>
            <w:pPr>
              <w:spacing w:after="20" w:before="80"/>
              <w:jc w:val="left"/>
            </w:pPr>
            <w:r>
              <w:rPr>
                <w:rFonts w:ascii="Arial" w:cs="Arial" w:eastAsia="Arial" w:hAnsi="Arial"/>
                <w:b/>
                <w:bCs/>
                <w:color w:val="1A5E72"/>
                <w:sz w:val="22"/>
                <w:szCs w:val="22"/>
              </w:rPr>
              <w:t xml:space="preserve">Version 0.3</w:t>
            </w:r>
          </w:p>
          <w:p>
            <w:pPr>
              <w:spacing w:after="80" w:before="0"/>
              <w:jc w:val="left"/>
            </w:pPr>
            <w:r>
              <w:rPr>
                <w:rFonts w:ascii="Arial" w:cs="Arial" w:eastAsia="Arial" w:hAnsi="Arial"/>
                <w:i/>
                <w:iCs/>
                <w:color w:val="475569"/>
                <w:sz w:val="20"/>
                <w:szCs w:val="20"/>
              </w:rPr>
              <w:t xml:space="preserve">Terminology corrected throughout: Stage = development milestone · Phase = runtime pipeline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Version</w:t>
                  </w:r>
                </w:p>
                <w:p>
                  <w:pPr>
                    <w:spacing w:after="70" w:before="0"/>
                    <w:jc w:val="center"/>
                  </w:pPr>
                  <w:r>
                    <w:rPr>
                      <w:rFonts w:ascii="Arial" w:cs="Arial" w:eastAsia="Arial" w:hAnsi="Arial"/>
                      <w:b/>
                      <w:bCs/>
                      <w:color w:val="1A5E72"/>
                      <w:sz w:val="24"/>
                      <w:szCs w:val="24"/>
                    </w:rPr>
                    <w:t xml:space="preserve">0.3</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Date</w:t>
                  </w:r>
                </w:p>
                <w:p>
                  <w:pPr>
                    <w:spacing w:after="70" w:before="0"/>
                    <w:jc w:val="center"/>
                  </w:pPr>
                  <w:r>
                    <w:rPr>
                      <w:rFonts w:ascii="Arial" w:cs="Arial" w:eastAsia="Arial" w:hAnsi="Arial"/>
                      <w:b/>
                      <w:bCs/>
                      <w:color w:val="1A5E72"/>
                      <w:sz w:val="24"/>
                      <w:szCs w:val="24"/>
                    </w:rPr>
                    <w:t xml:space="preserve">June 2026</w:t>
                  </w:r>
                </w:p>
              </w:tc>
              <w:tc>
                <w:tcPr>
                  <w:tcW w:type="dxa" w:w="234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Dev Stage</w:t>
                  </w:r>
                </w:p>
                <w:p>
                  <w:pPr>
                    <w:spacing w:after="70" w:before="0"/>
                    <w:jc w:val="center"/>
                  </w:pPr>
                  <w:r>
                    <w:rPr>
                      <w:rFonts w:ascii="Arial" w:cs="Arial" w:eastAsia="Arial" w:hAnsi="Arial"/>
                      <w:b/>
                      <w:bCs/>
                      <w:color w:val="1A5E72"/>
                      <w:sz w:val="24"/>
                      <w:szCs w:val="24"/>
                    </w:rPr>
                    <w:t xml:space="preserve">Stage 1 — MAS/SGX</w:t>
                  </w:r>
                </w:p>
              </w:tc>
              <w:tc>
                <w:tcPr>
                  <w:tcW w:type="dxa" w:w="234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70"/>
                    <w:jc w:val="center"/>
                  </w:pPr>
                  <w:r>
                    <w:rPr>
                      <w:rFonts w:ascii="Arial" w:cs="Arial" w:eastAsia="Arial" w:hAnsi="Arial"/>
                      <w:color w:val="475569"/>
                      <w:sz w:val="18"/>
                      <w:szCs w:val="18"/>
                    </w:rPr>
                    <w:t xml:space="preserve">Classification</w:t>
                  </w:r>
                </w:p>
                <w:p>
                  <w:pPr>
                    <w:spacing w:after="70" w:before="0"/>
                    <w:jc w:val="center"/>
                  </w:pPr>
                  <w:r>
                    <w:rPr>
                      <w:rFonts w:ascii="Arial" w:cs="Arial" w:eastAsia="Arial" w:hAnsi="Arial"/>
                      <w:b/>
                      <w:bCs/>
                      <w:color w:val="B23A2F"/>
                      <w:sz w:val="24"/>
                      <w:szCs w:val="24"/>
                    </w:rPr>
                    <w:t xml:space="preserve">CONFIDENTIAL</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Document Purpose</w:t>
                  </w:r>
                </w:p>
                <w:p>
                  <w:pPr>
                    <w:spacing w:after="50" w:before="0"/>
                    <w:jc w:val="left"/>
                  </w:pPr>
                  <w:r>
                    <w:rPr>
                      <w:rFonts w:ascii="Arial" w:cs="Arial" w:eastAsia="Arial" w:hAnsi="Arial"/>
                      <w:color w:val="1E293B"/>
                      <w:sz w:val="21"/>
                      <w:szCs w:val="21"/>
                    </w:rPr>
                    <w:t xml:space="preserve">This document is the binding architectural reference for the FSRE technical team. It must be read before any engineering work begins and referenced throughout all stages of development. It defines what the engine is, how it works, the principles that govern it, and a precise step-by-step specification of what is built in Stage 1 (MAS/SGX) — clearly separated from capabilities deferred to later stages.</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tc>
      </w:tr>
    </w:tbl>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  </w:t>
            </w:r>
            <w:r>
              <w:rPr>
                <w:rFonts w:ascii="Arial" w:cs="Arial" w:eastAsia="Arial" w:hAnsi="Arial"/>
                <w:b/>
                <w:bCs/>
                <w:color w:val="1A5E72"/>
                <w:sz w:val="26"/>
                <w:szCs w:val="26"/>
              </w:rPr>
              <w:t xml:space="preserve">Terminology Used in This Document</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Critical — Read Before Proceeding</w:t>
            </w:r>
          </w:p>
          <w:p>
            <w:pPr>
              <w:spacing w:after="50" w:before="0"/>
              <w:jc w:val="left"/>
            </w:pPr>
            <w:r>
              <w:rPr>
                <w:rFonts w:ascii="Arial" w:cs="Arial" w:eastAsia="Arial" w:hAnsi="Arial"/>
                <w:color w:val="1E293B"/>
                <w:sz w:val="21"/>
                <w:szCs w:val="21"/>
              </w:rPr>
              <w:t xml:space="preserve">Two terms are used with precise, distinct meanings throughout this document. They must not be confused with each other.</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Definition and Scope</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Stage</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 development milestone — how far along the build programme we are. Stage 1 = MAS/SGX deployment. Stage 2 = Trade Finance and Asset Managers. Stage 3 = SaaS UI and API layer. Stage 4 = Vertical customisation modules. Stages are sequential delivery increments.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Phase</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 step in the engine's runtime execution pipeline — what the engine is doing when it runs. Phase 1 = Ingestion. Phase 2 = Engine Core Execution. Phase 3 = Output. Phases execute in sequence every time the engine runs, at every stage of development.</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57" w:sz="1"/>
              <w:left w:val="single" w:color="0D7A57" w:sz="1"/>
              <w:bottom w:val="single" w:color="0D7A57" w:sz="1"/>
              <w:right w:val="single" w:color="0D7A57" w:sz="1"/>
            </w:tcBorders>
            <w:shd w:fill="D1FAE5" w:val="clear"/>
            <w:tcMar>
              <w:top w:type="dxa" w:w="90"/>
              <w:left w:type="dxa" w:w="130"/>
              <w:bottom w:type="dxa" w:w="90"/>
              <w:right w:type="dxa" w:w="130"/>
            </w:tcMar>
            <w:vAlign w:val="top"/>
          </w:tcPr>
          <w:p>
            <w:pPr>
              <w:spacing w:after="20" w:before="50"/>
              <w:jc w:val="left"/>
            </w:pPr>
            <w:r>
              <w:rPr>
                <w:rFonts w:ascii="Arial" w:cs="Arial" w:eastAsia="Arial" w:hAnsi="Arial"/>
                <w:b/>
                <w:bCs/>
                <w:color w:val="0D7A57"/>
                <w:sz w:val="20"/>
                <w:szCs w:val="20"/>
              </w:rPr>
              <w:t xml:space="preserve">Example of correct usage</w:t>
            </w:r>
          </w:p>
          <w:p>
            <w:pPr>
              <w:spacing w:after="50" w:before="0"/>
              <w:jc w:val="left"/>
            </w:pPr>
            <w:r>
              <w:rPr>
                <w:rFonts w:ascii="Arial" w:cs="Arial" w:eastAsia="Arial" w:hAnsi="Arial"/>
                <w:color w:val="1E293B"/>
                <w:sz w:val="21"/>
                <w:szCs w:val="21"/>
              </w:rPr>
              <w:t xml:space="preserve">"In Stage 1, Phase 1 of the engine ingests SGX filings via the SGX connector. In Stage 2, Phase 1 will additionally ingest Bloomberg data via a new connector — but Phase 1 itself does not change in structure."</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1.  </w:t>
            </w:r>
            <w:r>
              <w:rPr>
                <w:rFonts w:ascii="Arial" w:cs="Arial" w:eastAsia="Arial" w:hAnsi="Arial"/>
                <w:b/>
                <w:bCs/>
                <w:color w:val="1A5E72"/>
                <w:sz w:val="26"/>
                <w:szCs w:val="26"/>
              </w:rPr>
              <w:t xml:space="preserve">Purpose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FSRE — the Financial Statement Risk Engine — is SCIENTE's core proprietary risk intelligence platform. Its purpose is to ingest financial disclosures and public filings, resolve entity relationships, apply a configurable suite of detection rules, and produce risk-ranked, explainable output that serves multiple client verticals.</w:t>
      </w:r>
    </w:p>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engine is not built as a bespoke solution for any single client. It is built as a universal, configurable platform. Every client vertical — from market regulators to trade finance banks to asset managers — receives a configured instance of the same engine, governed by a deployment profile that specifies exactly what the engine does for that client.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Core Design Mandate</w:t>
            </w:r>
          </w:p>
          <w:p>
            <w:pPr>
              <w:spacing w:after="50" w:before="0"/>
              <w:jc w:val="left"/>
            </w:pPr>
            <w:r>
              <w:rPr>
                <w:rFonts w:ascii="Arial" w:cs="Arial" w:eastAsia="Arial" w:hAnsi="Arial"/>
                <w:color w:val="1E293B"/>
                <w:sz w:val="21"/>
                <w:szCs w:val="21"/>
              </w:rPr>
              <w:t xml:space="preserve">Configure, do not rebuild. One engine. Many profiles. The engine logic is SCIENTE IP. Clients receive configured deployments of the same engine — not custom builds.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1.1  What FSRE Does</w:t>
      </w:r>
    </w:p>
    <w:p>
      <w:pPr>
        <w:spacing w:after="80" w:before="60"/>
        <w:jc w:val="left"/>
      </w:pPr>
      <w:r>
        <w:rPr>
          <w:rFonts w:ascii="Arial" w:cs="Arial" w:eastAsia="Arial" w:hAnsi="Arial"/>
          <w:color w:val="1E293B"/>
          <w:sz w:val="22"/>
          <w:szCs w:val="22"/>
        </w:rPr>
        <w:t xml:space="preserve">At its core, FSRE performs four sequential functions at runtime:</w:t>
      </w:r>
    </w:p>
    <w:p>
      <w:pPr>
        <w:pStyle w:val="ListParagraph"/>
        <w:numPr>
          <w:ilvl w:val="0"/>
          <w:numId w:val="2"/>
        </w:numPr>
        <w:spacing w:after="40" w:before="40"/>
        <w:jc w:val="left"/>
      </w:pPr>
      <w:r>
        <w:rPr>
          <w:rFonts w:ascii="Arial" w:cs="Arial" w:eastAsia="Arial" w:hAnsi="Arial"/>
          <w:color w:val="1E293B"/>
          <w:sz w:val="22"/>
          <w:szCs w:val="22"/>
        </w:rPr>
        <w:t xml:space="preserve">Ingests structured and unstructured financial data from connectors specified in the deployment profile  [Phase 1]</w:t>
      </w:r>
    </w:p>
    <w:p>
      <w:pPr>
        <w:pStyle w:val="ListParagraph"/>
        <w:numPr>
          <w:ilvl w:val="0"/>
          <w:numId w:val="2"/>
        </w:numPr>
        <w:spacing w:after="40" w:before="40"/>
        <w:jc w:val="left"/>
      </w:pPr>
      <w:r>
        <w:rPr>
          <w:rFonts w:ascii="Arial" w:cs="Arial" w:eastAsia="Arial" w:hAnsi="Arial"/>
          <w:color w:val="1E293B"/>
          <w:sz w:val="22"/>
          <w:szCs w:val="22"/>
        </w:rPr>
        <w:t xml:space="preserve">Resolves entity identities and beneficial ownership structures  [Phase 1]</w:t>
      </w:r>
    </w:p>
    <w:p>
      <w:pPr>
        <w:pStyle w:val="ListParagraph"/>
        <w:numPr>
          <w:ilvl w:val="0"/>
          <w:numId w:val="2"/>
        </w:numPr>
        <w:spacing w:after="40" w:before="40"/>
        <w:jc w:val="left"/>
      </w:pPr>
      <w:r>
        <w:rPr>
          <w:rFonts w:ascii="Arial" w:cs="Arial" w:eastAsia="Arial" w:hAnsi="Arial"/>
          <w:color w:val="1E293B"/>
          <w:sz w:val="22"/>
          <w:szCs w:val="22"/>
        </w:rPr>
        <w:t xml:space="preserve">Applies a configured set of detection rules and composite scoring models  [Phase 2]</w:t>
      </w:r>
    </w:p>
    <w:p>
      <w:pPr>
        <w:pStyle w:val="ListParagraph"/>
        <w:numPr>
          <w:ilvl w:val="0"/>
          <w:numId w:val="2"/>
        </w:numPr>
        <w:spacing w:after="40" w:before="40"/>
        <w:jc w:val="left"/>
      </w:pPr>
      <w:r>
        <w:rPr>
          <w:rFonts w:ascii="Arial" w:cs="Arial" w:eastAsia="Arial" w:hAnsi="Arial"/>
          <w:color w:val="1E293B"/>
          <w:sz w:val="22"/>
          <w:szCs w:val="22"/>
        </w:rPr>
        <w:t xml:space="preserve">Produces risk-ranked, explainable output in the format specified by the deployment profile  [Phase 3]</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1.2  Who This Document Is For</w:t>
      </w:r>
    </w:p>
    <w:p>
      <w:pPr>
        <w:spacing w:after="80" w:before="60"/>
        <w:jc w:val="left"/>
      </w:pPr>
      <w:r>
        <w:rPr>
          <w:rFonts w:ascii="Arial" w:cs="Arial" w:eastAsia="Arial" w:hAnsi="Arial"/>
          <w:color w:val="1E293B"/>
          <w:sz w:val="22"/>
          <w:szCs w:val="22"/>
        </w:rPr>
        <w:t xml:space="preserve">This document is written for the SCIENTE technical team. It is the governing architectural reference and must be read before any engineering decisions are made. It contains:</w:t>
      </w:r>
    </w:p>
    <w:p>
      <w:pPr>
        <w:pStyle w:val="ListParagraph"/>
        <w:numPr>
          <w:ilvl w:val="0"/>
          <w:numId w:val="2"/>
        </w:numPr>
        <w:spacing w:after="40" w:before="40"/>
        <w:jc w:val="left"/>
      </w:pPr>
      <w:r>
        <w:rPr>
          <w:rFonts w:ascii="Arial" w:cs="Arial" w:eastAsia="Arial" w:hAnsi="Arial"/>
          <w:color w:val="1E293B"/>
          <w:sz w:val="22"/>
          <w:szCs w:val="22"/>
        </w:rPr>
        <w:t xml:space="preserve">Precise terminology definitions — Stage versus Phase</w:t>
      </w:r>
    </w:p>
    <w:p>
      <w:pPr>
        <w:pStyle w:val="ListParagraph"/>
        <w:numPr>
          <w:ilvl w:val="0"/>
          <w:numId w:val="2"/>
        </w:numPr>
        <w:spacing w:after="40" w:before="40"/>
        <w:jc w:val="left"/>
      </w:pPr>
      <w:r>
        <w:rPr>
          <w:rFonts w:ascii="Arial" w:cs="Arial" w:eastAsia="Arial" w:hAnsi="Arial"/>
          <w:color w:val="1E293B"/>
          <w:sz w:val="22"/>
          <w:szCs w:val="22"/>
        </w:rPr>
        <w:t xml:space="preserve">Architectural principles that govern every design decision</w:t>
      </w:r>
    </w:p>
    <w:p>
      <w:pPr>
        <w:pStyle w:val="ListParagraph"/>
        <w:numPr>
          <w:ilvl w:val="0"/>
          <w:numId w:val="2"/>
        </w:numPr>
        <w:spacing w:after="40" w:before="40"/>
        <w:jc w:val="left"/>
      </w:pPr>
      <w:r>
        <w:rPr>
          <w:rFonts w:ascii="Arial" w:cs="Arial" w:eastAsia="Arial" w:hAnsi="Arial"/>
          <w:color w:val="1E293B"/>
          <w:sz w:val="22"/>
          <w:szCs w:val="22"/>
        </w:rPr>
        <w:t xml:space="preserve">A description and rationale for every component in the engine</w:t>
      </w:r>
    </w:p>
    <w:p>
      <w:pPr>
        <w:pStyle w:val="ListParagraph"/>
        <w:numPr>
          <w:ilvl w:val="0"/>
          <w:numId w:val="2"/>
        </w:numPr>
        <w:spacing w:after="40" w:before="40"/>
        <w:jc w:val="left"/>
      </w:pPr>
      <w:r>
        <w:rPr>
          <w:rFonts w:ascii="Arial" w:cs="Arial" w:eastAsia="Arial" w:hAnsi="Arial"/>
          <w:color w:val="1E293B"/>
          <w:sz w:val="22"/>
          <w:szCs w:val="22"/>
        </w:rPr>
        <w:t xml:space="preserve">Explicit design requirements for universal use across all use cases</w:t>
      </w:r>
    </w:p>
    <w:p>
      <w:pPr>
        <w:pStyle w:val="ListParagraph"/>
        <w:numPr>
          <w:ilvl w:val="0"/>
          <w:numId w:val="2"/>
        </w:numPr>
        <w:spacing w:after="40" w:before="40"/>
        <w:jc w:val="left"/>
      </w:pPr>
      <w:r>
        <w:rPr>
          <w:rFonts w:ascii="Arial" w:cs="Arial" w:eastAsia="Arial" w:hAnsi="Arial"/>
          <w:color w:val="1E293B"/>
          <w:sz w:val="22"/>
          <w:szCs w:val="22"/>
        </w:rPr>
        <w:t xml:space="preserve">A step-by-step specification of what is built in Stage 1, scoped strictly to MAS/SGX</w:t>
      </w:r>
    </w:p>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2.  </w:t>
            </w:r>
            <w:r>
              <w:rPr>
                <w:rFonts w:ascii="Arial" w:cs="Arial" w:eastAsia="Arial" w:hAnsi="Arial"/>
                <w:b/>
                <w:bCs/>
                <w:color w:val="1A5E72"/>
                <w:sz w:val="26"/>
                <w:szCs w:val="26"/>
              </w:rPr>
              <w:t xml:space="preserve">Development Stages — What Gets Built When</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FSRE build programme is divided into four development stages. This document governs Stage 1. Stages 2 through 4 are sequenced but not yet in active build. Each stage delivers a new deployment profile and/or new capabilities — the engine architecture does not change between stages.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880"/>
        <w:gridCol w:w="2880"/>
      </w:tblGrid>
      <w:tr>
        <w:trPr>
          <w:tblHeader/>
        </w:trPr>
        <w:tc>
          <w:tcPr>
            <w:tcW w:type="dxa" w:w="1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Stage</w:t>
            </w:r>
          </w:p>
        </w:tc>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Focus</w:t>
            </w:r>
          </w:p>
        </w:tc>
        <w:tc>
          <w:tcPr>
            <w:tcW w:type="dxa" w:w="288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What is built</w:t>
            </w:r>
          </w:p>
        </w:tc>
        <w:tc>
          <w:tcPr>
            <w:tcW w:type="dxa" w:w="288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What is deferred</w:t>
            </w:r>
          </w:p>
        </w:tc>
      </w:tr>
      <w:tr>
        <w:tc>
          <w:tcPr>
            <w:tcW w:type="dxa" w:w="140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10" w:before="80"/>
              <w:jc w:val="left"/>
            </w:pPr>
            <w:r>
              <w:rPr>
                <w:rFonts w:ascii="Arial" w:cs="Arial" w:eastAsia="Arial" w:hAnsi="Arial"/>
                <w:b/>
                <w:bCs/>
                <w:color w:val="FFFFFF"/>
                <w:sz w:val="21"/>
                <w:szCs w:val="21"/>
              </w:rPr>
              <w:t xml:space="preserve">Stage 1</w:t>
            </w:r>
          </w:p>
          <w:p>
            <w:pPr>
              <w:spacing w:after="80" w:before="0"/>
              <w:jc w:val="left"/>
            </w:pPr>
            <w:r>
              <w:rPr>
                <w:rFonts w:ascii="Arial" w:cs="Arial" w:eastAsia="Arial" w:hAnsi="Arial"/>
                <w:i/>
                <w:iCs/>
                <w:color w:val="D5EEF5"/>
                <w:sz w:val="18"/>
                <w:szCs w:val="18"/>
              </w:rPr>
              <w:t xml:space="preserve">← THIS DOCUMENT</w:t>
            </w:r>
          </w:p>
        </w:tc>
        <w:tc>
          <w:tcPr>
            <w:tcW w:type="dxa" w:w="220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MAS / SGX Regulator</w:t>
            </w:r>
          </w:p>
        </w:tc>
        <w:tc>
          <w:tcPr>
            <w:tcW w:type="dxa" w:w="2880"/>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Universal engine with MAS profile. SGX + UBO connectors. All 14 rules. Narrative report output. Batch scheduled.</w:t>
            </w:r>
          </w:p>
        </w:tc>
        <w:tc>
          <w:tcPr>
            <w:tcW w:type="dxa" w:w="28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color w:val="475569"/>
                <w:sz w:val="21"/>
                <w:szCs w:val="21"/>
              </w:rPr>
              <w:t xml:space="preserve">All other profiles, connectors, output formats, and on-demand processing.</w:t>
            </w:r>
          </w:p>
        </w:tc>
      </w:tr>
      <w:tr>
        <w:tc>
          <w:tcPr>
            <w:tcW w:type="dxa" w:w="1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Stage 2</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Trade Finance + Asset Managers</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New deployment profiles. Bloomberg/Refinitiv connectors. API JSON and dashboard outputs. Rule subsets and custom weights.</w:t>
            </w:r>
          </w:p>
        </w:tc>
        <w:tc>
          <w:tcPr>
            <w:tcW w:type="dxa" w:w="28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color w:val="475569"/>
                <w:sz w:val="21"/>
                <w:szCs w:val="21"/>
              </w:rPr>
              <w:t xml:space="preserve">SaaS UI, self-service configuration portal.</w:t>
            </w:r>
          </w:p>
        </w:tc>
      </w:tr>
      <w:tr>
        <w:tc>
          <w:tcPr>
            <w:tcW w:type="dxa" w:w="1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Stage 3</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SaaS UI + API Layer</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Self-service configuration UI. REST API layer. Tier 1 client self-service capabilities.</w:t>
            </w:r>
          </w:p>
        </w:tc>
        <w:tc>
          <w:tcPr>
            <w:tcW w:type="dxa" w:w="28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color w:val="475569"/>
                <w:sz w:val="21"/>
                <w:szCs w:val="21"/>
              </w:rPr>
              <w:t xml:space="preserve">Vertical customisation marketplace.</w:t>
            </w:r>
          </w:p>
        </w:tc>
      </w:tr>
      <w:tr>
        <w:tc>
          <w:tcPr>
            <w:tcW w:type="dxa" w:w="1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Stage 4</w:t>
            </w:r>
          </w:p>
        </w:tc>
        <w:tc>
          <w:tcPr>
            <w:tcW w:type="dxa" w:w="2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Vertical Customisation Modules</w:t>
            </w:r>
          </w:p>
        </w:tc>
        <w:tc>
          <w:tcPr>
            <w:tcW w:type="dxa" w:w="288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Vertical-specific rule packs and configuration modules for remaining 8 use cases.</w:t>
            </w:r>
          </w:p>
        </w:tc>
        <w:tc>
          <w:tcPr>
            <w:tcW w:type="dxa" w:w="288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color w:val="475569"/>
                <w:sz w:val="21"/>
                <w:szCs w:val="21"/>
              </w:rPr>
              <w:t xml:space="preserve">Determined after Stage 3 learnings.</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3.  </w:t>
            </w:r>
            <w:r>
              <w:rPr>
                <w:rFonts w:ascii="Arial" w:cs="Arial" w:eastAsia="Arial" w:hAnsi="Arial"/>
                <w:b/>
                <w:bCs/>
                <w:color w:val="1A5E72"/>
                <w:sz w:val="26"/>
                <w:szCs w:val="26"/>
              </w:rPr>
              <w:t xml:space="preserve">Architectural Principles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These principles govern every engineering decision made across all stages of development. When a developer faces an architectural choice, they must test that choice against each principle before proceeding. Principles do not change between stages.</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3.1  Design for 11 Use Cases, Build for Stage 1 Only</w:t>
      </w:r>
    </w:p>
    <w:p>
      <w:pPr>
        <w:spacing w:after="80" w:before="60"/>
        <w:jc w:val="left"/>
      </w:pPr>
      <w:r>
        <w:rPr>
          <w:rFonts w:ascii="Arial" w:cs="Arial" w:eastAsia="Arial" w:hAnsi="Arial"/>
          <w:color w:val="1E293B"/>
          <w:sz w:val="22"/>
          <w:szCs w:val="22"/>
        </w:rPr>
        <w:t xml:space="preserve">The engine must be architecturally capable of serving all 11 target use cases across all stages. In Stage 1, only one deployment profile is built and executed: MAS market-wide surveillance using SGX filings. The engine schema, connector interfaces, rule registry, and scoring model must accommodate all use cases from the start — they must not be narrowed to MAS-specific assumptions.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The Universal Engine Test</w:t>
            </w:r>
          </w:p>
          <w:p>
            <w:pPr>
              <w:spacing w:after="50" w:before="0"/>
              <w:jc w:val="left"/>
            </w:pPr>
            <w:r>
              <w:rPr>
                <w:rFonts w:ascii="Arial" w:cs="Arial" w:eastAsia="Arial" w:hAnsi="Arial"/>
                <w:color w:val="1E293B"/>
                <w:sz w:val="21"/>
                <w:szCs w:val="21"/>
              </w:rPr>
              <w:t xml:space="preserve">At the end of Stage 1, a developer must be able to create a second deployment profile — even a minimal dummy profile with two rules and a different entity scope — and have the engine execute against it without any changes to engine code. If this test fails, Stage 1 has not produced a universal engine; it has produced a MAS system.</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3.2  Profile-Driven Execution</w:t>
      </w:r>
    </w:p>
    <w:p>
      <w:pPr>
        <w:spacing w:after="80" w:before="60"/>
        <w:jc w:val="left"/>
      </w:pPr>
      <w:r>
        <w:rPr>
          <w:rFonts w:ascii="Arial" w:cs="Arial" w:eastAsia="Arial" w:hAnsi="Arial"/>
          <w:color w:val="1E293B"/>
          <w:sz w:val="22"/>
          <w:szCs w:val="22"/>
        </w:rPr>
        <w:t xml:space="preserve">The engine reads a deployment profile at runtime and derives all behaviour from it. Data sources, entity scope, active rules, scoring weights, output format — all are determined by the profile. No client-specific logic exists anywhere in the engine code.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Hard Engineering Rule</w:t>
            </w:r>
          </w:p>
          <w:p>
            <w:pPr>
              <w:spacing w:after="50" w:before="0"/>
              <w:jc w:val="left"/>
            </w:pPr>
            <w:r>
              <w:rPr>
                <w:rFonts w:ascii="Arial" w:cs="Arial" w:eastAsia="Arial" w:hAnsi="Arial"/>
                <w:color w:val="1E293B"/>
                <w:sz w:val="21"/>
                <w:szCs w:val="21"/>
              </w:rPr>
              <w:t xml:space="preserve">If any line of engine code contains the pattern: if client == "MAS" or if vertical == "regulator" — the architecture has failed. Every behavioural difference between deployments must be expressed as a difference in the deployment profile, not as conditional logic in the engine.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3.3  Four Configuration Dimensions</w:t>
      </w:r>
    </w:p>
    <w:p>
      <w:pPr>
        <w:spacing w:after="80" w:before="60"/>
        <w:jc w:val="left"/>
      </w:pPr>
      <w:r>
        <w:rPr>
          <w:rFonts w:ascii="Arial" w:cs="Arial" w:eastAsia="Arial" w:hAnsi="Arial"/>
          <w:color w:val="1E293B"/>
          <w:sz w:val="22"/>
          <w:szCs w:val="22"/>
        </w:rPr>
        <w:t xml:space="preserve">All variation between client deployments is expressed through exactly four configuration axes. The deployment profile sets values for each dimension. Nothing else varies between deployments.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Dimension</w:t>
            </w:r>
          </w:p>
        </w:tc>
        <w:tc>
          <w:tcPr>
            <w:tcW w:type="dxa" w:w="71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What it controls and how it varies across deployments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1. Data Sources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Which data connectors are active: SGX filings, UBO module, Bloomberg, Refinitiv, KYC providers, BNM/Bursa filings, client proprietary feeds. Each connector is registered by ID. The profile activates the ones it needs.</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2. Scope</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Three sub-dimensions: Entity scope (market-wide / counterparty list / portfolio holdings); Regulatory framework (MAS / BNM / SEC / multi-framework); Temporal window (3-year / 5-year / rolling 12-month). All are runtime parameters — none are hardcoded.</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3. Rule Selections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Which of the 14 named detection rules are active, plus whether Beneish M-Score and Altman Z-Score composites are enabled. The rule engine reads the active list from the profile. Rule dependency resolution is automatic.</w:t>
            </w:r>
          </w:p>
        </w:tc>
      </w:tr>
      <w:tr>
        <w:trPr>
          <w:tblHeader w:val="false"/>
        </w:trPr>
        <w:tc>
          <w:tcPr>
            <w:tcW w:type="dxa" w:w="22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4. Weightages</w:t>
            </w:r>
          </w:p>
        </w:tc>
        <w:tc>
          <w:tcPr>
            <w:tcW w:type="dxa" w:w="7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Point weights assigned to each active rule; normalisation mode; composite score thresholds. Weights are schema fields in every profile — even if Stage 1 values are SCIENTE-calibrated constants.</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3.4  Batch Processing — Phase 1 Default</w:t>
      </w:r>
    </w:p>
    <w:p>
      <w:pPr>
        <w:spacing w:after="80" w:before="60"/>
        <w:jc w:val="left"/>
      </w:pPr>
      <w:r>
        <w:rPr>
          <w:rFonts w:ascii="Arial" w:cs="Arial" w:eastAsia="Arial" w:hAnsi="Arial"/>
          <w:color w:val="1E293B"/>
          <w:sz w:val="22"/>
          <w:szCs w:val="22"/>
        </w:rPr>
        <w:t xml:space="preserve">Phase 1 (Ingestion) operates in batch mode in Stage 1. All data is pre-resolved and scheduled before Phase 2 (Engine Core) executes. The engine makes no external data calls during Phase 2 or Phase 3. This is the correct model for MAS market-wide surveillance at scale.</w:t>
      </w:r>
    </w:p>
    <w:p>
      <w:pPr>
        <w:spacing w:after="80" w:before="60"/>
        <w:jc w:val="left"/>
      </w:pPr>
      <w:r>
        <w:rPr>
          <w:rFonts w:ascii="Arial" w:cs="Arial" w:eastAsia="Arial" w:hAnsi="Arial"/>
          <w:color w:val="1E293B"/>
          <w:sz w:val="22"/>
          <w:szCs w:val="22"/>
        </w:rPr>
        <w:t xml:space="preserve">On-demand processing is a future connector capability to be introduced in Stage 2. The connector interface must be designed to support both batch and on-demand modes from Stage 1 — but only batch is implemented.</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3.5  UBO is a Separate SCIENTE IP Module</w:t>
      </w:r>
    </w:p>
    <w:p>
      <w:pPr>
        <w:spacing w:after="80" w:before="60"/>
        <w:jc w:val="left"/>
      </w:pPr>
      <w:r>
        <w:rPr>
          <w:rFonts w:ascii="Arial" w:cs="Arial" w:eastAsia="Arial" w:hAnsi="Arial"/>
          <w:color w:val="1E293B"/>
          <w:sz w:val="22"/>
          <w:szCs w:val="22"/>
        </w:rPr>
        <w:t xml:space="preserve">Beneficial ownership resolution is not part of the FSRE engine. It is a separate SCIENTE-owned IP module, registered in the Connector Registry as a Phase 1 data provider. The engine calls the UBO module via the connector interface; it receives a structured ownership graph as output. No UBO traversal logic exists inside the engine.</w:t>
      </w:r>
    </w:p>
    <w:p>
      <w:pPr>
        <w:spacing w:after="80" w:before="60"/>
        <w:jc w:val="left"/>
      </w:pPr>
      <w:r>
        <w:rPr>
          <w:rFonts w:ascii="Arial" w:cs="Arial" w:eastAsia="Arial" w:hAnsi="Arial"/>
          <w:color w:val="1E293B"/>
          <w:sz w:val="22"/>
          <w:szCs w:val="22"/>
        </w:rPr>
        <w:t xml:space="preserve">UBO is separately licensed, independently versioned, and operates on its own refresh schedule. A client who does not require UBO analysis simply does not activate the ubo_module connector in their profile.</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3.6  Explainability is a Core Engine Requirement</w:t>
      </w:r>
    </w:p>
    <w:p>
      <w:pPr>
        <w:spacing w:after="80" w:before="60"/>
        <w:jc w:val="left"/>
      </w:pPr>
      <w:r>
        <w:rPr>
          <w:rFonts w:ascii="Arial" w:cs="Arial" w:eastAsia="Arial" w:hAnsi="Arial"/>
          <w:color w:val="1E293B"/>
          <w:sz w:val="22"/>
          <w:szCs w:val="22"/>
        </w:rPr>
        <w:t xml:space="preserve">Every risk score produced by the engine must be traceable to: the rule that fired, the financial metric that triggered it, and the specific filing from which that metric was extracted. This is not an output feature — it is a Phase 2 engine capability. The evidence trail is always generated; the profile controls how much of it is surfaced in the output.</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3.7  IP Boundary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Tier</w:t>
            </w:r>
          </w:p>
        </w:tc>
        <w:tc>
          <w:tcPr>
            <w:tcW w:type="dxa" w:w="69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Who controls it / What it covers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Tier 1 — Client Self-Service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Client configures directly. Covers: entity scope, output format, refresh schedule, rule toggles within licensed set.</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Tier 2 — SCIENTE-Assisted</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SCIENTE configures per engagement. Covers: scoring weights, detection thresholds, regulatory framework calibration, connector activation.</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Tier 3 — Engine-Locked SCIENTE IP</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Never exposed. Covers: rule logic, scoring algorithm, normalisation engine, profile schema, UBO traversal logic (in UBO module).</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4.  </w:t>
            </w:r>
            <w:r>
              <w:rPr>
                <w:rFonts w:ascii="Arial" w:cs="Arial" w:eastAsia="Arial" w:hAnsi="Arial"/>
                <w:b/>
                <w:bCs/>
                <w:color w:val="1A5E72"/>
                <w:sz w:val="26"/>
                <w:szCs w:val="26"/>
              </w:rPr>
              <w:t xml:space="preserve">Runtime Pipeline — The Three Phases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Every time the FSRE engine runs — at any development stage, for any client — it executes the same three-phase pipeline. The phases do not change between deployment stages. What changes between stages is the deployment profile and the connectors available in Phase 1.</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30" w:before="70"/>
              <w:jc w:val="center"/>
            </w:pPr>
            <w:r>
              <w:rPr>
                <w:rFonts w:ascii="Arial" w:cs="Arial" w:eastAsia="Arial" w:hAnsi="Arial"/>
                <w:b/>
                <w:bCs/>
                <w:color w:val="FFFFFF"/>
                <w:sz w:val="22"/>
                <w:szCs w:val="22"/>
              </w:rPr>
              <w:t xml:space="preserve">Phase 1</w:t>
            </w:r>
          </w:p>
          <w:p>
            <w:pPr>
              <w:spacing w:after="30" w:before="0"/>
              <w:jc w:val="center"/>
            </w:pPr>
            <w:r>
              <w:rPr>
                <w:rFonts w:ascii="Arial" w:cs="Arial" w:eastAsia="Arial" w:hAnsi="Arial"/>
                <w:b/>
                <w:bCs/>
                <w:color w:val="FFFFFF"/>
                <w:sz w:val="26"/>
                <w:szCs w:val="26"/>
              </w:rPr>
              <w:t xml:space="preserve">Ingestion</w:t>
            </w:r>
          </w:p>
          <w:p>
            <w:pPr>
              <w:spacing w:after="60" w:before="0"/>
              <w:jc w:val="center"/>
            </w:pPr>
            <w:r>
              <w:rPr>
                <w:rFonts w:ascii="Arial" w:cs="Arial" w:eastAsia="Arial" w:hAnsi="Arial"/>
                <w:i/>
                <w:iCs/>
                <w:color w:val="D5EEF5"/>
                <w:sz w:val="18"/>
                <w:szCs w:val="18"/>
              </w:rPr>
              <w:t xml:space="preserve">Batch · Pre-resolved · Scheduled</w:t>
            </w:r>
          </w:p>
          <w:p>
            <w:pPr>
              <w:spacing w:after="60" w:before="30"/>
              <w:jc w:val="left"/>
            </w:pPr>
            <w:r>
              <w:rPr>
                <w:rFonts w:ascii="Arial" w:cs="Arial" w:eastAsia="Arial" w:hAnsi="Arial"/>
                <w:color w:val="FFFFFF"/>
                <w:sz w:val="20"/>
                <w:szCs w:val="20"/>
              </w:rPr>
              <w:t xml:space="preserve">Active connectors pull data per the profile. UBO module pre-resolves ownership graphs on its own schedule. All sources are normalised to the FSRE internal entity schema.</w:t>
            </w:r>
          </w:p>
        </w:tc>
        <w:tc>
          <w:tcPr>
            <w:tcW w:type="dxa" w:w="312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30" w:before="70"/>
              <w:jc w:val="center"/>
            </w:pPr>
            <w:r>
              <w:rPr>
                <w:rFonts w:ascii="Arial" w:cs="Arial" w:eastAsia="Arial" w:hAnsi="Arial"/>
                <w:b/>
                <w:bCs/>
                <w:color w:val="FFFFFF"/>
                <w:sz w:val="22"/>
                <w:szCs w:val="22"/>
              </w:rPr>
              <w:t xml:space="preserve">Phase 2</w:t>
            </w:r>
          </w:p>
          <w:p>
            <w:pPr>
              <w:spacing w:after="30" w:before="0"/>
              <w:jc w:val="center"/>
            </w:pPr>
            <w:r>
              <w:rPr>
                <w:rFonts w:ascii="Arial" w:cs="Arial" w:eastAsia="Arial" w:hAnsi="Arial"/>
                <w:b/>
                <w:bCs/>
                <w:color w:val="FFFFFF"/>
                <w:sz w:val="26"/>
                <w:szCs w:val="26"/>
              </w:rPr>
              <w:t xml:space="preserve">Engine Core</w:t>
            </w:r>
          </w:p>
          <w:p>
            <w:pPr>
              <w:spacing w:after="60" w:before="0"/>
              <w:jc w:val="center"/>
            </w:pPr>
            <w:r>
              <w:rPr>
                <w:rFonts w:ascii="Arial" w:cs="Arial" w:eastAsia="Arial" w:hAnsi="Arial"/>
                <w:i/>
                <w:iCs/>
                <w:color w:val="D5EEF5"/>
                <w:sz w:val="18"/>
                <w:szCs w:val="18"/>
              </w:rPr>
              <w:t xml:space="preserve">Profile-driven · SCIENTE IP · No external calls</w:t>
            </w:r>
          </w:p>
          <w:p>
            <w:pPr>
              <w:spacing w:after="60" w:before="30"/>
              <w:jc w:val="left"/>
            </w:pPr>
            <w:r>
              <w:rPr>
                <w:rFonts w:ascii="Arial" w:cs="Arial" w:eastAsia="Arial" w:hAnsi="Arial"/>
                <w:color w:val="FFFFFF"/>
                <w:sz w:val="20"/>
                <w:szCs w:val="20"/>
              </w:rPr>
              <w:t xml:space="preserve">Profile Loader, Rule Engine, Scoring Engine, and Explainability Layer execute against the normalised dataset. All behaviour is governed by the deployment profile.</w:t>
            </w:r>
          </w:p>
        </w:tc>
        <w:tc>
          <w:tcPr>
            <w:tcW w:type="dxa" w:w="3120"/>
            <w:tcBorders>
              <w:top w:val="single" w:color="CBD5E1" w:sz="1"/>
              <w:left w:val="single" w:color="CBD5E1" w:sz="1"/>
              <w:bottom w:val="single" w:color="CBD5E1" w:sz="1"/>
              <w:right w:val="single" w:color="CBD5E1" w:sz="1"/>
            </w:tcBorders>
            <w:shd w:fill="1A5E72" w:val="clear"/>
            <w:tcMar>
              <w:top w:type="dxa" w:w="90"/>
              <w:left w:type="dxa" w:w="130"/>
              <w:bottom w:type="dxa" w:w="90"/>
              <w:right w:type="dxa" w:w="130"/>
            </w:tcMar>
            <w:vAlign w:val="top"/>
          </w:tcPr>
          <w:p>
            <w:pPr>
              <w:spacing w:after="30" w:before="70"/>
              <w:jc w:val="center"/>
            </w:pPr>
            <w:r>
              <w:rPr>
                <w:rFonts w:ascii="Arial" w:cs="Arial" w:eastAsia="Arial" w:hAnsi="Arial"/>
                <w:b/>
                <w:bCs/>
                <w:color w:val="FFFFFF"/>
                <w:sz w:val="22"/>
                <w:szCs w:val="22"/>
              </w:rPr>
              <w:t xml:space="preserve">Phase 3</w:t>
            </w:r>
          </w:p>
          <w:p>
            <w:pPr>
              <w:spacing w:after="30" w:before="0"/>
              <w:jc w:val="center"/>
            </w:pPr>
            <w:r>
              <w:rPr>
                <w:rFonts w:ascii="Arial" w:cs="Arial" w:eastAsia="Arial" w:hAnsi="Arial"/>
                <w:b/>
                <w:bCs/>
                <w:color w:val="FFFFFF"/>
                <w:sz w:val="26"/>
                <w:szCs w:val="26"/>
              </w:rPr>
              <w:t xml:space="preserve">Output</w:t>
            </w:r>
          </w:p>
          <w:p>
            <w:pPr>
              <w:spacing w:after="60" w:before="0"/>
              <w:jc w:val="center"/>
            </w:pPr>
            <w:r>
              <w:rPr>
                <w:rFonts w:ascii="Arial" w:cs="Arial" w:eastAsia="Arial" w:hAnsi="Arial"/>
                <w:i/>
                <w:iCs/>
                <w:color w:val="D5EEF5"/>
                <w:sz w:val="18"/>
                <w:szCs w:val="18"/>
              </w:rPr>
              <w:t xml:space="preserve">Format configured per profile</w:t>
            </w:r>
          </w:p>
          <w:p>
            <w:pPr>
              <w:spacing w:after="60" w:before="30"/>
              <w:jc w:val="left"/>
            </w:pPr>
            <w:r>
              <w:rPr>
                <w:rFonts w:ascii="Arial" w:cs="Arial" w:eastAsia="Arial" w:hAnsi="Arial"/>
                <w:color w:val="FFFFFF"/>
                <w:sz w:val="20"/>
                <w:szCs w:val="20"/>
              </w:rPr>
              <w:t xml:space="preserve">Output Renderer formats the engine's canonical output object per the profile. Stage 1: narrative report with evidence trail. Future stages: API JSON, portfolio dashboard, data feed.</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4.1  Deployment Profile — Governs All Three Phases</w:t>
      </w:r>
    </w:p>
    <w:p>
      <w:pPr>
        <w:spacing w:after="80" w:before="60"/>
        <w:jc w:val="left"/>
      </w:pPr>
      <w:r>
        <w:rPr>
          <w:rFonts w:ascii="Arial" w:cs="Arial" w:eastAsia="Arial" w:hAnsi="Arial"/>
          <w:color w:val="1E293B"/>
          <w:sz w:val="22"/>
          <w:szCs w:val="22"/>
        </w:rPr>
        <w:t xml:space="preserve">A deployment profile is a versioned JSON document that fully specifies engine behaviour for a given client. It is read at the start of Phase 2. Its data_sources field governs Phase 1. Its output field governs Phase 3. Every profile is versioned: any change increments the version, and historical scores remain reproducible against the profile version that generated them.</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Profile Field</w:t>
            </w:r>
          </w:p>
        </w:tc>
        <w:tc>
          <w:tcPr>
            <w:tcW w:type="dxa" w:w="67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MAS Stage 1 Value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profile_id</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MAS-SGX-v1.0</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data_sources</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sgx_filings, ubo_module_v1  (SCIENTE IP — separate module)</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scope.entities</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all_sgx_listed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scope.regulatory_framework</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scope.temporal_window</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3_years</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rules.active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all_14  (with automatic dependency resolution)</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weights.mode</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sciente_calibrated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weights.normalisation</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auto</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refresh</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batch_scheduled</w:t>
            </w:r>
          </w:p>
        </w:tc>
      </w:tr>
      <w:tr>
        <w:trPr>
          <w:tblHeader w:val="false"/>
        </w:trPr>
        <w:tc>
          <w:tcPr>
            <w:tcW w:type="dxa" w:w="26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output</w:t>
            </w:r>
          </w:p>
        </w:tc>
        <w:tc>
          <w:tcPr>
            <w:tcW w:type="dxa" w:w="67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narrative_with_evidence</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5.  </w:t>
            </w:r>
            <w:r>
              <w:rPr>
                <w:rFonts w:ascii="Arial" w:cs="Arial" w:eastAsia="Arial" w:hAnsi="Arial"/>
                <w:b/>
                <w:bCs/>
                <w:color w:val="1A5E72"/>
                <w:sz w:val="26"/>
                <w:szCs w:val="26"/>
              </w:rPr>
              <w:t xml:space="preserve">Engine Components — Description and Rationale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 engine consists of eight components distributed across the three runtime phases. Each component is described below with its purpose, rationale, and the design requirement that ensures it works for all use cases — not only MAS.</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Phase 1 Components — Ingestion</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Connector Registry</w:t>
            </w:r>
          </w:p>
          <w:p>
            <w:pPr>
              <w:spacing w:after="50" w:before="0"/>
              <w:jc w:val="center"/>
            </w:pPr>
            <w:r>
              <w:rPr>
                <w:rFonts w:ascii="Arial" w:cs="Arial" w:eastAsia="Arial" w:hAnsi="Arial"/>
                <w:i/>
                <w:iCs/>
                <w:color w:val="D5EEF5"/>
                <w:sz w:val="15"/>
                <w:szCs w:val="15"/>
              </w:rPr>
              <w:t xml:space="preserve">Phase 1 · Ingestion</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Maintains the registry of all available connector implementations. Each connector implements a common abstract interface. The registry maps connector IDs to implementations. When a profile specifies active data sources, the registry resolves them to their implementations. The engine has no direct dependency on any specific data source — it only knows connector IDs.</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Every connector — including the UBO Resolution Module — is registered here by a stable ID. Adding a new data source in any future stage means registering a new connector implementation; it never means modifying the registry or the engine. In Stage 1, two connectors are registered and active: sgx_filings and ubo_module_v1.</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UBO Resolution Module  [SEPARATE SCIENTE IP]</w:t>
            </w:r>
          </w:p>
          <w:p>
            <w:pPr>
              <w:spacing w:after="50" w:before="0"/>
              <w:jc w:val="center"/>
            </w:pPr>
            <w:r>
              <w:rPr>
                <w:rFonts w:ascii="Arial" w:cs="Arial" w:eastAsia="Arial" w:hAnsi="Arial"/>
                <w:i/>
                <w:iCs/>
                <w:color w:val="D5EEF5"/>
                <w:sz w:val="15"/>
                <w:szCs w:val="15"/>
              </w:rPr>
              <w:t xml:space="preserve">Phase 1 · Ingestion · Registered as connector</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Resolves beneficial ownership chains for entities in scope, via Memgraph graph traversal. Pre-resolves ownership graphs on its own refresh schedule — ownership structures change far less frequently than quarterly financial filings. Outputs a structured ownership graph that is normalised into the FSRE internal entity schema alongside filing data. This module is NOT part of the engine — it is a separate SCIENTE IP module registered as a connector.</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connector interface must be designed so any UBO-compatible source can be registered in its place: the SCIENTE UBO Module, a client's own KYC provider, or a third-party sanctions database. For profiles that do not require ownership analysis, the UBO connector is simply not activated. On-demand query mode (for real-time AML screening) is a future capability — not built in Stage 1.</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Normalisation Layer</w:t>
            </w:r>
          </w:p>
          <w:p>
            <w:pPr>
              <w:spacing w:after="50" w:before="0"/>
              <w:jc w:val="center"/>
            </w:pPr>
            <w:r>
              <w:rPr>
                <w:rFonts w:ascii="Arial" w:cs="Arial" w:eastAsia="Arial" w:hAnsi="Arial"/>
                <w:i/>
                <w:iCs/>
                <w:color w:val="D5EEF5"/>
                <w:sz w:val="15"/>
                <w:szCs w:val="15"/>
              </w:rPr>
              <w:t xml:space="preserve">Phase 1 · Ingestion</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Converts all connector outputs — filing XML, ownership graph JSON, market data CSV — into a single unified FSRE internal entity schema. Every source-specific complexity (filing structure differences, UBO graph formats, market data shapes) is absorbed here. The Phase 2 engine receives a clean, uniform dataset regardless of which connectors were active.</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internal entity schema is the contract between Phase 1 and Phase 2. It must be defined and locked before any connector implementation begins. It must accommodate fields produced by all planned connectors across all stages — not just SGX filings. Fields not populated by the active connectors are left null; the rule engine handles nulls gracefully.</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Phase 2 Components — Engine Core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Profile Loader &amp; Validator</w:t>
            </w:r>
          </w:p>
          <w:p>
            <w:pPr>
              <w:spacing w:after="50" w:before="0"/>
              <w:jc w:val="center"/>
            </w:pPr>
            <w:r>
              <w:rPr>
                <w:rFonts w:ascii="Arial" w:cs="Arial" w:eastAsia="Arial" w:hAnsi="Arial"/>
                <w:i/>
                <w:iCs/>
                <w:color w:val="D5EEF5"/>
                <w:sz w:val="15"/>
                <w:szCs w:val="15"/>
              </w:rPr>
              <w:t xml:space="preserve">Phase 2 · Engine Core</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The first operation the engine performs on every run. Reads the deployment profile, validates it against the profile schema, resolves rule dependencies, confirms all referenced connector IDs are registered, and makes the resolved profile available to all subsequent components.</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loader must validate against the full profile schema — which accommodates all use cases across all stages — not a MAS-specific subset. Future profiles with different connector combinations, rule subsets, or weight modes must pass validation without schema changes. In Stage 1, the MAS-SGX-v1.0 profile is loaded from a versioned file.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Rule Engine</w:t>
            </w:r>
          </w:p>
          <w:p>
            <w:pPr>
              <w:spacing w:after="50" w:before="0"/>
              <w:jc w:val="center"/>
            </w:pPr>
            <w:r>
              <w:rPr>
                <w:rFonts w:ascii="Arial" w:cs="Arial" w:eastAsia="Arial" w:hAnsi="Arial"/>
                <w:i/>
                <w:iCs/>
                <w:color w:val="D5EEF5"/>
                <w:sz w:val="15"/>
                <w:szCs w:val="15"/>
              </w:rPr>
              <w:t xml:space="preserve">Phase 2 · Engine Core · SCIENTE IP</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Reads the active rule list from the deployment profile. Resolves rule execution order based on the dependency map — some rules consume outputs from other rules. Executes each active rule against the normalised entity dataset. Rule logic is SCIENTE IP and engine-locked. Rules are registered by ID in a rule registry; the engine does not hardcode which rules will run on any given execution.</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rule registry must be extensible: new rules for future verticals are added to the registry without modifying the execution engine. The dependency resolver must handle any valid dependency graph, not only the 14-rule MAS configuration. In Stage 1, all 14 named detection rules are active, plus Beneish M-Score and Altman Z-Score composite modules.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Scoring &amp; Aggregation Engine</w:t>
            </w:r>
          </w:p>
          <w:p>
            <w:pPr>
              <w:spacing w:after="50" w:before="0"/>
              <w:jc w:val="center"/>
            </w:pPr>
            <w:r>
              <w:rPr>
                <w:rFonts w:ascii="Arial" w:cs="Arial" w:eastAsia="Arial" w:hAnsi="Arial"/>
                <w:i/>
                <w:iCs/>
                <w:color w:val="D5EEF5"/>
                <w:sz w:val="15"/>
                <w:szCs w:val="15"/>
              </w:rPr>
              <w:t xml:space="preserve">Phase 2 · Engine Core · SCIENTE IP</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Applies profile-specified weights to rule outputs. Aggregates into a composite entity risk score. Normalises the score across the active rule set — a score of 72 must mean the same thing whether 6 or 14 rules are active. Runs Beneish M-Score and Altman Z-Score as composite overlays where the profile activates them.</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Normalisation logic must handle any combination of active rules and any valid weight configuration. Weight fields must exist as schema parameters from Stage 1, even though MAS uses SCIENTE-calibrated fixed values. Future profiles (e.g. an asset manager with custom weights) must be accommodatable without engine changes.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Explainability Layer</w:t>
            </w:r>
          </w:p>
          <w:p>
            <w:pPr>
              <w:spacing w:after="50" w:before="0"/>
              <w:jc w:val="center"/>
            </w:pPr>
            <w:r>
              <w:rPr>
                <w:rFonts w:ascii="Arial" w:cs="Arial" w:eastAsia="Arial" w:hAnsi="Arial"/>
                <w:i/>
                <w:iCs/>
                <w:color w:val="D5EEF5"/>
                <w:sz w:val="15"/>
                <w:szCs w:val="15"/>
              </w:rPr>
              <w:t xml:space="preserve">Phase 2 · Engine Core</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For every entity risk score, generates a structured evidence trail: which rules fired; what financial metric triggered each rule; the rule threshold breached; the specific filing disclosure from which the metric was extracted. This is a Phase 2 engine capability — not an output feature. The evidence object is always populated, regardless of output format.</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evidence trail must be generated for all rule combinations and all entity types across all stages and use cases. Output format (full narrative vs summary vs API flag) is configured per profile in Phase 3; the underlying evidence is always complete. Regulatory and audit clients require the full trail; the profile controls what is surfaced.</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Phase 3 Components — Output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Output Renderer</w:t>
            </w:r>
          </w:p>
          <w:p>
            <w:pPr>
              <w:spacing w:after="50" w:before="0"/>
              <w:jc w:val="center"/>
            </w:pPr>
            <w:r>
              <w:rPr>
                <w:rFonts w:ascii="Arial" w:cs="Arial" w:eastAsia="Arial" w:hAnsi="Arial"/>
                <w:i/>
                <w:iCs/>
                <w:color w:val="D5EEF5"/>
                <w:sz w:val="15"/>
                <w:szCs w:val="15"/>
              </w:rPr>
              <w:t xml:space="preserve">Phase 3 · Output</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The engine produces a canonical output object containing entity risk scores, fired rules, and evidence trails. The Output Renderer formats this object into the delivery format specified by the deployment profile. It performs formatting only — it does not add analytical content.</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The renderer must support all planned output formats across all stages without engine changes: narrative PDF (Stage 1 MAS), API JSON (Stage 2 Trade Finance), portfolio dashboard feed (Stage 2 Asset Managers), scheduled data feed for DWH integration (all stages). Each format is a renderer implementation registered by ID.</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20" w:before="60"/>
              <w:jc w:val="center"/>
            </w:pPr>
            <w:r>
              <w:rPr>
                <w:rFonts w:ascii="Arial" w:cs="Arial" w:eastAsia="Arial" w:hAnsi="Arial"/>
                <w:color w:val="1E293B"/>
                <w:sz w:val="36"/>
                <w:szCs w:val="36"/>
              </w:rPr>
              <w:t xml:space="preserve">🔖</w:t>
            </w:r>
          </w:p>
          <w:p>
            <w:pPr>
              <w:spacing w:after="20" w:before="0"/>
              <w:jc w:val="center"/>
            </w:pPr>
            <w:r>
              <w:rPr>
                <w:rFonts w:ascii="Arial" w:cs="Arial" w:eastAsia="Arial" w:hAnsi="Arial"/>
                <w:b/>
                <w:bCs/>
                <w:color w:val="FFFFFF"/>
                <w:sz w:val="18"/>
                <w:szCs w:val="18"/>
              </w:rPr>
              <w:t xml:space="preserve">Profile Version Manager</w:t>
            </w:r>
          </w:p>
          <w:p>
            <w:pPr>
              <w:spacing w:after="50" w:before="0"/>
              <w:jc w:val="center"/>
            </w:pPr>
            <w:r>
              <w:rPr>
                <w:rFonts w:ascii="Arial" w:cs="Arial" w:eastAsia="Arial" w:hAnsi="Arial"/>
                <w:i/>
                <w:iCs/>
                <w:color w:val="D5EEF5"/>
                <w:sz w:val="15"/>
                <w:szCs w:val="15"/>
              </w:rPr>
              <w:t xml:space="preserve">Phase 2/3 · Cross-cutting</w:t>
            </w:r>
          </w:p>
        </w:tc>
        <w:tc>
          <w:tcPr>
            <w:tcW w:type="dxa" w:w="81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Purpose</w:t>
            </w:r>
          </w:p>
          <w:p>
            <w:pPr>
              <w:spacing w:after="70" w:before="0"/>
              <w:jc w:val="left"/>
            </w:pPr>
            <w:r>
              <w:rPr>
                <w:rFonts w:ascii="Arial" w:cs="Arial" w:eastAsia="Arial" w:hAnsi="Arial"/>
                <w:color w:val="1E293B"/>
                <w:sz w:val="21"/>
                <w:szCs w:val="21"/>
              </w:rPr>
              <w:t xml:space="preserve">Every deployment profile is versioned. When SCIENTE updates rule calibrations, recalibrates weights, or changes a threshold, the profile version increments. Every engine run is tagged with the exact profile version used. Historical scores remain reproducible against the profile version that generated them. Profile versions are immutable once deployed.</w:t>
            </w:r>
          </w:p>
          <w:p>
            <w:pPr>
              <w:spacing w:after="20" w:before="20"/>
              <w:jc w:val="left"/>
            </w:pPr>
            <w:r>
              <w:rPr>
                <w:rFonts w:ascii="Arial" w:cs="Arial" w:eastAsia="Arial" w:hAnsi="Arial"/>
                <w:b/>
                <w:bCs/>
                <w:color w:val="1A5E72"/>
                <w:sz w:val="20"/>
                <w:szCs w:val="20"/>
              </w:rPr>
              <w:t xml:space="preserve">Design requirement — applicable to all use cases</w:t>
            </w:r>
          </w:p>
          <w:p>
            <w:pPr>
              <w:spacing w:after="50" w:before="0"/>
              <w:jc w:val="left"/>
            </w:pPr>
            <w:r>
              <w:rPr>
                <w:rFonts w:ascii="Arial" w:cs="Arial" w:eastAsia="Arial" w:hAnsi="Arial"/>
                <w:i/>
                <w:iCs/>
                <w:color w:val="1E293B"/>
                <w:sz w:val="21"/>
                <w:szCs w:val="21"/>
              </w:rPr>
              <w:t xml:space="preserve">This is critical for regulatory and audit clients across all stages and use cases. Any client who needs to reproduce a past score, audit a past methodology, or defend a past decision must be able to do so. The Version Manager maintains a complete history of profile versions and their activation periods.</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6.  </w:t>
            </w:r>
            <w:r>
              <w:rPr>
                <w:rFonts w:ascii="Arial" w:cs="Arial" w:eastAsia="Arial" w:hAnsi="Arial"/>
                <w:b/>
                <w:bCs/>
                <w:color w:val="1A5E72"/>
                <w:sz w:val="26"/>
                <w:szCs w:val="26"/>
              </w:rPr>
              <w:t xml:space="preserve">Stage 1 — Building FSRE for MAS: Step by Step</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EBC" w:sz="1"/>
              <w:left w:val="single" w:color="219EBC" w:sz="1"/>
              <w:bottom w:val="single" w:color="219EBC" w:sz="1"/>
              <w:right w:val="single" w:color="219EBC" w:sz="1"/>
            </w:tcBorders>
            <w:shd w:fill="D5EEF5" w:val="clear"/>
            <w:tcMar>
              <w:top w:type="dxa" w:w="90"/>
              <w:left w:type="dxa" w:w="130"/>
              <w:bottom w:type="dxa" w:w="90"/>
              <w:right w:type="dxa" w:w="130"/>
            </w:tcMar>
            <w:vAlign w:val="top"/>
          </w:tcPr>
          <w:p>
            <w:pPr>
              <w:spacing w:after="20" w:before="50"/>
              <w:jc w:val="left"/>
            </w:pPr>
            <w:r>
              <w:rPr>
                <w:rFonts w:ascii="Arial" w:cs="Arial" w:eastAsia="Arial" w:hAnsi="Arial"/>
                <w:b/>
                <w:bCs/>
                <w:color w:val="1A5E72"/>
                <w:sz w:val="20"/>
                <w:szCs w:val="20"/>
              </w:rPr>
              <w:t xml:space="preserve">Scope of This Section</w:t>
            </w:r>
          </w:p>
          <w:p>
            <w:pPr>
              <w:spacing w:after="50" w:before="0"/>
              <w:jc w:val="left"/>
            </w:pPr>
            <w:r>
              <w:rPr>
                <w:rFonts w:ascii="Arial" w:cs="Arial" w:eastAsia="Arial" w:hAnsi="Arial"/>
                <w:color w:val="1E293B"/>
                <w:sz w:val="21"/>
                <w:szCs w:val="21"/>
              </w:rPr>
              <w:t xml:space="preserve">This section describes precisely what is built in Stage 1. It is scoped strictly to the MAS/SGX deployment. Everything described here applies only to Stage 1. Capabilities deferred to later stages are noted explicitly but not specified here. This section is the technical team's primary build reference for Stage 1.</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Stage 1 produces a working universal engine with one deployment profile: MAS-SGX-v1.0. The engine must pass all nine architecture validation gates described in Section 7 before Stage 1 is considered complete.</w:t>
      </w:r>
    </w:p>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6.1  What MAS Requires — Client Context</w:t>
      </w:r>
    </w:p>
    <w:p>
      <w:pPr>
        <w:spacing w:after="80" w:before="60"/>
        <w:jc w:val="left"/>
      </w:pPr>
      <w:r>
        <w:rPr>
          <w:rFonts w:ascii="Arial" w:cs="Arial" w:eastAsia="Arial" w:hAnsi="Arial"/>
          <w:color w:val="1E293B"/>
          <w:sz w:val="22"/>
          <w:szCs w:val="22"/>
        </w:rPr>
        <w:t xml:space="preserve">Understanding the MAS client's requirements drives every Stage 1 design decision. MAS is a market regulator, not a commercial counterparty. Their requirements differ fundamentally from trade finance or asset management clients.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MAS Requirement</w:t>
            </w:r>
          </w:p>
        </w:tc>
        <w:tc>
          <w:tcPr>
            <w:tcW w:type="dxa" w:w="65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Implication for Stage 1 Build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Market-wide surveillance — all SGX-listed entities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Entity scope must be parameterised as all_sgx_listed. Must not be hardcoded — it is a profile parameter that will differ for every other client.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Explainable output for enforcement use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Every risk score must carry a full evidence trail: rule fired, metric triggered, filing reference. The Explainability Layer is not optional — it is a Stage 1 requirement.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Batch processing — not real-time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Phase 1 runs on a batch schedule. No on-demand connector mode is needed in Stage 1. Scheduler configuration is a profile parameter.</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Narrative report output</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Phase 3 renders narrative reports with evidence trails. API JSON and dashboard outputs are Stage 2 deliverables.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Full rule suite active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All 14 named detection rules plus Beneish and Altman composites are active in the MAS profile. Rule toggle capability exists in the schema but all rules are on for MAS.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SCIENTE-calibrated weights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MAS does not configure weights. SCIENTE sets and certifies all weights for the MAS profile. Weight fields exist as schema parameters but values are SCIENTE-fixed.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Data residency — Singapore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AWS Singapore region is the deployment target. On-premises option is available for enhanced sovereignty requirements.</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Profile reproducibility</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Every MAS report must be reproducible against the exact profile version that generated it. Profile versioning is a Stage 1 requirement.</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6.2  Stage 1 Build Sequence</w:t>
      </w:r>
    </w:p>
    <w:p>
      <w:pPr>
        <w:spacing w:after="80" w:before="60"/>
        <w:jc w:val="left"/>
      </w:pPr>
      <w:r>
        <w:rPr>
          <w:rFonts w:ascii="Arial" w:cs="Arial" w:eastAsia="Arial" w:hAnsi="Arial"/>
          <w:color w:val="1E293B"/>
          <w:sz w:val="22"/>
          <w:szCs w:val="22"/>
        </w:rPr>
        <w:t xml:space="preserve">The following steps must be completed in the order shown. Later steps have dependencies on earlier ones. No step should begin until its predecessor is complete and reviewed.</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1</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Before any code is written</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Define and Lock the Deployment Profile Schema</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Define the full JSON schema for deployment profiles. The schema must accommodate all use cases across all stages — not just MAS. All four configuration dimensions (data sources, scope, rules, weights) must be represented as typed fields with validation rules.</w:t>
            </w:r>
          </w:p>
          <w:p>
            <w:pPr>
              <w:spacing w:after="20" w:before="20"/>
              <w:jc w:val="left"/>
            </w:pPr>
            <w:r>
              <w:rPr>
                <w:rFonts w:ascii="Arial" w:cs="Arial" w:eastAsia="Arial" w:hAnsi="Arial"/>
                <w:b/>
                <w:bCs/>
                <w:color w:val="1A5E72"/>
                <w:sz w:val="20"/>
                <w:szCs w:val="20"/>
              </w:rPr>
              <w:t xml:space="preserve">MAS value: </w:t>
            </w:r>
            <w:r>
              <w:rPr>
                <w:rFonts w:ascii="Arial" w:cs="Arial" w:eastAsia="Arial" w:hAnsi="Arial"/>
                <w:color w:val="1E293B"/>
                <w:sz w:val="20"/>
                <w:szCs w:val="20"/>
              </w:rPr>
              <w:t xml:space="preserve">Populate the MAS-SGX-v1.0 profile with Stage 1 values for all fields. This profile is the executable specification for everything that follows.</w:t>
            </w:r>
          </w:p>
          <w:p>
            <w:pPr>
              <w:spacing w:after="20" w:before="20"/>
              <w:jc w:val="left"/>
            </w:pPr>
            <w:r>
              <w:rPr>
                <w:rFonts w:ascii="Arial" w:cs="Arial" w:eastAsia="Arial" w:hAnsi="Arial"/>
                <w:b/>
                <w:bCs/>
                <w:color w:val="1A5E72"/>
                <w:sz w:val="20"/>
                <w:szCs w:val="20"/>
              </w:rPr>
              <w:t xml:space="preserve">Why first: </w:t>
            </w:r>
            <w:r>
              <w:rPr>
                <w:rFonts w:ascii="Arial" w:cs="Arial" w:eastAsia="Arial" w:hAnsi="Arial"/>
                <w:color w:val="1E293B"/>
                <w:sz w:val="20"/>
                <w:szCs w:val="20"/>
              </w:rPr>
              <w:t xml:space="preserve">Every subsequent build decision depends on what the profile schema contains. Building connectors, rules, or scoring before the schema is locked results in rework.</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The MAS-SGX-v1.0 profile document exists, is validated against the schema, and is signed off by the technical lead.</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2</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Before connector build begins</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Define the Internal Entity Schema</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Define the canonical data model that all Phase 1 connectors must output. Every field available to the Phase 2 rule engine must be defined here: financial statement fields, ownership graph fields, entity identity fields.</w:t>
            </w:r>
          </w:p>
          <w:p>
            <w:pPr>
              <w:spacing w:after="20" w:before="20"/>
              <w:jc w:val="left"/>
            </w:pPr>
            <w:r>
              <w:rPr>
                <w:rFonts w:ascii="Arial" w:cs="Arial" w:eastAsia="Arial" w:hAnsi="Arial"/>
                <w:b/>
                <w:bCs/>
                <w:color w:val="1A5E72"/>
                <w:sz w:val="20"/>
                <w:szCs w:val="20"/>
              </w:rPr>
              <w:t xml:space="preserve">MAS value: </w:t>
            </w:r>
            <w:r>
              <w:rPr>
                <w:rFonts w:ascii="Arial" w:cs="Arial" w:eastAsia="Arial" w:hAnsi="Arial"/>
                <w:color w:val="1E293B"/>
                <w:sz w:val="20"/>
                <w:szCs w:val="20"/>
              </w:rPr>
              <w:t xml:space="preserve">The schema must cover all fields required by the 14 MAS detection rules plus Beneish and Altman inputs. Fields for future connectors (Bloomberg, Refinitiv) are defined as nullable.</w:t>
            </w:r>
          </w:p>
          <w:p>
            <w:pPr>
              <w:spacing w:after="20" w:before="20"/>
              <w:jc w:val="left"/>
            </w:pPr>
            <w:r>
              <w:rPr>
                <w:rFonts w:ascii="Arial" w:cs="Arial" w:eastAsia="Arial" w:hAnsi="Arial"/>
                <w:b/>
                <w:bCs/>
                <w:color w:val="1A5E72"/>
                <w:sz w:val="20"/>
                <w:szCs w:val="20"/>
              </w:rPr>
              <w:t xml:space="preserve">Why now: </w:t>
            </w:r>
            <w:r>
              <w:rPr>
                <w:rFonts w:ascii="Arial" w:cs="Arial" w:eastAsia="Arial" w:hAnsi="Arial"/>
                <w:color w:val="1E293B"/>
                <w:sz w:val="20"/>
                <w:szCs w:val="20"/>
              </w:rPr>
              <w:t xml:space="preserve">The internal entity schema is the contract between Phase 1 and Phase 2. Connectors are built to produce it; rules are built to consume it. Defining it late breaks both sides.</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The entity schema is documented, covers all 14 rules' input requirements, and includes nullable fields for planned future connectors.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3</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Before connector build begins</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Define the Connector Interface</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Define the abstract interface that every Phase 1 connector must implement. Specify: the input parameters the engine passes to a connector (entity scope, temporal window, credentials); the output format every connector must produce (normalised to the internal entity schema); and the error handling contract.</w:t>
            </w:r>
          </w:p>
          <w:p>
            <w:pPr>
              <w:spacing w:after="20" w:before="20"/>
              <w:jc w:val="left"/>
            </w:pPr>
            <w:r>
              <w:rPr>
                <w:rFonts w:ascii="Arial" w:cs="Arial" w:eastAsia="Arial" w:hAnsi="Arial"/>
                <w:b/>
                <w:bCs/>
                <w:color w:val="1A5E72"/>
                <w:sz w:val="20"/>
                <w:szCs w:val="20"/>
              </w:rPr>
              <w:t xml:space="preserve">MAS value: </w:t>
            </w:r>
            <w:r>
              <w:rPr>
                <w:rFonts w:ascii="Arial" w:cs="Arial" w:eastAsia="Arial" w:hAnsi="Arial"/>
                <w:color w:val="1E293B"/>
                <w:sz w:val="20"/>
                <w:szCs w:val="20"/>
              </w:rPr>
              <w:t xml:space="preserve">The interface must support both batch mode (Stage 1) and on-demand mode (Stage 2) as parameters — even though only batch is implemented now.</w:t>
            </w:r>
          </w:p>
          <w:p>
            <w:pPr>
              <w:spacing w:after="20" w:before="20"/>
              <w:jc w:val="left"/>
            </w:pPr>
            <w:r>
              <w:rPr>
                <w:rFonts w:ascii="Arial" w:cs="Arial" w:eastAsia="Arial" w:hAnsi="Arial"/>
                <w:b/>
                <w:bCs/>
                <w:color w:val="1A5E72"/>
                <w:sz w:val="20"/>
                <w:szCs w:val="20"/>
              </w:rPr>
              <w:t xml:space="preserve">Why now: </w:t>
            </w:r>
            <w:r>
              <w:rPr>
                <w:rFonts w:ascii="Arial" w:cs="Arial" w:eastAsia="Arial" w:hAnsi="Arial"/>
                <w:color w:val="1E293B"/>
                <w:sz w:val="20"/>
                <w:szCs w:val="20"/>
              </w:rPr>
              <w:t xml:space="preserve">If connectors are built before the interface is defined, each connector will have a different calling convention. The engine cannot be connector-agnostic without a shared interface.</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The connector interface specification is documented and reviewed. Stub implementations for SGX and UBO connectors are created to validate the interface design.</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4</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Stage 1 connector — first implementation</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SGX Filings Connector</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Implement the SGX connector: ingests annual reports, quarterly financial statements, and material SGXNET disclosures for all SGX-listed entities. Extracts and normalises data to the internal entity schema. Runs on batch schedule.</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All SGX-listed entities. Entity scope is passed as a parameter from the profile — the connector does not hardcode the entity list.</w:t>
            </w:r>
          </w:p>
          <w:p>
            <w:pPr>
              <w:spacing w:after="20" w:before="20"/>
              <w:jc w:val="left"/>
            </w:pPr>
            <w:r>
              <w:rPr>
                <w:rFonts w:ascii="Arial" w:cs="Arial" w:eastAsia="Arial" w:hAnsi="Arial"/>
                <w:b/>
                <w:bCs/>
                <w:color w:val="1A5E72"/>
                <w:sz w:val="20"/>
                <w:szCs w:val="20"/>
              </w:rPr>
              <w:t xml:space="preserve">Note: </w:t>
            </w:r>
            <w:r>
              <w:rPr>
                <w:rFonts w:ascii="Arial" w:cs="Arial" w:eastAsia="Arial" w:hAnsi="Arial"/>
                <w:color w:val="1E293B"/>
                <w:sz w:val="20"/>
                <w:szCs w:val="20"/>
              </w:rPr>
              <w:t xml:space="preserve">This is the first implementation of the connector interface — not the definitive pattern. The interface definition from Step 3 is the pattern.</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SGX connector ingests a representative sample of filings and produces output that validates against the internal entity schema.</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5</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Stage 1 — separate SCIENTE IP connector</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and Register the UBO Resolution Module</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Build the UBO Resolution Module as a separate SCIENTE IP component. Implement Memgraph graph traversal for beneficial ownership chain resolution. Register the module in the Connector Registry as ubo_module_v1. Output ownership graphs normalised to the internal entity schema.</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Batch pre-resolution for all SGX-listed entities. UBO data is refreshed on its own schedule — separate from the SGX filing ingestion schedule.</w:t>
            </w:r>
          </w:p>
          <w:p>
            <w:pPr>
              <w:spacing w:after="20" w:before="20"/>
              <w:jc w:val="left"/>
            </w:pPr>
            <w:r>
              <w:rPr>
                <w:rFonts w:ascii="Arial" w:cs="Arial" w:eastAsia="Arial" w:hAnsi="Arial"/>
                <w:b/>
                <w:bCs/>
                <w:color w:val="1A5E72"/>
                <w:sz w:val="20"/>
                <w:szCs w:val="20"/>
              </w:rPr>
              <w:t xml:space="preserve">Critical: </w:t>
            </w:r>
            <w:r>
              <w:rPr>
                <w:rFonts w:ascii="Arial" w:cs="Arial" w:eastAsia="Arial" w:hAnsi="Arial"/>
                <w:color w:val="1E293B"/>
                <w:sz w:val="20"/>
                <w:szCs w:val="20"/>
              </w:rPr>
              <w:t xml:space="preserve">No UBO traversal logic exists inside the FSRE engine. The engine calls the UBO module by connector ID. All graph logic lives in the UBO module.</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UBO module resolves ownership chains for a representative set of SGX entities and produces output that validates against the entity schema's ownership fields.</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6</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Phase 2 — first engine component</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Profile Loader and Connector Registry</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Implement the Profile Loader: reads MAS-SGX-v1.0 at runtime, validates against the full profile schema, resolves rule dependencies, and confirms all connector IDs are registered. Implement the Connector Registry: maps connector IDs to implementations; resolves sgx_filings and ubo_module_v1 for the MAS profile.</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Loads MAS-SGX-v1.0 from a versioned file. Must log the profile version with every run.</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Loader successfully reads and validates the MAS profile. A deliberately invalid profile (wrong field type, unknown connector ID) causes the loader to reject it with a clear error.</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7</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Phase 2 — core SCIENTE IP</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Rule Registry and Rule Engine</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Register all 14 detection rules by ID in the rule registry. Define the dependency graph. Implement rule execution: the engine reads the active rule list from the profile, resolves execution order, and executes each rule against the normalised entity dataset.</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All 14 rules are active. Implement all 14 rule logic modules. Implement Beneish M-Score and Altman Z-Score as composite rule modules.</w:t>
            </w:r>
          </w:p>
          <w:p>
            <w:pPr>
              <w:spacing w:after="20" w:before="20"/>
              <w:jc w:val="left"/>
            </w:pPr>
            <w:r>
              <w:rPr>
                <w:rFonts w:ascii="Arial" w:cs="Arial" w:eastAsia="Arial" w:hAnsi="Arial"/>
                <w:b/>
                <w:bCs/>
                <w:color w:val="1A5E72"/>
                <w:sz w:val="20"/>
                <w:szCs w:val="20"/>
              </w:rPr>
              <w:t xml:space="preserve">Critical: </w:t>
            </w:r>
            <w:r>
              <w:rPr>
                <w:rFonts w:ascii="Arial" w:cs="Arial" w:eastAsia="Arial" w:hAnsi="Arial"/>
                <w:color w:val="1E293B"/>
                <w:sz w:val="20"/>
                <w:szCs w:val="20"/>
              </w:rPr>
              <w:t xml:space="preserve">Rule logic is engine-locked SCIENTE IP. No rule logic is exposed in configuration. The rule registry is extensible — new rules are added without modifying the execution engine.</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All 14 rules execute correctly against synthetic entity data. A profile with only 3 rules active causes exactly 3 rules to execute.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8</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Phase 2 — aggregation and evidence</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Scoring Engine and Explainability Layer</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Implement weighted score aggregation reading weights from the MAS profile. Implement auto-normalisation across the active rule set. Implement the Explainability Layer: for every scored entity, generate a structured evidence object mapping each fired rule to its triggering metric and filing reference.</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SCIENTE-calibrated weights from the MAS profile. Auto-normalisation enabled. Full evidence trail for all fired rules.</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Score aggregation produces consistent results across the 14-rule MAS configuration. Evidence trail for a scored entity traces back to specific filing extracts. A 6-rule test profile produces normalised scores in the same range as the 14-rule profile.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9</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Phase 3 — MAS output format</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Output Renderer — Narrative Report</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Implement the narrative report renderer. Formats the canonical engine output object into a structured report containing: entity identity, risk score and tier, fired rules with plain-English explanations, evidence trail with filing references, and composite score summaries (Beneish, Altman).</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Full evidence trail surfaced. Enforcement-ready format. MAS regulatory framework labelling.</w:t>
            </w:r>
          </w:p>
          <w:p>
            <w:pPr>
              <w:spacing w:after="20" w:before="20"/>
              <w:jc w:val="left"/>
            </w:pPr>
            <w:r>
              <w:rPr>
                <w:rFonts w:ascii="Arial" w:cs="Arial" w:eastAsia="Arial" w:hAnsi="Arial"/>
                <w:b/>
                <w:bCs/>
                <w:color w:val="1A5E72"/>
                <w:sz w:val="20"/>
                <w:szCs w:val="20"/>
              </w:rPr>
              <w:t xml:space="preserve">Note: </w:t>
            </w:r>
            <w:r>
              <w:rPr>
                <w:rFonts w:ascii="Arial" w:cs="Arial" w:eastAsia="Arial" w:hAnsi="Arial"/>
                <w:color w:val="1E293B"/>
                <w:sz w:val="20"/>
                <w:szCs w:val="20"/>
              </w:rPr>
              <w:t xml:space="preserve">The renderer reads output format from the profile. Registering a new renderer (API JSON, dashboard feed) in a later stage requires no engine changes.</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Narrative report generated for a representative SGX entity. Report traces every risk flag to a specific filing disclosure.</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E72" w:val="clear"/>
            <w:tcMar>
              <w:top w:type="dxa" w:w="90"/>
              <w:left w:type="dxa" w:w="130"/>
              <w:bottom w:type="dxa" w:w="90"/>
              <w:right w:type="dxa" w:w="130"/>
            </w:tcMar>
            <w:vAlign w:val="top"/>
          </w:tcPr>
          <w:p>
            <w:pPr>
              <w:spacing w:after="10" w:before="60"/>
              <w:jc w:val="center"/>
            </w:pPr>
            <w:r>
              <w:rPr>
                <w:rFonts w:ascii="Arial" w:cs="Arial" w:eastAsia="Arial" w:hAnsi="Arial"/>
                <w:b/>
                <w:bCs/>
                <w:color w:val="FFFFFF"/>
                <w:sz w:val="28"/>
                <w:szCs w:val="28"/>
              </w:rPr>
              <w:t xml:space="preserve">10</w:t>
            </w:r>
          </w:p>
          <w:p>
            <w:pPr>
              <w:spacing w:after="10" w:before="0"/>
              <w:jc w:val="center"/>
            </w:pPr>
            <w:r>
              <w:rPr>
                <w:rFonts w:ascii="Arial" w:cs="Arial" w:eastAsia="Arial" w:hAnsi="Arial"/>
                <w:b/>
                <w:bCs/>
                <w:color w:val="D5EEF5"/>
                <w:sz w:val="16"/>
                <w:szCs w:val="16"/>
              </w:rPr>
              <w:t xml:space="preserve">STEP</w:t>
            </w:r>
          </w:p>
          <w:p>
            <w:pPr>
              <w:spacing w:after="60" w:before="0"/>
              <w:jc w:val="center"/>
            </w:pPr>
            <w:r>
              <w:rPr>
                <w:rFonts w:ascii="Arial" w:cs="Arial" w:eastAsia="Arial" w:hAnsi="Arial"/>
                <w:i/>
                <w:iCs/>
                <w:color w:val="D5EEF5"/>
                <w:sz w:val="15"/>
                <w:szCs w:val="15"/>
              </w:rPr>
              <w:t xml:space="preserve">Stage 1 completion</w:t>
            </w:r>
          </w:p>
        </w:tc>
        <w:tc>
          <w:tcPr>
            <w:tcW w:type="dxa" w:w="85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30" w:before="50"/>
              <w:jc w:val="left"/>
            </w:pPr>
            <w:r>
              <w:rPr>
                <w:rFonts w:ascii="Arial" w:cs="Arial" w:eastAsia="Arial" w:hAnsi="Arial"/>
                <w:b/>
                <w:bCs/>
                <w:color w:val="1A5E72"/>
                <w:sz w:val="23"/>
                <w:szCs w:val="23"/>
              </w:rPr>
              <w:t xml:space="preserve">Build the Profile Version Manager and Run the Validation Gates</w:t>
            </w:r>
          </w:p>
          <w:p>
            <w:pPr>
              <w:spacing w:after="20" w:before="20"/>
              <w:jc w:val="left"/>
            </w:pPr>
            <w:r>
              <w:rPr>
                <w:rFonts w:ascii="Arial" w:cs="Arial" w:eastAsia="Arial" w:hAnsi="Arial"/>
                <w:b/>
                <w:bCs/>
                <w:color w:val="1A5E72"/>
                <w:sz w:val="20"/>
                <w:szCs w:val="20"/>
              </w:rPr>
              <w:t xml:space="preserve">What: </w:t>
            </w:r>
            <w:r>
              <w:rPr>
                <w:rFonts w:ascii="Arial" w:cs="Arial" w:eastAsia="Arial" w:hAnsi="Arial"/>
                <w:color w:val="1E293B"/>
                <w:sz w:val="20"/>
                <w:szCs w:val="20"/>
              </w:rPr>
              <w:t xml:space="preserve">Implement profile versioning: tag every engine run with MAS-SGX-v1.0. Make the profile immutable after deployment. Ensure historical outputs are reproducible. Then run all nine architecture validation gates from Section 7.</w:t>
            </w:r>
          </w:p>
          <w:p>
            <w:pPr>
              <w:spacing w:after="20" w:before="20"/>
              <w:jc w:val="left"/>
            </w:pPr>
            <w:r>
              <w:rPr>
                <w:rFonts w:ascii="Arial" w:cs="Arial" w:eastAsia="Arial" w:hAnsi="Arial"/>
                <w:b/>
                <w:bCs/>
                <w:color w:val="1A5E72"/>
                <w:sz w:val="20"/>
                <w:szCs w:val="20"/>
              </w:rPr>
              <w:t xml:space="preserve">MAS scope: </w:t>
            </w:r>
            <w:r>
              <w:rPr>
                <w:rFonts w:ascii="Arial" w:cs="Arial" w:eastAsia="Arial" w:hAnsi="Arial"/>
                <w:color w:val="1E293B"/>
                <w:sz w:val="20"/>
                <w:szCs w:val="20"/>
              </w:rPr>
              <w:t xml:space="preserve">MAS-SGX-v1.0 is the immutable Stage 1 profile. Any calibration change creates MAS-SGX-v1.1.</w:t>
            </w:r>
          </w:p>
          <w:p>
            <w:pPr>
              <w:spacing w:after="20" w:before="20"/>
              <w:jc w:val="left"/>
            </w:pPr>
            <w:r>
              <w:rPr>
                <w:rFonts w:ascii="Arial" w:cs="Arial" w:eastAsia="Arial" w:hAnsi="Arial"/>
                <w:b/>
                <w:bCs/>
                <w:color w:val="1A5E72"/>
                <w:sz w:val="20"/>
                <w:szCs w:val="20"/>
              </w:rPr>
              <w:t xml:space="preserve">Critical: </w:t>
            </w:r>
            <w:r>
              <w:rPr>
                <w:rFonts w:ascii="Arial" w:cs="Arial" w:eastAsia="Arial" w:hAnsi="Arial"/>
                <w:color w:val="1E293B"/>
                <w:sz w:val="20"/>
                <w:szCs w:val="20"/>
              </w:rPr>
              <w:t xml:space="preserve">Gate 9 — the dummy profile test — is the final proof that Stage 1 has produced a universal engine, not a MAS system.</w:t>
            </w:r>
          </w:p>
          <w:p>
            <w:pPr>
              <w:spacing w:after="20" w:before="20"/>
              <w:jc w:val="left"/>
            </w:pPr>
            <w:r>
              <w:rPr>
                <w:rFonts w:ascii="Arial" w:cs="Arial" w:eastAsia="Arial" w:hAnsi="Arial"/>
                <w:b/>
                <w:bCs/>
                <w:color w:val="1A5E72"/>
                <w:sz w:val="20"/>
                <w:szCs w:val="20"/>
              </w:rPr>
              <w:t xml:space="preserve">Done when: </w:t>
            </w:r>
            <w:r>
              <w:rPr>
                <w:rFonts w:ascii="Arial" w:cs="Arial" w:eastAsia="Arial" w:hAnsi="Arial"/>
                <w:color w:val="1E293B"/>
                <w:sz w:val="20"/>
                <w:szCs w:val="20"/>
              </w:rPr>
              <w:t xml:space="preserve">All nine validation gates pass. Stage 1 is complete.</w:t>
            </w:r>
          </w:p>
        </w:tc>
      </w:tr>
    </w:tbl>
    <w:p>
      <w:pPr>
        <w:spacing w:after="50" w:before="0"/>
        <w:jc w:val="left"/>
      </w:pPr>
      <w:r>
        <w:rPr>
          <w:rFonts w:ascii="Arial" w:cs="Arial" w:eastAsia="Arial" w:hAnsi="Arial"/>
          <w:color w:val="1E293B"/>
          <w:sz w:val="22"/>
          <w:szCs w:val="22"/>
        </w:rPr>
        <w:t xml:space="preserve"/>
      </w:r>
    </w:p>
    <w:p>
      <w:pPr>
        <w:spacing w:after="70" w:before="180"/>
        <w:jc w:val="left"/>
      </w:pPr>
      <w:r>
        <w:rPr>
          <w:rFonts w:ascii="Arial" w:cs="Arial" w:eastAsia="Arial" w:hAnsi="Arial"/>
          <w:b/>
          <w:bCs/>
          <w:color w:val="1A5E72"/>
          <w:sz w:val="24"/>
          <w:szCs w:val="24"/>
        </w:rPr>
        <w:t xml:space="preserve">6.3  What is Explicitly NOT Built in Stage 1</w:t>
      </w:r>
    </w:p>
    <w:p>
      <w:pPr>
        <w:spacing w:after="80" w:before="60"/>
        <w:jc w:val="left"/>
      </w:pPr>
      <w:r>
        <w:rPr>
          <w:rFonts w:ascii="Arial" w:cs="Arial" w:eastAsia="Arial" w:hAnsi="Arial"/>
          <w:color w:val="1E293B"/>
          <w:sz w:val="22"/>
          <w:szCs w:val="22"/>
        </w:rPr>
        <w:t xml:space="preserve">The following capabilities are out of scope for Stage 1. They are noted here to prevent scope creep during the build. Each will be specified in the appropriate stage.</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Capability</w:t>
            </w:r>
          </w:p>
        </w:tc>
        <w:tc>
          <w:tcPr>
            <w:tcW w:type="dxa" w:w="65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Deferred to</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Bloomberg / Refinitiv connectors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 — connector interface is defined in Stage 1; implementation is deferred</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Trade Finance deployment profile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Asset Manager deployment profile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API JSON output format</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Portfolio dashboard output</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On-demand connector mode (real-time processing)</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 toggle UI (client self-service)</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3</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SaaS configuration portal</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3</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Custom weight configuration for clients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3</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KYC / BNM / Bursa connectors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2 / Stage 4 (geography-dependent)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8 remaining vertical use cases</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Stage 4</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7.  </w:t>
            </w:r>
            <w:r>
              <w:rPr>
                <w:rFonts w:ascii="Arial" w:cs="Arial" w:eastAsia="Arial" w:hAnsi="Arial"/>
                <w:b/>
                <w:bCs/>
                <w:color w:val="1A5E72"/>
                <w:sz w:val="26"/>
                <w:szCs w:val="26"/>
              </w:rPr>
              <w:t xml:space="preserve">Architecture Validation Gates</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These nine gates must all pass before Stage 1 is considered complete. They are the technical team's architectural warranty that Stage 2 can proceed without structural rework. They are not optional quality checks.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3660"/>
      </w:tblGrid>
      <w:tr>
        <w:trPr>
          <w:tblHeader/>
        </w:trPr>
        <w:tc>
          <w:tcPr>
            <w:tcW w:type="dxa" w:w="5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w:t>
            </w:r>
          </w:p>
        </w:tc>
        <w:tc>
          <w:tcPr>
            <w:tcW w:type="dxa" w:w="52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Gate</w:t>
            </w:r>
          </w:p>
        </w:tc>
        <w:tc>
          <w:tcPr>
            <w:tcW w:type="dxa" w:w="36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How to verify</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1</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Entity scope is a runtime parameter in the profile — not hardcoded to all_sgx_listed in engine code</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Change profile scope to a list of 3 entities. Confirm engine processes exactly those 3.</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2</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UBO module is a connector registration — no Memgraph queries exist inside the FSRE engine code</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Search codebase for Memgraph / Cypher outside the UBO module directory. Must return zero results.</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3</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Scoring weight fields exist as profile schema parameters — even if MAS values are SCIENTE-fixed constants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Confirm the engine reads weights from the profile object, not from hardcoded constants in the scoring module.</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4</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Connector interface is abstract — SGX connector is an implementation, not the pattern</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Confirm a stub connector with a new ID can be registered and called without any engine code changes.</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5</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Rule registry is ID-based — engine resolves active rules from the profile, not from a hardcoded list</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Create a profile with 3 rules active. Confirm exactly 3 rules execute and only those 3.</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6</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Score normalisation handles variable active rule sets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Run a test profile with 6 rules active. Confirm score range is interpretable and consistent with the 14-rule MAS profile range.</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7</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Profile versioning is operational</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Confirm every engine output is tagged with MAS-SGX-v1.0. Confirm the profile is immutable after deployment — any change requires a version increment.</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8</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No client-specific conditional logic exists in engine code</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Search codebase for: if client, if vertical, if MAS, if SGX in engine modules. Must return zero results.</w:t>
            </w:r>
          </w:p>
        </w:tc>
      </w:tr>
      <w:tr>
        <w:tc>
          <w:tcPr>
            <w:tcW w:type="dxa" w:w="5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center"/>
            </w:pPr>
            <w:r>
              <w:rPr>
                <w:rFonts w:ascii="Arial" w:cs="Arial" w:eastAsia="Arial" w:hAnsi="Arial"/>
                <w:b/>
                <w:bCs/>
                <w:color w:val="1A5E72"/>
                <w:sz w:val="22"/>
                <w:szCs w:val="22"/>
              </w:rPr>
              <w:t xml:space="preserve">9</w:t>
            </w:r>
          </w:p>
        </w:tc>
        <w:tc>
          <w:tcPr>
            <w:tcW w:type="dxa" w:w="52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color w:val="1E293B"/>
                <w:sz w:val="21"/>
                <w:szCs w:val="21"/>
              </w:rPr>
              <w:t xml:space="preserve">A second dummy profile executes with zero engine code changes</w:t>
            </w:r>
          </w:p>
        </w:tc>
        <w:tc>
          <w:tcPr>
            <w:tcW w:type="dxa" w:w="366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i/>
                <w:iCs/>
                <w:color w:val="475569"/>
                <w:sz w:val="20"/>
                <w:szCs w:val="20"/>
              </w:rPr>
              <w:t xml:space="preserve">Create a minimal profile: 2 rules, different entity scope, batch mode. Run it. Engine must execute successfully with no modifications.</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8.  </w:t>
            </w:r>
            <w:r>
              <w:rPr>
                <w:rFonts w:ascii="Arial" w:cs="Arial" w:eastAsia="Arial" w:hAnsi="Arial"/>
                <w:b/>
                <w:bCs/>
                <w:color w:val="1A5E72"/>
                <w:sz w:val="26"/>
                <w:szCs w:val="26"/>
              </w:rPr>
              <w:t xml:space="preserve">Use Case Mapping — How the Engine Serves Each Vertical</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table maps the three primary verticals against the four configuration dimensions. It shows how the same engine, with different profiles and connectors, serves fundamentally different clients — without any engine changes between deployments.</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3"/>
        <w:gridCol w:w="2453"/>
        <w:gridCol w:w="2454"/>
      </w:tblGrid>
      <w:tr>
        <w:trPr>
          <w:tblHeader/>
        </w:trPr>
        <w:tc>
          <w:tcPr>
            <w:tcW w:type="dxa" w:w="20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Configuration Dimension</w:t>
            </w:r>
          </w:p>
        </w:tc>
        <w:tc>
          <w:tcPr>
            <w:tcW w:type="dxa" w:w="2453"/>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MAS / SGX Regulator
(Stage 1 — Build now)</w:t>
            </w:r>
          </w:p>
        </w:tc>
        <w:tc>
          <w:tcPr>
            <w:tcW w:type="dxa" w:w="2453"/>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Trade Finance Banks
(Stage 2 — Next)</w:t>
            </w:r>
          </w:p>
        </w:tc>
        <w:tc>
          <w:tcPr>
            <w:tcW w:type="dxa" w:w="2454"/>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Asset Managers
(Stage 2 — Next)</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Data Sources</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SGX Filings + UBO Module</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SGX + Bloomberg (new connector)</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SGX + Refinitiv (new connector)</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Scope — Entities</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All SGX-listed (market-wide)</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Counterparty list (client-defined)</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Portfolio holdings (client-defined)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Scope — Framework</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MAS</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MAS + BNM (optional)</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Multi-framework</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Scope — Refresh</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Batch scheduled</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On-demand (Stage 2 connector mode)</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Scheduled refresh</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Scope — Temporal</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3-year window</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Last 12 months (rolling)</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Client-configured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Rule Selections</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All 14 rules active</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Cash flow + liability rules primary</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Custom subset — client input</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Weightages</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SCIENTE-calibrated, fixed</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SCIENTE-assisted, client input</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Client-configurable (Tier 2)</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Output — Phase 3</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Narrative report with evidence trail</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API JSON response</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Portfolio dashboard feed</w:t>
            </w:r>
          </w:p>
        </w:tc>
      </w:tr>
      <w:tr>
        <w:trPr>
          <w:tblHeader w:val="false"/>
        </w:trPr>
        <w:tc>
          <w:tcPr>
            <w:tcW w:type="dxa" w:w="20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bCs/>
                <w:color w:val="1A5E72"/>
                <w:sz w:val="21"/>
                <w:szCs w:val="21"/>
              </w:rPr>
              <w:t xml:space="preserve">Engine changes required?</w:t>
            </w:r>
          </w:p>
        </w:tc>
        <w:tc>
          <w:tcPr>
            <w:tcW w:type="dxa" w:w="2453"/>
            <w:tcBorders>
              <w:top w:val="single" w:color="CBD5E1" w:sz="1"/>
              <w:left w:val="single" w:color="CBD5E1" w:sz="1"/>
              <w:bottom w:val="single" w:color="CBD5E1" w:sz="1"/>
              <w:right w:val="single" w:color="CBD5E1" w:sz="1"/>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None — first build</w:t>
            </w:r>
          </w:p>
        </w:tc>
        <w:tc>
          <w:tcPr>
            <w:tcW w:type="dxa" w:w="2453"/>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None — new profile + connectors only</w:t>
            </w:r>
          </w:p>
        </w:tc>
        <w:tc>
          <w:tcPr>
            <w:tcW w:type="dxa" w:w="2454"/>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None — new profile + connectors only</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1"/>
              <w:left w:val="single" w:color="C97B00" w:sz="1"/>
              <w:bottom w:val="single" w:color="C97B00" w:sz="1"/>
              <w:right w:val="single" w:color="C97B00" w:sz="1"/>
            </w:tcBorders>
            <w:shd w:fill="FEF3C7" w:val="clear"/>
            <w:tcMar>
              <w:top w:type="dxa" w:w="90"/>
              <w:left w:type="dxa" w:w="130"/>
              <w:bottom w:type="dxa" w:w="90"/>
              <w:right w:type="dxa" w:w="130"/>
            </w:tcMar>
            <w:vAlign w:val="top"/>
          </w:tcPr>
          <w:p>
            <w:pPr>
              <w:spacing w:after="20" w:before="50"/>
              <w:jc w:val="left"/>
            </w:pPr>
            <w:r>
              <w:rPr>
                <w:rFonts w:ascii="Arial" w:cs="Arial" w:eastAsia="Arial" w:hAnsi="Arial"/>
                <w:b/>
                <w:bCs/>
                <w:color w:val="C97B00"/>
                <w:sz w:val="20"/>
                <w:szCs w:val="20"/>
              </w:rPr>
              <w:t xml:space="preserve">Key point for the technical team</w:t>
            </w:r>
          </w:p>
          <w:p>
            <w:pPr>
              <w:spacing w:after="50" w:before="0"/>
              <w:jc w:val="left"/>
            </w:pPr>
            <w:r>
              <w:rPr>
                <w:rFonts w:ascii="Arial" w:cs="Arial" w:eastAsia="Arial" w:hAnsi="Arial"/>
                <w:color w:val="1E293B"/>
                <w:sz w:val="21"/>
                <w:szCs w:val="21"/>
              </w:rPr>
              <w:t xml:space="preserve">The 'Engine changes required?' row is the proof point for the universal architecture. If Stage 2 requires engine code changes — rather than only new profiles and new connector implementations — Stage 1 has not met its architectural mandate.</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9.  </w:t>
            </w:r>
            <w:r>
              <w:rPr>
                <w:rFonts w:ascii="Arial" w:cs="Arial" w:eastAsia="Arial" w:hAnsi="Arial"/>
                <w:b/>
                <w:bCs/>
                <w:color w:val="1A5E72"/>
                <w:sz w:val="26"/>
                <w:szCs w:val="26"/>
              </w:rPr>
              <w:t xml:space="preserve">Technology Stack</w:t>
            </w:r>
          </w:p>
        </w:tc>
      </w:tr>
    </w:tbl>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Component</w:t>
            </w:r>
          </w:p>
        </w:tc>
        <w:tc>
          <w:tcPr>
            <w:tcW w:type="dxa" w:w="69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Technology</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ML / Detection Layer</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Dataiku — orchestrates machine learning pipelines and detection rule logic</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Graph Database / UBO Traversal</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Memgraph — powers the UBO Resolution Module via Cypher queries. Accessed only through the UBO connector, not by the engine directly.</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Cloud Infrastructure</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AWS Singapore region — primary deployment for MAS data residency compliance</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On-Premises Option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Available for clients with strict data sovereignty requirements. Architecture is deployment-agnostic.</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Primary Data Source (Stage 1)</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SGX SGXNET — annual reports, quarterly financials, material disclosures</w:t>
            </w:r>
          </w:p>
        </w:tc>
      </w:tr>
      <w:tr>
        <w:trPr>
          <w:tblHeader w:val="false"/>
        </w:trPr>
        <w:tc>
          <w:tcPr>
            <w:tcW w:type="dxa" w:w="24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Document / Output Generation</w:t>
            </w:r>
          </w:p>
        </w:tc>
        <w:tc>
          <w:tcPr>
            <w:tcW w:type="dxa" w:w="69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Node.js / Python toolchain</w:t>
            </w:r>
          </w:p>
        </w:tc>
      </w:tr>
    </w:tbl>
    <w:p>
      <w:pPr>
        <w:spacing w:after="50" w:before="0"/>
        <w:jc w:val="left"/>
      </w:pPr>
      <w:r>
        <w:rPr>
          <w:rFonts w:ascii="Arial" w:cs="Arial" w:eastAsia="Arial" w:hAnsi="Arial"/>
          <w:color w:val="1E293B"/>
          <w:sz w:val="22"/>
          <w:szCs w:val="22"/>
        </w:rPr>
        <w:t xml:space="preserve"/>
      </w:r>
    </w:p>
    <w:p>
      <w:r>
        <w:br w:type="page"/>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19EBC" w:val="clear"/>
            <w:tcMar>
              <w:top w:type="dxa" w:w="90"/>
              <w:left w:type="dxa" w:w="130"/>
              <w:bottom w:type="dxa" w:w="90"/>
              <w:right w:type="dxa" w:w="130"/>
            </w:tcMar>
            <w:vAlign w:val="top"/>
          </w:tcPr>
          <w:p>
            <w:pPr>
              <w:spacing w:after="0" w:before="0"/>
              <w:jc w:val="left"/>
            </w:pPr>
            <w:r>
              <w:rPr>
                <w:rFonts w:ascii="Arial" w:cs="Arial" w:eastAsia="Arial" w:hAnsi="Arial"/>
                <w:color w:val="1E293B"/>
                <w:sz w:val="22"/>
                <w:szCs w:val="22"/>
              </w:rPr>
              <w:t xml:space="preserve"/>
            </w:r>
          </w:p>
        </w:tc>
        <w:tc>
          <w:tcPr>
            <w:tcW w:type="dxa" w:w="9180"/>
            <w:tcBorders>
              <w:top w:val="none" w:color="FFFFFF" w:sz="0"/>
              <w:left w:val="none" w:color="FFFFFF" w:sz="0"/>
              <w:bottom w:val="none" w:color="FFFFFF" w:sz="0"/>
              <w:right w:val="none" w:color="FFFFFF" w:sz="0"/>
            </w:tcBorders>
            <w:shd w:fill="D5EEF5" w:val="clear"/>
            <w:tcMar>
              <w:top w:type="dxa" w:w="90"/>
              <w:left w:type="dxa" w:w="130"/>
              <w:bottom w:type="dxa" w:w="90"/>
              <w:right w:type="dxa" w:w="130"/>
            </w:tcMar>
            <w:vAlign w:val="top"/>
          </w:tcPr>
          <w:p>
            <w:pPr>
              <w:spacing w:after="80" w:before="80"/>
              <w:jc w:val="left"/>
            </w:pPr>
            <w:r>
              <w:rPr>
                <w:rFonts w:ascii="Arial" w:cs="Arial" w:eastAsia="Arial" w:hAnsi="Arial"/>
                <w:b/>
                <w:bCs/>
                <w:color w:val="475569"/>
                <w:sz w:val="26"/>
                <w:szCs w:val="26"/>
              </w:rPr>
              <w:t xml:space="preserve">10.  </w:t>
            </w:r>
            <w:r>
              <w:rPr>
                <w:rFonts w:ascii="Arial" w:cs="Arial" w:eastAsia="Arial" w:hAnsi="Arial"/>
                <w:b/>
                <w:bCs/>
                <w:color w:val="1A5E72"/>
                <w:sz w:val="26"/>
                <w:szCs w:val="26"/>
              </w:rPr>
              <w:t xml:space="preserve">What Comes Next — Document Sequence</w:t>
            </w:r>
          </w:p>
        </w:tc>
      </w:tr>
    </w:tbl>
    <w:p>
      <w:pPr>
        <w:spacing w:after="50" w:before="0"/>
        <w:jc w:val="left"/>
      </w:pPr>
      <w:r>
        <w:rPr>
          <w:rFonts w:ascii="Arial" w:cs="Arial" w:eastAsia="Arial" w:hAnsi="Arial"/>
          <w:color w:val="1E293B"/>
          <w:sz w:val="22"/>
          <w:szCs w:val="22"/>
        </w:rPr>
        <w:t xml:space="preserve"/>
      </w:r>
    </w:p>
    <w:p>
      <w:pPr>
        <w:spacing w:after="80" w:before="60"/>
        <w:jc w:val="left"/>
      </w:pPr>
      <w:r>
        <w:rPr>
          <w:rFonts w:ascii="Arial" w:cs="Arial" w:eastAsia="Arial" w:hAnsi="Arial"/>
          <w:color w:val="1E293B"/>
          <w:sz w:val="22"/>
          <w:szCs w:val="22"/>
        </w:rPr>
        <w:t xml:space="preserve">This document is the first in a series of technical specifications. The following artefacts are to be produced in sequence, each building on this architecture document.</w:t>
      </w:r>
    </w:p>
    <w:p>
      <w:pPr>
        <w:spacing w:after="50" w:before="0"/>
        <w:jc w:val="left"/>
      </w:pPr>
      <w:r>
        <w:rPr>
          <w:rFonts w:ascii="Arial" w:cs="Arial" w:eastAsia="Arial" w:hAnsi="Arial"/>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Artefact</w:t>
            </w:r>
          </w:p>
        </w:tc>
        <w:tc>
          <w:tcPr>
            <w:tcW w:type="dxa" w:w="6560"/>
            <w:tcBorders>
              <w:top w:val="single" w:color="CBD5E1" w:sz="1"/>
              <w:left w:val="single" w:color="CBD5E1" w:sz="1"/>
              <w:bottom w:val="single" w:color="CBD5E1" w:sz="1"/>
              <w:right w:val="single" w:color="CBD5E1" w:sz="1"/>
            </w:tcBorders>
            <w:shd w:fill="219EBC" w:val="clear"/>
            <w:tcMar>
              <w:top w:type="dxa" w:w="90"/>
              <w:left w:type="dxa" w:w="130"/>
              <w:bottom w:type="dxa" w:w="90"/>
              <w:right w:type="dxa" w:w="130"/>
            </w:tcMar>
            <w:vAlign w:val="top"/>
          </w:tcPr>
          <w:p>
            <w:pPr>
              <w:spacing w:after="80" w:before="80"/>
              <w:jc w:val="left"/>
            </w:pPr>
            <w:r>
              <w:rPr>
                <w:rFonts w:ascii="Arial" w:cs="Arial" w:eastAsia="Arial" w:hAnsi="Arial"/>
                <w:b/>
                <w:bCs/>
                <w:color w:val="FFFFFF"/>
                <w:sz w:val="20"/>
                <w:szCs w:val="20"/>
              </w:rPr>
              <w:t xml:space="preserve">Purpose</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Deployment Profile Specification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Formal definition of all profile fields, valid values, constraints, versioning rules, and validation logic. The engineering contract derived from this document.</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Internal Entity Schema</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The canonical data model all connectors must produce. Must be defined and locked before any connector implementation begins (Stage 1 Step 2).</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Connector Interface Specification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The abstract interface every connector must implement. Includes UBO connector contract and normalisation layer contract (Stage 1 Step 3).</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Rule Registry Specification</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Full catalogue of all 14 rules: IDs, dependency graph, input fields, output fields, pseudocode. Extends Annexure C with registry-level metadata.</w:t>
            </w:r>
          </w:p>
        </w:tc>
      </w:tr>
      <w:tr>
        <w:trPr>
          <w:tblHeader w:val="false"/>
        </w:trPr>
        <w:tc>
          <w:tcPr>
            <w:tcW w:type="dxa" w:w="2800"/>
            <w:tcBorders>
              <w:top w:val="single" w:color="CBD5E1" w:sz="1"/>
              <w:left w:val="single" w:color="CBD5E1" w:sz="1"/>
              <w:bottom w:val="single" w:color="CBD5E1" w:sz="1"/>
              <w:right w:val="single" w:color="CBD5E1" w:sz="1"/>
            </w:tcBorders>
            <w:shd w:fill="F1F5F9"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A5E72"/>
                <w:sz w:val="21"/>
                <w:szCs w:val="21"/>
              </w:rPr>
              <w:t xml:space="preserve">Technical Annexure — Stage 1</w:t>
            </w:r>
          </w:p>
        </w:tc>
        <w:tc>
          <w:tcPr>
            <w:tcW w:type="dxa" w:w="656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top"/>
          </w:tcPr>
          <w:p>
            <w:pPr>
              <w:spacing w:after="80" w:before="80"/>
              <w:jc w:val="left"/>
            </w:pPr>
            <w:r>
              <w:rPr>
                <w:rFonts w:ascii="Arial" w:cs="Arial" w:eastAsia="Arial" w:hAnsi="Arial"/>
                <w:b w:val="false"/>
                <w:bCs w:val="false"/>
                <w:color w:val="1E293B"/>
                <w:sz w:val="21"/>
                <w:szCs w:val="21"/>
              </w:rPr>
              <w:t xml:space="preserve">Engineering-level specification for the MAS/SGX deployment: infrastructure, data flows, API contracts, security, and data residency requirements.</w:t>
            </w:r>
          </w:p>
        </w:tc>
      </w:tr>
    </w:tbl>
    <w:p>
      <w:pPr>
        <w:spacing w:after="50" w:before="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pBdr>
          <w:bottom w:val="single" w:color="219EBC" w:sz="4" w:space="1"/>
        </w:pBdr>
        <w:spacing w:after="100" w:before="100"/>
        <w:jc w:val="left"/>
      </w:pPr>
      <w:r>
        <w:rPr>
          <w:rFonts w:ascii="Arial" w:cs="Arial" w:eastAsia="Arial" w:hAnsi="Arial"/>
          <w:color w:val="1E293B"/>
          <w:sz w:val="22"/>
          <w:szCs w:val="22"/>
        </w:rPr>
        <w:t xml:space="preserve"/>
      </w:r>
    </w:p>
    <w:p>
      <w:pPr>
        <w:spacing w:after="50" w:before="0"/>
        <w:jc w:val="left"/>
      </w:pPr>
      <w:r>
        <w:rPr>
          <w:rFonts w:ascii="Arial" w:cs="Arial" w:eastAsia="Arial" w:hAnsi="Arial"/>
          <w:color w:val="1E293B"/>
          <w:sz w:val="22"/>
          <w:szCs w:val="22"/>
        </w:rPr>
        <w:t xml:space="preserve"/>
      </w:r>
    </w:p>
    <w:p>
      <w:pPr>
        <w:spacing w:after="40" w:before="80"/>
        <w:jc w:val="center"/>
      </w:pPr>
      <w:r>
        <w:rPr>
          <w:rFonts w:ascii="Arial" w:cs="Arial" w:eastAsia="Arial" w:hAnsi="Arial"/>
          <w:b/>
          <w:bCs/>
          <w:color w:val="1A5E72"/>
          <w:sz w:val="20"/>
          <w:szCs w:val="20"/>
        </w:rPr>
        <w:t xml:space="preserve">SCIENTE PROPRIETARY AND CONFIDENTIAL</w:t>
      </w:r>
    </w:p>
    <w:p>
      <w:pPr>
        <w:spacing w:after="80" w:before="0"/>
        <w:jc w:val="center"/>
      </w:pPr>
      <w:r>
        <w:rPr>
          <w:rFonts w:ascii="Arial" w:cs="Arial" w:eastAsia="Arial" w:hAnsi="Arial"/>
          <w:i/>
          <w:iCs/>
          <w:color w:val="475569"/>
          <w:sz w:val="18"/>
          <w:szCs w:val="18"/>
        </w:rPr>
        <w:t xml:space="preserve">This document contains proprietary information of SCIENTE. It is intended solely for the internal technical team and must not be shared externally without written authorisation.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BD5E1" w:sz="2" w:space="1"/>
      </w:pBdr>
      <w:spacing w:after="0" w:before="0"/>
      <w:jc w:val="left"/>
    </w:pPr>
    <w:r>
      <w:rPr>
        <w:rFonts w:ascii="Arial" w:cs="Arial" w:eastAsia="Arial" w:hAnsi="Arial"/>
        <w:color w:val="1E293B"/>
        <w:sz w:val="22"/>
        <w:szCs w:val="22"/>
      </w:rPr>
      <w:t xml:space="preserve"/>
    </w:r>
  </w:p>
  <w:p>
    <w:pPr>
      <w:spacing w:after="0" w:before="50"/>
      <w:jc w:val="left"/>
    </w:pPr>
    <w:r>
      <w:rPr>
        <w:rFonts w:ascii="Arial" w:cs="Arial" w:eastAsia="Arial" w:hAnsi="Arial"/>
        <w:color w:val="475569"/>
        <w:sz w:val="18"/>
        <w:szCs w:val="18"/>
      </w:rPr>
      <w:t xml:space="preserve">Version 0.3  |  June 2026  |  Stage 1: MAS/SGX Build</w:t>
    </w:r>
    <w:r>
      <w:rPr>
        <w:rFonts w:ascii="Arial" w:cs="Arial" w:eastAsia="Arial" w:hAnsi="Arial"/>
        <w:color w:val="1E293B"/>
        <w:sz w:val="18"/>
        <w:szCs w:val="18"/>
      </w:rPr>
      <w:t xml:space="preserve">	</w:t>
    </w:r>
    <w:r>
      <w:rPr>
        <w:rFonts w:ascii="Arial" w:cs="Arial" w:eastAsia="Arial" w:hAnsi="Arial"/>
        <w:color w:val="47556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left"/>
          </w:pPr>
          <w:r>
            <w:rPr>
              <w:rFonts w:ascii="Arial" w:cs="Arial" w:eastAsia="Arial" w:hAnsi="Arial"/>
              <w:color w:val="475569"/>
              <w:sz w:val="18"/>
              <w:szCs w:val="18"/>
            </w:rPr>
            <w:t xml:space="preserve">FSRE Universal Engine — Architecture &amp; Design Specification</w:t>
          </w:r>
        </w:p>
      </w:tc>
      <w:tc>
        <w:tcPr>
          <w:tcW w:type="dxa" w:w="3080"/>
          <w:tcBorders>
            <w:top w:val="none" w:color="FFFFFF" w:sz="0"/>
            <w:left w:val="none" w:color="FFFFFF" w:sz="0"/>
            <w:bottom w:val="none" w:color="FFFFFF" w:sz="0"/>
            <w:right w:val="none" w:color="FFFFFF" w:sz="0"/>
          </w:tcBorders>
          <w:shd w:fill="FFFFFF" w:val="clear"/>
          <w:tcMar>
            <w:top w:type="dxa" w:w="90"/>
            <w:left w:type="dxa" w:w="130"/>
            <w:bottom w:type="dxa" w:w="90"/>
            <w:right w:type="dxa" w:w="130"/>
          </w:tcMar>
          <w:vAlign w:val="top"/>
        </w:tcPr>
        <w:p>
          <w:pPr>
            <w:spacing w:after="50" w:before="50"/>
            <w:jc w:val="right"/>
          </w:pPr>
          <w:r>
            <w:rPr>
              <w:rFonts w:ascii="Arial" w:cs="Arial" w:eastAsia="Arial" w:hAnsi="Arial"/>
              <w:b/>
              <w:bCs/>
              <w:color w:val="219EBC"/>
              <w:sz w:val="18"/>
              <w:szCs w:val="18"/>
            </w:rPr>
            <w:t xml:space="preserve">SCIENTE CONFIDENTIAL</w:t>
          </w:r>
        </w:p>
      </w:tc>
    </w:tr>
  </w:tbl>
  <w:p>
    <w:pPr>
      <w:spacing w:after="80" w:before="80"/>
      <w:jc w:val="left"/>
    </w:pPr>
    <w:r>
      <w:rPr>
        <w:rFonts w:ascii="Arial" w:cs="Arial" w:eastAsia="Arial" w:hAnsi="Arial"/>
        <w:color w:val="1E293B"/>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5E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5E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2026-06-29T09:19:52.870Z</dcterms:created>
  <dcterms:modified xsi:type="dcterms:W3CDTF">2026-06-29T09:19:52.885Z</dcterms:modified>
</cp:coreProperties>
</file>

<file path=docProps/custom.xml><?xml version="1.0" encoding="utf-8"?>
<Properties xmlns="http://schemas.openxmlformats.org/officeDocument/2006/custom-properties" xmlns:vt="http://schemas.openxmlformats.org/officeDocument/2006/docPropsVTypes"/>
</file>