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9700"/>
      </w:tblGrid>
      <w:tr>
        <w:tc>
          <w:tcPr>
            <w:tcW w:type="dxa" w:w="3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60" w:before="0"/>
              <w:jc w:val="left"/>
            </w:pPr>
            <w:r>
              <w:rPr>
                <w:rFonts w:ascii="Arial" w:cs="Arial" w:eastAsia="Arial" w:hAnsi="Arial"/>
                <w:b/>
                <w:bCs/>
                <w:color w:val="219EBC"/>
                <w:sz w:val="52"/>
                <w:szCs w:val="52"/>
              </w:rPr>
              <w:t xml:space="preserve">SCIENTE</w:t>
            </w:r>
          </w:p>
          <w:p>
            <w:pPr>
              <w:spacing w:after="30" w:before="0"/>
              <w:jc w:val="left"/>
            </w:pPr>
            <w:r>
              <w:rPr>
                <w:rFonts w:ascii="Arial" w:cs="Arial" w:eastAsia="Arial" w:hAnsi="Arial"/>
                <w:b/>
                <w:bCs/>
                <w:color w:val="1A5E72"/>
                <w:sz w:val="50"/>
                <w:szCs w:val="50"/>
              </w:rPr>
              <w:t xml:space="preserve">FSRE Internal Entity Schema</w:t>
            </w:r>
          </w:p>
          <w:p>
            <w:pPr>
              <w:spacing w:after="60" w:before="0"/>
              <w:jc w:val="left"/>
            </w:pPr>
            <w:r>
              <w:rPr>
                <w:rFonts w:ascii="Arial" w:cs="Arial" w:eastAsia="Arial" w:hAnsi="Arial"/>
                <w:color w:val="475569"/>
                <w:sz w:val="28"/>
                <w:szCs w:val="28"/>
              </w:rPr>
              <w:t xml:space="preserve">Canonical Data Model — Phase 1 / Phase 2 Contract</w:t>
            </w:r>
          </w:p>
          <w:p>
            <w:pPr>
              <w:pBdr>
                <w:bottom w:val="single" w:color="CBD5E1" w:sz="2" w:space="1"/>
              </w:pBdr>
              <w:spacing w:after="60" w:before="6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Version</w:t>
                  </w:r>
                </w:p>
                <w:p>
                  <w:pPr>
                    <w:spacing w:after="70" w:before="0"/>
                    <w:jc w:val="center"/>
                  </w:pPr>
                  <w:r>
                    <w:rPr>
                      <w:rFonts w:ascii="Arial" w:cs="Arial" w:eastAsia="Arial" w:hAnsi="Arial"/>
                      <w:b/>
                      <w:bCs/>
                      <w:color w:val="1A5E72"/>
                      <w:sz w:val="24"/>
                      <w:szCs w:val="24"/>
                    </w:rPr>
                    <w:t xml:space="preserve">1.0</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Date</w:t>
                  </w:r>
                </w:p>
                <w:p>
                  <w:pPr>
                    <w:spacing w:after="70" w:before="0"/>
                    <w:jc w:val="center"/>
                  </w:pPr>
                  <w:r>
                    <w:rPr>
                      <w:rFonts w:ascii="Arial" w:cs="Arial" w:eastAsia="Arial" w:hAnsi="Arial"/>
                      <w:b/>
                      <w:bCs/>
                      <w:color w:val="1A5E72"/>
                      <w:sz w:val="24"/>
                      <w:szCs w:val="24"/>
                    </w:rPr>
                    <w:t xml:space="preserve">June 2026</w:t>
                  </w:r>
                </w:p>
              </w:tc>
              <w:tc>
                <w:tcPr>
                  <w:tcW w:type="dxa" w:w="234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Build Step</w:t>
                  </w:r>
                </w:p>
                <w:p>
                  <w:pPr>
                    <w:spacing w:after="70" w:before="0"/>
                    <w:jc w:val="center"/>
                  </w:pPr>
                  <w:r>
                    <w:rPr>
                      <w:rFonts w:ascii="Arial" w:cs="Arial" w:eastAsia="Arial" w:hAnsi="Arial"/>
                      <w:b/>
                      <w:bCs/>
                      <w:color w:val="1A5E72"/>
                      <w:sz w:val="22"/>
                      <w:szCs w:val="22"/>
                    </w:rPr>
                    <w:t xml:space="preserve">Stage 1, Step 2</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Classification</w:t>
                  </w:r>
                </w:p>
                <w:p>
                  <w:pPr>
                    <w:spacing w:after="70" w:before="0"/>
                    <w:jc w:val="center"/>
                  </w:pPr>
                  <w:r>
                    <w:rPr>
                      <w:rFonts w:ascii="Arial" w:cs="Arial" w:eastAsia="Arial" w:hAnsi="Arial"/>
                      <w:b/>
                      <w:bCs/>
                      <w:color w:val="B23A2F"/>
                      <w:sz w:val="24"/>
                      <w:szCs w:val="24"/>
                    </w:rPr>
                    <w:t xml:space="preserve">CONFIDENTIAL</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Document Purpose &amp; Status</w:t>
                  </w:r>
                </w:p>
                <w:p>
                  <w:pPr>
                    <w:spacing w:after="50" w:before="0"/>
                    <w:jc w:val="left"/>
                  </w:pPr>
                  <w:r>
                    <w:rPr>
                      <w:rFonts w:ascii="Arial" w:cs="Arial" w:eastAsia="Arial" w:hAnsi="Arial"/>
                      <w:color w:val="1E293B"/>
                      <w:sz w:val="21"/>
                      <w:szCs w:val="21"/>
                    </w:rPr>
                    <w:t xml:space="preserve">This is the canonical data model every Phase 1 connector must normalise its output into, and the only data structure every Phase 2 rule reads from. It is built directly from Annexure C v2.0's §2.1.1–2.1.2 base schema, extended with the additional fields each individual rule's formula and trigger logic actually requires — several of which are not explicit in Annexure C's summary tables but are necessary to implement the rules as written. Every addition is flagged and justified in Section 5's traceability matrix.</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50"/>
                    <w:jc w:val="left"/>
                  </w:pPr>
                  <w:r>
                    <w:rPr>
                      <w:rFonts w:ascii="Arial" w:cs="Arial" w:eastAsia="Arial" w:hAnsi="Arial"/>
                      <w:b/>
                      <w:bCs/>
                      <w:color w:val="0D7A57"/>
                      <w:sz w:val="20"/>
                      <w:szCs w:val="20"/>
                    </w:rPr>
                    <w:t xml:space="preserve">Audience</w:t>
                  </w:r>
                </w:p>
                <w:p>
                  <w:pPr>
                    <w:spacing w:after="50" w:before="0"/>
                    <w:jc w:val="left"/>
                  </w:pPr>
                  <w:r>
                    <w:rPr>
                      <w:rFonts w:ascii="Arial" w:cs="Arial" w:eastAsia="Arial" w:hAnsi="Arial"/>
                      <w:color w:val="1E293B"/>
                      <w:sz w:val="21"/>
                      <w:szCs w:val="21"/>
                    </w:rPr>
                    <w:t xml:space="preserve">Backend engineers building Phase 1 connectors (SGX filings, UBO module, ACRA, market data, etc.). Backend engineers building the Phase 2 Rule Engine and Normalisation Layer. QA engineers validating connector output against this schema.</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1.  </w:t>
            </w:r>
            <w:r>
              <w:rPr>
                <w:rFonts w:ascii="Arial" w:cs="Arial" w:eastAsia="Arial" w:hAnsi="Arial"/>
                <w:b/>
                <w:bCs/>
                <w:color w:val="1A5E72"/>
                <w:sz w:val="26"/>
                <w:szCs w:val="26"/>
              </w:rPr>
              <w:t xml:space="preserve">Purpose and Scope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Every connector registered in the FSRE Connector Registry must normalise its raw output into this schema before handing data to the Engine Core. Every rule in Annexure C v2.0 — all 15 individual rules plus the 2 composite scores — reads exclusively from this schema. No rule, and no part of the engine, should ever read directly from a connector's native output format.</w:t>
      </w:r>
    </w:p>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document does not restate Annexure C's rule logic. It specifies the data structure that logic operates on. Where this schema includes a field not explicitly named in Annexure C's own §2.1.1/§2.1.2 tables, that addition is called out in Section 5 with the specific rule that requires it.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Relationship to Other Documents</w:t>
            </w:r>
          </w:p>
          <w:p>
            <w:pPr>
              <w:spacing w:after="50" w:before="0"/>
              <w:jc w:val="left"/>
            </w:pPr>
            <w:r>
              <w:rPr>
                <w:rFonts w:ascii="Arial" w:cs="Arial" w:eastAsia="Arial" w:hAnsi="Arial"/>
                <w:color w:val="1E293B"/>
                <w:sz w:val="21"/>
                <w:szCs w:val="21"/>
              </w:rPr>
              <w:t xml:space="preserve">Annexure C v2.0 §2.1.1–2.1.2 is the base source for this schema's entity-level and financial-period fields. The FSRE Rule Registry (companion to the Deployment Profile Specification) is the authoritative list of rule IDs referenced in Section 5. The Connector Interface Specification (Architecture Document, Stage 1 Step 3 — not yet built) will define how connectors write into this schema; this document defines what they write.</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2.  </w:t>
            </w:r>
            <w:r>
              <w:rPr>
                <w:rFonts w:ascii="Arial" w:cs="Arial" w:eastAsia="Arial" w:hAnsi="Arial"/>
                <w:b/>
                <w:bCs/>
                <w:color w:val="1A5E72"/>
                <w:sz w:val="26"/>
                <w:szCs w:val="26"/>
              </w:rPr>
              <w:t xml:space="preserve">Canonical JSON Schema (Source of Truth)</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complete entity schema, draft-07. The Normalisation Layer must validate every connector's output against this schema before it reaches the Engine Core.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"$schema"</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"http://json-schema.org/draft-07/schema#",</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"https://sciente.com/schemas/fsre-internal-entity-schema-v1.json",</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"title"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"FSRE Internal Entity Schema",</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"Canonical data model for a single entity in the FSRE engine. Every Phase 1 connector must normalise its output into this schema. Every rule in Annexure C v2.0 reads exclusively from this schema. This is the contract between Ingestion (Phase 1) and Engine Core (Phase 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"required"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["entity_id", "sgx_stock_code", "legal_name", "board", "sector_classification", "financial_periods"],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"additionalProperties"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false,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"entity_id"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"Internal unique identifier assigned at first ingestion. Stable across all periods and connectors."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"sgx_stock_code"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"SGX listing data."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"acra_uen"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"description": "ACRA BizFile+ Unique Entity Number. Required input for FIN-LIA-001, FIN-LIA-003, FIN-OWN-001, FIN-OWN-002, FIN-REV-005."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"legal_name"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"ACRA BizFile+ / SGX listing data."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"sector_classification"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"SGX sector classification or SSIC code. Required for FIN-LIA-002 sector benchmarking."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"board"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["MAINBOARD", "CATALIST"], "description": "Maps to deployment profile scope.board_eligibility."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"financial_periods"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"minItems"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"One record per reporting period (annual or half-year), ordered chronologically. Most rules require at least 2 consecutive periods (current and prior).",</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"#/definitions/financial_period"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"directors"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"ACRA BizFile+, updated on SGXNET director/officer change announcements. Required for FIN-OWN-002 (independent director ratio) and Section 2.9 executive resignation monitoring.",</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"#/definitions/director"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"auditor_history"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"SGXNET auditor appointment/resignation announcements. Required for Section 2.9 auditor resignation monitoring.",</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"#/definitions/auditor_event"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"related_party_register"</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"Derived: cross-reference of ACRA director/shareholder data against disclosed related parties. Required for FIN-REV-002, FIN-REV-005, FIN-LIA-001.",</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"#/definitions/related_party"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"ownership_structure"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"Output of the UBO Resolution Module (separate SCIENTE IP, via ubo_module_v1 connector). Required for FIN-REV-005, FIN-OWN-001, FIN-OWN-002. Null if ubo_module_v1 is not active in the deployment profile.",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"ownership_chain"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"Ordered list of holding entities from the listed company up to the UBO. Used by FIN-OWN-001 to count chain layers.",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"#/definitions/ownership_chain_link"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"ultimate_beneficial_owners"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"#/definitions/ubo_record"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"connected_entities"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"All entities connected via shared directors, shareholders, or common UBO. Used by FIN-REV-005 round-tripping detection.",</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"entity_id or acra_uen of the connected entity"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"effective_control_pct"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["number", "null"],</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"Pre-computed by UBO module: direct + indirect shares via controlled entities, as a fraction of total voting shares. Used directly by FIN-OWN-002."</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"resolved_at"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"date-time", "description": "Timestamp of the UBO module's last batch resolution for this entity."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"market_data"</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"SGX market data, one record per period-end date matching financial_periods. Required for FIN-AST-003 and FIN-CMP-002.",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"#/definitions/market_data_point"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"sgxnet_announcements"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"Raw and classified SGXNET announcement text. Feeds the text-classification pipeline for FIN-REV-004, FIN-AST-002, FIN-LIA-002, FIN-LIA-003, and all Section 2.9 material event rules. See Section 6 of the companion specification for NLP pipeline status.",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"#/definitions/sgxnet_announcement"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"enforcement_records"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"MAS public enforcement register and court/CAD records matched to this entity or its directors/officers by name. Not yet consumed by any Annexure C rule directly, but ingested per §2.1 data source table for future use and audit completeness.",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"$ref": "#/definitions/enforcement_record"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"sector_benchmark"</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"Required for FIN-LIA-002. Not yet fully specified — see open item in companion specification Section 7.",</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"sector_classification"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"period_label"</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"provisions_to_revenue_percentile_25th"</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"peer_group_size"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["integer", "null"], "description": "Number of entities in the peer group used to compute the percentile. Null/low values should reduce confidence in this benchmark."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"_provenance"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"Engine-internal bookkeeping, not sourced from Annexure C. Required for Explainability Layer evidence trails (Architecture Spec, Phase 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"ingested_at"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"date-time"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"source_connectors"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"array", "items": { "type": "string" }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"normalisation_version"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"definitions"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"financial_period"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"required"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["period_label", "period_end_date", "revenue", "net_profit", "total_assets", "total_liabilities", "total_equity", "operating_cash_flow"],</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"additionalProperties"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false,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"period_label"</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"e.g. \"FY2025\", \"H1FY2025\"."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"period_end_date"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["annual", "half_year", "quarter"], "description": "Quarter granularity needed for FIN-REV-003 Q4 concentration check; not in Annexure C's base schema but required by that rule's formula."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"cost_of_goods_sold"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"gross_profit"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"description": "If absent, computed as revenue - cost_of_goods_sold."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"net_profit"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"accounts_receivable"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"inventory_opening"</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"description": "Required by FIN-AST-001 alongside inventory (closing). Annexure C's worked example uses opening and closing inventory; the base field list only specifies 'inventory' — opening value added here for formula completeness."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"description": "Closing inventory for the period."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"total_assets"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"intangible_assets_and_goodwill"</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"intangible_assets_acquisition_portion"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"description": "Portion of the intangible/goodwill increase attributable to a disclosed acquisition, to be excluded from FIN-AST-002's capitalised cost ratio. Sourced from business-combination notes; null if not disclosed or not applicable."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"accounts_payable"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"total_liabilities"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"total_equity"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"cash_and_equivalents"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"operating_cash_flow"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"investing_cash_flow"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"financing_cash_flow"</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"related_party_receivables"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"related_party_payables"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"provisions_and_contingent_liabilities"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"auditor_opinion_type"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["unqualified", "emphasis_of_matter", "qualified", "adverse", "disclaimer"]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"revenue_recognition_policy_text"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"description": "Full text of the Revenue Recognition accounting policy note for this period, for FIN-REV-004's similarity comparison against the prior period's text. Placeholder field — NLP pipeline not yet specified."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"quarterly_revenue"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["object", "null"],</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"Required by FIN-REV-003 where quarterly data is available. Null for entities reporting half-yearly only.",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"q1"</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"q2"</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"q3"</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"q4"</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"guarantees_disclosed"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"Required by FIN-LIA-003. Disclosed related-party guarantees, extracted from notes to financial statements.",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"beneficiary_entity_id"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"beneficiary_acra_uen"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"guaranteed_amount"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"beneficiary_paid_up_capital"</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"null"], "description": "Used to assess whether the beneficiary is a financially sound entity per FIN-LIA-003 escalation logic."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"related_party_transactions"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"array",</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"description"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"Required by FIN-REV-002 and FIN-REV-005. Individual disclosed related-party transactions for the period, classified by type.",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"items"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"counterparty_entity_id"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"transaction_type"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["revenue", "loan_advance_investment_out", "payable", "guarantee", "other"]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"amount"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"shareholder_approval_announcement_found"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["boolean", "null"], "description": "Required by FIN-REV-002 to assess Mainboard Rule 906 disclosure compliance."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"director"</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"role"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["chairman", "ceo", "cfo", "executive_director", "non_executive_director", "independent_director"]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"is_independent"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"boolean", "description": "Required by FIN-OWN-002 independent_director_ratio."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"appointed_date"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"resigned_date"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"resignation_reason_disclosed"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"description": "Required by Section 2.9 sudden executive resignation monitoring."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"auditor_event"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"event_type"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["appointment", "resignation"]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"event_date"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"stated_reason_text"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"description": "Raw announcement text. Required by Section 2.9 to detect 'disagreement', 'scope limitation', 'unable to obtain sufficient evidence' language. Placeholder field — NLP pipeline not yet specified."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"entity_or_person_name"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"acra_uen"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"relationship_type"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["director", "controlling_shareholder", "associate_of_director", "associate_of_shareholder", "other"]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"confirmed_via_acra"</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"boolean", "description": "True if the relationship is independently confirmed from ACRA records rather than only company self-disclosure. Required by FIN-REV-002 and FIN-LIA-001 cross-referencing steps."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"ownership_chain_link"</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"layer"</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"integer", "description": "1 = entity directly owning the listed company; increases moving up the chain toward the UBO."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"holding_entity_name"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"holding_entity_jurisdiction"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"Required by FIN-OWN-001 to check against the maintained list of jurisdictions associated with limited beneficial ownership disclosure."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"ownership_pct"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"ubo_record"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"name"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"effective_ownership_pct"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"is_natural_person"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"boolean"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"market_data_point"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"as_of_date"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 "description": "Should align with the corresponding financial_periods period_end_date."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"share_price"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"shares_outstanding"</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"market_capitalisation"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"number", "description": "share_price x shares_outstanding. Required by FIN-AST-003 and FIN-CMP-002."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"sgxnet_announcement"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"announcement_id"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"announcement_date"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"category_raw"</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"As classified by SGXNET / the text-classification pipeline. e.g. 'auditor_resignation', 'director_change', 'restatement', 'going_concern', 'trade_with_caution'."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"full_text"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"Raw announcement text. Placeholder field — feeds the text-classification pipeline described in Section 2.9 of Annexure C; model choice and confidence thresholds not yet specified, see companion document Section 6."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"linked_period_label"</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"null"], "description": "Reporting period this announcement relates to, if applicable."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"enforcement_record"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"object",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"properties"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"source"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["mas_enforcement_register", "court_records"]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"record_date"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"format": "date"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"matched_party"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"description": "Name of the entity or individual (e.g. a director) the record was matched against."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"match_confidence"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"enum": ["high", "medium", "low"], "description": "Name-matching is approximate; confidence should be surfaced rather than silently filtered."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"summary_text"</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"type": "string"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3.  </w:t>
            </w:r>
            <w:r>
              <w:rPr>
                <w:rFonts w:ascii="Arial" w:cs="Arial" w:eastAsia="Arial" w:hAnsi="Arial"/>
                <w:b/>
                <w:bCs/>
                <w:color w:val="1A5E72"/>
                <w:sz w:val="26"/>
                <w:szCs w:val="26"/>
              </w:rPr>
              <w:t xml:space="preserve">Entity-Level Fields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2360"/>
        <w:gridCol w:w="3400"/>
      </w:tblGrid>
      <w:tr>
        <w:trPr>
          <w:tblHeader/>
        </w:trPr>
        <w:tc>
          <w:tcPr>
            <w:tcW w:type="dxa" w:w="17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1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8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w:t>
            </w:r>
          </w:p>
        </w:tc>
        <w:tc>
          <w:tcPr>
            <w:tcW w:type="dxa" w:w="23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Constraints</w:t>
            </w:r>
          </w:p>
        </w:tc>
        <w:tc>
          <w:tcPr>
            <w:tcW w:type="dxa" w:w="34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 / Rule Usage</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entity_id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Stable, internal</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Assigned at first ingestion. Primary key across all periods and connectors.</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sgx_stock_code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From SGX listing data</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acra_uen</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ACRA BizFile+</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input for FIN-LIA-001, FIN-LIA-003, FIN-OWN-001, FIN-OWN-002, FIN-REV-005.</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legal_name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sector_classification</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SSIC code or SGX sector</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FIN-LIA-002 sector benchmarking.</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board</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enum</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MAINBOARD \| CATALIST</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Maps to deployment profile scope.board_eligibility.</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financial_periods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Min 1 item, see Section 4</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Most rules require ≥2 consecutive periods.</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directors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4.1</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FIN-OWN-002 and §2.9 resignation monitoring.</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auditor_history</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4.2</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§2.9 auditor resignation monitoring.</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related_party_register</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4.3</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FIN-REV-002, FIN-REV-005, FIN-LIA-001.</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ownership_structure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object</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Null if UBO connector inactive</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Output of UBO Resolution Module. Required for FIN-REV-005, FIN-OWN-001, FIN-OWN-002.</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market_data</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4.4</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FIN-AST-003, FIN-CMP-002.</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sgxnet_announcements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4.5</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Feeds text-classification pipeline — see Section 6 open items.</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enforcement_records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array</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4.6</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Ingested per Annexure C §2.1 data source table; not yet consumed by any rule directly.</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sector_benchmark</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object</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See Section 4.7</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Required for FIN-LIA-002. See Section 7 open item on benchmarking methodology.</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_provenance</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object</w:t>
            </w:r>
          </w:p>
        </w:tc>
        <w:tc>
          <w:tcPr>
            <w:tcW w:type="dxa" w:w="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23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Engine-internal</w:t>
            </w:r>
          </w:p>
        </w:tc>
        <w:tc>
          <w:tcPr>
            <w:tcW w:type="dxa" w:w="3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Not from Annexure C. Required for Explainability Layer evidence trails.</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4.  </w:t>
            </w:r>
            <w:r>
              <w:rPr>
                <w:rFonts w:ascii="Arial" w:cs="Arial" w:eastAsia="Arial" w:hAnsi="Arial"/>
                <w:b/>
                <w:bCs/>
                <w:color w:val="1A5E72"/>
                <w:sz w:val="26"/>
                <w:szCs w:val="26"/>
              </w:rPr>
              <w:t xml:space="preserve">Financial Period Sub-Schema and Supporting Objects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4.1  financial_periods[] — Core Fields (Annexure C §2.1.2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900"/>
        <w:gridCol w:w="1900"/>
        <w:gridCol w:w="2860"/>
      </w:tblGrid>
      <w:tr>
        <w:trPr>
          <w:tblHeader/>
        </w:trPr>
        <w:tc>
          <w:tcPr>
            <w:tcW w:type="dxa" w:w="24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13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Type</w:t>
            </w:r>
          </w:p>
        </w:tc>
        <w:tc>
          <w:tcPr>
            <w:tcW w:type="dxa" w:w="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Req</w:t>
            </w:r>
          </w:p>
        </w:tc>
        <w:tc>
          <w:tcPr>
            <w:tcW w:type="dxa" w:w="19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Constraints</w:t>
            </w:r>
          </w:p>
        </w:tc>
        <w:tc>
          <w:tcPr>
            <w:tcW w:type="dxa" w:w="28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Description / Rule Usage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period_label, period_end_date</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string, date</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B23A2F"/>
                <w:sz w:val="17"/>
                <w:szCs w:val="17"/>
              </w:rPr>
              <w:t xml:space="preserve">Yes</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2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e.g. "FY2025". Cover page of financial statements.</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revenue, cost_of_goods_sold, gross_profit, net_profit</w:t>
            </w:r>
          </w:p>
        </w:tc>
        <w:tc>
          <w:tcPr>
            <w:tcW w:type="dxa" w:w="1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number</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Yes (revenue, net_profit)</w:t>
            </w:r>
          </w:p>
        </w:tc>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2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Income Statement.</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accounts_receivable, inventory, total_assets, intangible_assets_and_goodwill, accounts_payable, total_liabilities, total_equity, cash_and_equivalents</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number</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Yes (most)</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2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Balance Sheet.</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operating_cash_flow, investing_cash_flow, financing_cash_flow</w:t>
            </w:r>
          </w:p>
        </w:tc>
        <w:tc>
          <w:tcPr>
            <w:tcW w:type="dxa" w:w="1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number</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Yes (operating)</w:t>
            </w:r>
          </w:p>
        </w:tc>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2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Cash Flow Statement.</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related_party_receivables, related_party_payables, provisions_and_contingent_liabilities</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number</w:t>
            </w:r>
          </w:p>
        </w:tc>
        <w:tc>
          <w:tcPr>
            <w:tcW w:type="dxa" w:w="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
            </w:r>
          </w:p>
        </w:tc>
        <w:tc>
          <w:tcPr>
            <w:tcW w:type="dxa" w:w="2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Notes to financial statements.</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7"/>
                <w:szCs w:val="17"/>
              </w:rPr>
              <w:t xml:space="preserve">auditor_opinion_type</w:t>
            </w:r>
          </w:p>
        </w:tc>
        <w:tc>
          <w:tcPr>
            <w:tcW w:type="dxa" w:w="1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color w:val="1E293B"/>
                <w:sz w:val="17"/>
                <w:szCs w:val="17"/>
              </w:rPr>
              <w:t xml:space="preserve">enum</w:t>
            </w:r>
          </w:p>
        </w:tc>
        <w:tc>
          <w:tcPr>
            <w:tcW w:type="dxa" w:w="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val="false"/>
                <w:bCs w:val="false"/>
                <w:color w:val="475569"/>
                <w:sz w:val="17"/>
                <w:szCs w:val="17"/>
              </w:rPr>
              <w:t xml:space="preserve">No</w:t>
            </w:r>
          </w:p>
        </w:tc>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6"/>
                <w:szCs w:val="16"/>
              </w:rPr>
              <w:t xml:space="preserve">unqualified \| emphasis_of_matter \| qualified \| adverse \| disclaimer</w:t>
            </w:r>
          </w:p>
        </w:tc>
        <w:tc>
          <w:tcPr>
            <w:tcW w:type="dxa" w:w="2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7"/>
                <w:szCs w:val="17"/>
              </w:rPr>
              <w:t xml:space="preserve">Independent Auditor's Report cover page.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4.2  financial_periods[] — Fields Added Beyond Annexure C's Base Table</w:t>
      </w:r>
    </w:p>
    <w:p>
      <w:pPr>
        <w:spacing w:after="80" w:before="60"/>
        <w:jc w:val="left"/>
      </w:pPr>
      <w:r>
        <w:rPr>
          <w:rFonts w:ascii="Arial" w:cs="Arial" w:eastAsia="Arial" w:hAnsi="Arial"/>
          <w:color w:val="1E293B"/>
          <w:sz w:val="22"/>
          <w:szCs w:val="22"/>
        </w:rPr>
        <w:t xml:space="preserve">Annexure C's §2.1.2 summary table does not list every field its own rule formulas require. The following fields are added here, each justified against the specific rule formula in Section 2 of Annexure C that needs it.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Field</w:t>
            </w:r>
          </w:p>
        </w:tc>
        <w:tc>
          <w:tcPr>
            <w:tcW w:type="dxa" w:w="696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60" w:before="60"/>
              <w:jc w:val="left"/>
            </w:pPr>
            <w:r>
              <w:rPr>
                <w:rFonts w:ascii="Arial" w:cs="Arial" w:eastAsia="Arial" w:hAnsi="Arial"/>
                <w:b/>
                <w:bCs/>
                <w:color w:val="FFFFFF"/>
                <w:sz w:val="18"/>
                <w:szCs w:val="18"/>
              </w:rPr>
              <w:t xml:space="preserve">Why It Was Added (rule + reason)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inventory_opening</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alongside inventory (closing) for FIN-AST-001's Average Inventory formula. Annexure C's worked example explicitly uses both opening and closing inventory; the base field table only lists 'inventory'.</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intangible_assets_acquisition_portion</w:t>
            </w:r>
          </w:p>
        </w:tc>
        <w:tc>
          <w:tcPr>
            <w:tcW w:type="dxa" w:w="6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to compute FIN-AST-002's Capitalised_Cost_Ratio correctly — the rule explicitly requires EXCLUDING any increase explained by a disclosed acquisition.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period_type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to determine whether quarterly data is available for FIN-REV-003.</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quarterly_revenue</w:t>
            </w:r>
          </w:p>
        </w:tc>
        <w:tc>
          <w:tcPr>
            <w:tcW w:type="dxa" w:w="6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directly by FIN-REV-003's Q4_Revenue_Pct formula. Null where the entity reports half-yearly only, per Annexure C's own caveat ("where quarterly or half-year data is available").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revenue_recognition_policy_text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by FIN-REV-004's text-similarity comparison between current and prior year policy notes. Placeholder field — see Section 6.</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guarantees_disclosed[]</w:t>
            </w:r>
          </w:p>
        </w:tc>
        <w:tc>
          <w:tcPr>
            <w:tcW w:type="dxa" w:w="6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by FIN-LIA-003 to identify guarantee beneficiaries and assess their financial soundness via paid-up capital.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related_party_transactions[]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9"/>
                <w:szCs w:val="19"/>
              </w:rPr>
              <w:t xml:space="preserve">Required by FIN-REV-002 (transaction-level classification and SGX Rule 906 approval check) and FIN-REV-005 (matching a connected entity as BOTH a fund recipient AND a revenue source within a 12-month window).</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4.3  directors[], auditor_history[], related_party_register[]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Object</w:t>
            </w:r>
          </w:p>
        </w:tc>
        <w:tc>
          <w:tcPr>
            <w:tcW w:type="dxa" w:w="7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Key Fields and Rule Usage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directors[]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name, role, is_independent, appointed/resigned dates, resignation_reason_disclosed. is_independent drives FIN-OWN-002's Independent_Director_Ratio. resignation_reason_disclosed feeds §2.9 sudden-resignation monitoring.</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auditor_history[]</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event_type, auditor_name, event_date, stated_reason_text. stated_reason_text is a placeholder field feeding §2.9's auditor-resignation text classification (disagreement / scope limitation language).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related_party_register[]</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entity_or_person_name, acra_uen, relationship_type, confirmed_via_acra. confirmed_via_acra distinguishes ACRA-verified relationships from company self-disclosure only — required by FIN-REV-002 and FIN-LIA-001's cross-referencing steps.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4.4  ownership_structure — UBO Module Output</w:t>
      </w:r>
    </w:p>
    <w:p>
      <w:pPr>
        <w:spacing w:after="80" w:before="60"/>
        <w:jc w:val="left"/>
      </w:pPr>
      <w:r>
        <w:rPr>
          <w:rFonts w:ascii="Arial" w:cs="Arial" w:eastAsia="Arial" w:hAnsi="Arial"/>
          <w:color w:val="1E293B"/>
          <w:sz w:val="22"/>
          <w:szCs w:val="22"/>
        </w:rPr>
        <w:t xml:space="preserve">This object is populated entirely by the UBO Resolution Module (separate SCIENTE IP, via the ubo_module_v1 connector). The FSRE engine never computes any field in this object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Field</w:t>
            </w:r>
          </w:p>
        </w:tc>
        <w:tc>
          <w:tcPr>
            <w:tcW w:type="dxa" w:w="6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Rule Usage</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ownership_chain[]  (layer, holding_entity_name, holding_entity_jurisdiction, ownership_pct)</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FIN-OWN-001: counts chain layers (trigger if &gt;3) and checks each intermediate jurisdiction against the maintained list of limited-disclosure jurisdictions.</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ultimate_beneficial_owners[]</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Identifies the natural person(s) at the top of the chain — the traversal endpoint for FIN-OWN-001.</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connected_entities[]</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FIN-REV-005: the full set of entities sharing directors, shareholders, or common UBO with the entity under review — used to check whether a connected entity is both a fund recipient and revenue source.</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effective_control_pct</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FIN-OWN-002: pre-computed direct + indirect voting control. Compared against the 70% trigger threshold.</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4.5  market_data[] and sgxnet_announcements[]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Object</w:t>
            </w:r>
          </w:p>
        </w:tc>
        <w:tc>
          <w:tcPr>
            <w:tcW w:type="dxa" w:w="65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Rule Usage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market_data[]  (as_of_date, share_price, shares_outstanding, market_capitalisation)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FIN-AST-003: Market_Discount test (book value vs. market cap). FIN-CMP-002: Altman Z-Score component D (Market Value of Equity ÷ Total Liabilities).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sgxnet_announcements[]  (category_raw, full_text, linked_period_label)</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Feeds the text-classification pipeline behind FIN-REV-004 (policy change detection), FIN-AST-002 (new product/R&amp;D disclosure check), FIN-LIA-002/003, and all §2.9 material event rules (auditor resignation, going concern, restatement, TWC designation). full_text is a placeholder — see Section 6.</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4.6  enforcement_records[] and sector_benchmark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Object</w:t>
            </w:r>
          </w:p>
        </w:tc>
        <w:tc>
          <w:tcPr>
            <w:tcW w:type="dxa" w:w="7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Status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enforcement_records[]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Ingested per Annexure C §2.1's data source table (MAS enforcement register, court/CAD records). Not yet read by any individual rule's trigger logic in Annexure C v2.0. Retained for audit completeness and likely future use; flagged as a candidate for a future rule or for inclusion in the explainability narrative.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sector_benchmark</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Required by FIN-LIA-002's 25th-percentile sector comparison. Annexure C references this comparison but does not specify peer-group definition or computation method. See Section 7 open item — this object's shape is provisional pending that methodology.</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5.  </w:t>
            </w:r>
            <w:r>
              <w:rPr>
                <w:rFonts w:ascii="Arial" w:cs="Arial" w:eastAsia="Arial" w:hAnsi="Arial"/>
                <w:b/>
                <w:bCs/>
                <w:color w:val="1A5E72"/>
                <w:sz w:val="26"/>
                <w:szCs w:val="26"/>
              </w:rPr>
              <w:t xml:space="preserve">Rule-to-Field Traceability Matrix</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Every rule from the FSRE Rule Registry, mapped to the exact schema fields its formula or trigger logic consumes. Use this to verify schema completeness against Annexure C before any connector or rule implementation begins.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Rule ID</w:t>
            </w:r>
          </w:p>
        </w:tc>
        <w:tc>
          <w:tcPr>
            <w:tcW w:type="dxa" w:w="78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Schema Fields Consumed</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FIN-REV-001</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financial_periods[].revenue, .accounts_receivable (current + prior period)</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FIN-REV-002</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financial_periods[].related_party_transactions[] (type=revenue, amount, shareholder_approval_announcement_found), .revenue; related_party_register[].confirmed_via_acra</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FIN-REV-003</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financial_periods[].quarterly_revenue, .revenue, .period_type</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FIN-REV-004</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financial_periods[].revenue_recognition_policy_text (current + prior); financial_periods[].revenue (for growth-deviation escalation check)</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FIN-REV-005</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financial_periods[].related_party_transactions[] (type=loan_advance_investment_out AND type=revenue, same counterparty); ownership_structure.connected_entities[]</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FIN-AST-001</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financial_periods[].cost_of_goods_sold, .inventory, .inventory_opening; gross margin trend across periods</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FIN-AST-002</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financial_periods[].intangible_assets_and_goodwill, .intangible_assets_acquisition_portion, .revenue; sgxnet_announcements[] (new product / R&amp;D disclosure check)</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FIN-AST-003</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financial_periods[].intangible_assets_and_goodwill, .total_assets, .total_equity; market_data[].market_capitalisation; financial_periods[].net_profit (operating loss check)</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FIN-LIA-001</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financial_periods[].related_party_payables, .total_liabilities; related_party_register[].confirmed_via_acra</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FIN-LIA-002</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financial_periods[].provisions_and_contingent_liabilities, .revenue; sgxnet_announcements[] (litigation/settlement resolution check); sector_benchmark.provisions_to_revenue_percentile_25th</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FIN-LIA-003</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financial_periods[].guarantees_disclosed[] (guaranteed_amount, beneficiary_paid_up_capital), .total_equity</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FIN-CSH-001</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financial_periods[].operating_cash_flow, .net_profit (current + ≥2 prior periods for consecutive-period escalation)</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FIN-CSH-002</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financial_periods[].cash_and_equivalents, .financing_cash_flow, .operating_cash_flow (current + next period for repayment check)</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FIN-OWN-001</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ownership_structure.ownership_chain[] (layer count, holding_entity_jurisdiction)</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FIN-OWN-002</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ownership_structure.effective_control_pct; directors[].is_independent (ratio across all directors)</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FIN-CMP-001 (Beneish)</w:t>
            </w:r>
          </w:p>
        </w:tc>
        <w:tc>
          <w:tcPr>
            <w:tcW w:type="dxa" w:w="78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 — full set of Income Statement and Balance Sheet fields, current + prior period (eight sub-ratios per Beneish 1999 methodology — exact sub-ratio inputs to be confirmed by data science team against the original paper)</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FIN-CMP-002 (Altman)</w:t>
            </w:r>
          </w:p>
        </w:tc>
        <w:tc>
          <w:tcPr>
            <w:tcW w:type="dxa" w:w="7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8"/>
                <w:szCs w:val="18"/>
              </w:rPr>
              <w:t xml:space="preserve">financial_periods[].total_assets, .total_equity, .net_profit, .total_liabilities, .revenue; market_data[].market_capitalisation</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Section 2.9 Material Events — Not Rule IDs, But Schema-Dependent</w:t>
            </w:r>
          </w:p>
          <w:p>
            <w:pPr>
              <w:spacing w:after="50" w:before="0"/>
              <w:jc w:val="left"/>
            </w:pPr>
            <w:r>
              <w:rPr>
                <w:rFonts w:ascii="Arial" w:cs="Arial" w:eastAsia="Arial" w:hAnsi="Arial"/>
                <w:color w:val="1E293B"/>
                <w:sz w:val="21"/>
                <w:szCs w:val="21"/>
              </w:rPr>
              <w:t xml:space="preserve">The six material event triggers in Annexure C §2.9 (auditor resignation, qualified opinion, going concern, executive resignation, restatement, TWC designation) are not assigned rule IDs in the Rule Registry but consume schema fields directly: auditor_history[].stated_reason_text, financial_periods[].auditor_opinion_type, directors[].resignation_reason_disclosed + resigned_date, and sgxnet_announcements[] generally. These should be assigned rule IDs (suggested: FIN-EVT-001 through FIN-EVT-006) in the next Rule Registry revision so they are addressable in deployment profiles the same way as the 17 scored rules.</w:t>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6.  </w:t>
            </w:r>
            <w:r>
              <w:rPr>
                <w:rFonts w:ascii="Arial" w:cs="Arial" w:eastAsia="Arial" w:hAnsi="Arial"/>
                <w:b/>
                <w:bCs/>
                <w:color w:val="1A5E72"/>
                <w:sz w:val="26"/>
                <w:szCs w:val="26"/>
              </w:rPr>
              <w:t xml:space="preserve">Open Item — Text-Classification / NLP Pipeline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Per your decision, this schema includes placeholder text fields for every rule that depends on NLP or text-similarity logic, even though that logic is not yet specified. This section lists every such dependency in one place so the data science team has a single checklist.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tblGrid>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Rule / Trigger</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Placeholder Field</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FIN-REV-004</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financial_periods[].revenue_recognition_policy_text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FIN-AST-002 (escalation check)</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sgxnet_announcements[].full_text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FIN-LIA-002</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sgxnet_announcements[].full_text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FIN-LIA-003</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sgxnet_announcements[].full_text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§2.9 Auditor resignation</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auditor_history[].stated_reason_text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§2.9 Going concern</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sgxnet_announcements[].full_text (auditor's report)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§2.9 Restatement</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sgxnet_announcements[].full_text</w:t>
            </w:r>
          </w:p>
        </w:tc>
      </w:tr>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§2.9 TWC designation</w:t>
            </w:r>
          </w:p>
        </w:tc>
        <w:tc>
          <w:tcPr>
            <w:tcW w:type="dxa" w:w="23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sgxnet_announcements[].category_raw</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Recommendation</w:t>
            </w:r>
          </w:p>
          <w:p>
            <w:pPr>
              <w:spacing w:after="50" w:before="0"/>
              <w:jc w:val="left"/>
            </w:pPr>
            <w:r>
              <w:rPr>
                <w:rFonts w:ascii="Arial" w:cs="Arial" w:eastAsia="Arial" w:hAnsi="Arial"/>
                <w:color w:val="1E293B"/>
                <w:sz w:val="21"/>
                <w:szCs w:val="21"/>
              </w:rPr>
              <w:t xml:space="preserve">This list should become the input brief for a short technical decision document from the data science team: model/approach choice per item, confidence threshold methodology, and a calibration data plan. Until that exists, these fields remain populated by connectors but unconsumed by any rule implementation — engineering can build the connectors and schema now without being blocked, but the rule logic for these specific items cannot be finalised until the NLP approach is decided.</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6.1  Second Open Item — Sector Benchmarking</w:t>
      </w:r>
    </w:p>
    <w:p>
      <w:pPr>
        <w:spacing w:after="80" w:before="60"/>
        <w:jc w:val="left"/>
      </w:pPr>
      <w:r>
        <w:rPr>
          <w:rFonts w:ascii="Arial" w:cs="Arial" w:eastAsia="Arial" w:hAnsi="Arial"/>
          <w:color w:val="1E293B"/>
          <w:sz w:val="22"/>
          <w:szCs w:val="22"/>
        </w:rPr>
        <w:t xml:space="preserve">FIN-LIA-002 requires comparing an entity's provisions-to-revenue ratio against the 25th percentile of its sector peer group. Annexure C references this capability but does not define: how the peer group is selected (same SSIC code? same sector_classification string? minimum peer count?), how the percentile is computed, or how often it refreshes. The sector_benchmark object in this schema is provisional pending a short methodology decision — flagged as an open item, not a blocker for connector or rule-engine build on the other 16 rules.</w:t>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7.  </w:t>
            </w:r>
            <w:r>
              <w:rPr>
                <w:rFonts w:ascii="Arial" w:cs="Arial" w:eastAsia="Arial" w:hAnsi="Arial"/>
                <w:b/>
                <w:bCs/>
                <w:color w:val="1A5E72"/>
                <w:sz w:val="26"/>
                <w:szCs w:val="26"/>
              </w:rPr>
              <w:t xml:space="preserve">Worked Example — Synthetic Entity</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A fully populated, schema-valid synthetic entity across two consecutive reporting periods (FY2024, FY2025), built using figures consistent with several of Annexure C's own worked examples. This entity is deliberately constructed to trigger multiple real flags, making it useful both as a developer reference and as a QA test fixture.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50"/>
              <w:jc w:val="left"/>
            </w:pPr>
            <w:r>
              <w:rPr>
                <w:rFonts w:ascii="Arial" w:cs="Arial" w:eastAsia="Arial" w:hAnsi="Arial"/>
                <w:b/>
                <w:bCs/>
                <w:color w:val="0D7A57"/>
                <w:sz w:val="20"/>
                <w:szCs w:val="20"/>
              </w:rPr>
              <w:t xml:space="preserve">What This Example Should Trigger When Rules Are Implemented</w:t>
            </w:r>
          </w:p>
          <w:p>
            <w:pPr>
              <w:spacing w:after="50" w:before="0"/>
              <w:jc w:val="left"/>
            </w:pPr>
            <w:r>
              <w:rPr>
                <w:rFonts w:ascii="Arial" w:cs="Arial" w:eastAsia="Arial" w:hAnsi="Arial"/>
                <w:color w:val="1E293B"/>
                <w:sz w:val="21"/>
                <w:szCs w:val="21"/>
              </w:rPr>
              <w:t xml:space="preserve">DSO rises from 50.0 to 74.9 days, a 24.9-day increase — exceeds the 20-day HIGH threshold (FIN-REV-001 HIGH). Related-party revenue grows from 3.8% to 8.3% of revenue with no shareholder approval found in FY2025 — exceeds the 5% threshold without approval (FIN-REV-002 HIGH). A related-party loan and related-party revenue both involve the same counterparty within the same year (FIN-REV-005 CRITICAL — round-tripping pattern). Inventory turnover drops from 6.0x to roughly 3.7x, a decline over 25% (FIN-AST-001 HIGH). Cash conversion ratio collapses from 0.925 to 0.25 (FIN-CSH-001 CRITICAL, since profit rose while operating cash flow fell sharply). The CFO resigned 9 days before FY2025 year-end with no stated reason. Because FIN-REV-005 is CRITICAL, the automatic override applies and this entity's overall risk_tier should compute to CRITICAL regardless of composite_score.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B1120" w:val="clear"/>
            <w:tcMar>
              <w:top w:type="dxa" w:w="90"/>
              <w:left w:type="dxa" w:w="130"/>
              <w:bottom w:type="dxa" w:w="90"/>
              <w:right w:type="dxa" w:w="130"/>
            </w:tcMar>
            <w:vAlign w:val="top"/>
          </w:tcPr>
          <w:p>
            <w:pPr>
              <w:spacing w:after="0" w:before="0"/>
            </w:pP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"entity_id"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"ENT-SGX-00417",</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"sgx_stock_code"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"S68X",</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"acra_uen"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"200312345A",</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"legal_name"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"Meridian Offshore Holdings Ltd.",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"sector_classification"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"Marine &amp; Offshore Engineering",</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"board"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"MAINBOARD",</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"financial_periods"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"period_label"</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"FY2024",</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"period_end_date"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"2024-12-31",</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"annual",</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100000000,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"cost_of_goods_sold"</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60000000,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"gross_profit"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40000000,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"net_profit"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20000000,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"accounts_receivable"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13700000,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"inventory_opening"</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11000000,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"total_assets"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180000000,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"intangible_assets_and_goodwill"</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5000000,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"intangible_assets_acquisition_portion"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null,</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"accounts_payable"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"total_liabilities"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"total_equity"</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90000000,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"cash_and_equivalents"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22000000,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"operating_cash_flow"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18500000,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"investing_cash_flow"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-6000000,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-4000000,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"related_party_receivables"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1200000,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"related_party_payables"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3000000,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"provisions_and_contingent_liabilities"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4500000,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"auditor_opinion_type"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"unqualified",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"revenue_recognition_policy_text"</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"Revenue from construction contracts is recognised over time using the percentage-of-completion method, measured by reference to costs incurred to date as a proportion of total estimated costs.",</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"quarterly_revenue"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"q1": 24000000, "q2": 25000000, "q3": 26000000, "q4": 25000000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"guarantees_disclosed"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"related_party_transactions"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"counterparty_entity_id"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"ENT-PRIV-00982",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"counterparty_name"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"Meridian Family Ventures Pte Ltd",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"transaction_type"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"revenue",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"amount"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3800000,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"shareholder_approval_announcement_found"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true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"period_label"</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"FY2025",</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"period_end_date"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"2025-12-31",</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"annual",</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115000000,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"cost_of_goods_sold"</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58000000,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"gross_profit"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57000000,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"net_profit"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24000000,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"accounts_receivable"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23600000,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"inventory_opening"</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11000000,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"inventory"</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19000000,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"total_assets"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196000000,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"intangible_assets_and_goodwill"</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14000000,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"intangible_assets_acquisition_portion"</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"accounts_payable"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9500000,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"total_liabilities"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99000000,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"total_equity"</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97000000,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"cash_and_equivalents"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6000000,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"operating_cash_flow"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6000000,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"investing_cash_flow"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-11000000,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"financing_cash_flow"</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8000000,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"related_party_receivables"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1900000,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"related_party_payables"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4200000,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"provisions_and_contingent_liabilities"</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3200000,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"auditor_opinion_type"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"emphasis_of_matter",</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"revenue_recognition_policy_text"</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"Revenue from construction contracts is recognised upon achievement of contractual milestones, which may occur prior to physical completion of underlying work, where collectability is reasonably assured.",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"quarterly_revenue"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 "q1": 26000000, "q2": 27000000, "q3": 29000000, "q4": 33000000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"guarantees_disclosed"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"related_party_transactions"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"counterparty_entity_id"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"ENT-PRIV-00982",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"counterparty_name"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"Meridian Family Ventures Pte Ltd",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"transaction_type"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"revenue",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"amount"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9500000,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"shareholder_approval_announcement_found"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false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"counterparty_entity_id"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"ENT-PRIV-00982",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"counterparty_name"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"Meridian Family Ventures Pte Ltd",</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"transaction_type"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"loan_advance_investment_out",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"amount"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6000000,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"shareholder_approval_announcement_found"</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null</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"directors"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"name": "Tan Wei Ming", "role": "chairman", "is_independent": false, "appointed_date": "2010-03-01", "resigned_date": null, "resignation_reason_disclosed": null },</w:t>
            </w:r>
          </w:p>
          <w:p>
            <w:pPr>
              <w:spacing w:after="0" w:before="0"/>
            </w:pPr>
            <w:r>
              <w:rPr>
                <w:rFonts w:ascii="Courier New" w:cs="Courier New" w:eastAsia="Courier New" w:hAnsi="Courier New"/>
                <w:color w:val="9CDCFE"/>
                <w:sz w:val="16"/>
                <w:szCs w:val="16"/>
              </w:rPr>
              <w:t xml:space="preserve">    { "name": "Tan Wei Ming", "role": "ceo", "is_independent": false, "appointed_date": "2010-03-01", "resigned_date": null, "resignation_reason_disclosed": null },</w:t>
            </w:r>
          </w:p>
          <w:p>
            <w:pPr>
              <w:spacing w:after="0" w:before="0"/>
            </w:pPr>
            <w:r>
              <w:rPr>
                <w:rFonts w:ascii="Courier New" w:cs="Courier New" w:eastAsia="Courier New" w:hAnsi="Courier New"/>
                <w:color w:val="9CDCFE"/>
                <w:sz w:val="16"/>
                <w:szCs w:val="16"/>
              </w:rPr>
              <w:t xml:space="preserve">    { "name": "Lim Boon Huat", "role": "cfo", "is_independent": false, "appointed_date": "2019-06-15", "resigned_date": "2025-11-20", "resignation_reason_disclosed": null },</w:t>
            </w:r>
          </w:p>
          <w:p>
            <w:pPr>
              <w:spacing w:after="0" w:before="0"/>
            </w:pPr>
            <w:r>
              <w:rPr>
                <w:rFonts w:ascii="Courier New" w:cs="Courier New" w:eastAsia="Courier New" w:hAnsi="Courier New"/>
                <w:color w:val="9CDCFE"/>
                <w:sz w:val="16"/>
                <w:szCs w:val="16"/>
              </w:rPr>
              <w:t xml:space="preserve">    { "name": "Sarah Goh", "role": "independent_director", "is_independent": true, "appointed_date": "2018-01-10", "resigned_date": null, "resignation_reason_disclosed": null },</w:t>
            </w:r>
          </w:p>
          <w:p>
            <w:pPr>
              <w:spacing w:after="0" w:before="0"/>
            </w:pPr>
            <w:r>
              <w:rPr>
                <w:rFonts w:ascii="Courier New" w:cs="Courier New" w:eastAsia="Courier New" w:hAnsi="Courier New"/>
                <w:color w:val="9CDCFE"/>
                <w:sz w:val="16"/>
                <w:szCs w:val="16"/>
              </w:rPr>
              <w:t xml:space="preserve">    { "name": "David Koh", "role": "independent_director", "is_independent": true, "appointed_date": "2021-04-01", "resigned_date": null, "resignation_reason_disclosed": null },</w:t>
            </w:r>
          </w:p>
          <w:p>
            <w:pPr>
              <w:spacing w:after="0" w:before="0"/>
            </w:pPr>
            <w:r>
              <w:rPr>
                <w:rFonts w:ascii="Courier New" w:cs="Courier New" w:eastAsia="Courier New" w:hAnsi="Courier New"/>
                <w:color w:val="9CDCFE"/>
                <w:sz w:val="16"/>
                <w:szCs w:val="16"/>
              </w:rPr>
              <w:t xml:space="preserve">    { "name": "Tan Wei Ling", "role": "non_executive_director", "is_independent": false, "appointed_date": "2015-09-01", "resigned_date": null, "resignation_reason_disclosed": null },</w:t>
            </w:r>
          </w:p>
          <w:p>
            <w:pPr>
              <w:spacing w:after="0" w:before="0"/>
            </w:pPr>
            <w:r>
              <w:rPr>
                <w:rFonts w:ascii="Courier New" w:cs="Courier New" w:eastAsia="Courier New" w:hAnsi="Courier New"/>
                <w:color w:val="9CDCFE"/>
                <w:sz w:val="16"/>
                <w:szCs w:val="16"/>
              </w:rPr>
              <w:t xml:space="preserve">    { "name": "Tan Wei Jun", "role": "non_executive_director", "is_independent": false, "appointed_date": "2017-02-14", "resigned_date": null, "resignation_reason_disclosed": null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"auditor_history"</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"event_type": "appointment", "auditor_name": "Crestview Associates LLP", "event_date": "2019-01-01", "stated_reason_text": null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"related_party_register"</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"entity_or_person_name": "Meridian Family Ventures Pte Ltd", "acra_uen": "201798765B", "relationship_type": "associate_of_director", "confirmed_via_acra": true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"ownership_structure"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"ownership_chain"</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"layer": 1, "holding_entity_name": "Meridian Capital Holdings Pte Ltd", "holding_entity_jurisdiction": "SG", "ownership_pct": 0.63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"ultimate_beneficial_owners"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"name": "Tan Wei Ming", "effective_ownership_pct": 0.63, "is_natural_person": true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"connected_entities"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["ENT-PRIV-00982"],</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"effective_control_pct"</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0.63,</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"resolved_at"</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"2026-06-28T03:00:00+08:00"</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"market_data"</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 "as_of_date": "2024-12-31", "share_price": 0.82, "shares_outstanding": 250000000, "market_capitalisation": 205000000 },</w:t>
            </w:r>
          </w:p>
          <w:p>
            <w:pPr>
              <w:spacing w:after="0" w:before="0"/>
            </w:pPr>
            <w:r>
              <w:rPr>
                <w:rFonts w:ascii="Courier New" w:cs="Courier New" w:eastAsia="Courier New" w:hAnsi="Courier New"/>
                <w:color w:val="9CDCFE"/>
                <w:sz w:val="16"/>
                <w:szCs w:val="16"/>
              </w:rPr>
              <w:t xml:space="preserve">    { "as_of_date": "2025-12-31", "share_price": 0.51, "shares_outstanding": 250000000, "market_capitalisation": 127500000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"sgxnet_announcements"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"announcement_id"</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"SGX-ANN-2025-88341",</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"announcement_date"</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"2025-11-20",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"category_raw"</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"director_change",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"full_text"</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"The Board of Directors of Meridian Offshore Holdings Ltd. wishes to announce the resignation of Mr Lim Boon Huat as Chief Financial Officer with immediate effect.",</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"linked_period_label"</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"FY2025"</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"enforcement_records"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"sector_benchmark"</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"sector_classification"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"Marine &amp; Offshore Engineering",</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"period_label"</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"FY2025",</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"provisions_to_revenue_percentile_25th"</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0.018,</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"peer_group_size"</w:t>
            </w:r>
            <w:r>
              <w:rPr>
                <w:rFonts w:ascii="Courier New" w:cs="Courier New" w:eastAsia="Courier New" w:hAnsi="Courier New"/>
                <w:color w:val="9CDCFE"/>
                <w:sz w:val="16"/>
                <w:szCs w:val="16"/>
              </w:rPr>
              <w:t xml:space="preserve">: </w:t>
            </w:r>
            <w:r>
              <w:rPr>
                <w:rFonts w:ascii="Courier New" w:cs="Courier New" w:eastAsia="Courier New" w:hAnsi="Courier New"/>
                <w:color w:val="F9CC9D"/>
                <w:sz w:val="16"/>
                <w:szCs w:val="16"/>
              </w:rPr>
              <w:t xml:space="preserve">14</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"_provenance"</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"ingested_at"</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"2026-06-29T02:00:00+08:00",</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"source_connectors"</w:t>
            </w:r>
            <w:r>
              <w:rPr>
                <w:rFonts w:ascii="Courier New" w:cs="Courier New" w:eastAsia="Courier New" w:hAnsi="Courier New"/>
                <w:color w:val="9CDCFE"/>
                <w:sz w:val="16"/>
                <w:szCs w:val="16"/>
              </w:rPr>
              <w:t xml:space="preserve">: </w:t>
            </w:r>
            <w:r>
              <w:rPr>
                <w:rFonts w:ascii="Courier New" w:cs="Courier New" w:eastAsia="Courier New" w:hAnsi="Courier New"/>
                <w:color w:val="9CDCFE"/>
                <w:sz w:val="16"/>
                <w:szCs w:val="16"/>
              </w:rPr>
              <w:t xml:space="preserve">["sgx_filings", "ubo_module_v1", "acra_bizfile", "sgx_market_data"],</w:t>
            </w:r>
          </w:p>
          <w:p>
            <w:pPr>
              <w:spacing w:after="0" w:before="0"/>
            </w:pPr>
            <w:r>
              <w:rPr>
                <w:rFonts w:ascii="Courier New" w:cs="Courier New" w:eastAsia="Courier New" w:hAnsi="Courier New"/>
                <w:color w:val="9CDCFE"/>
                <w:sz w:val="16"/>
                <w:szCs w:val="16"/>
              </w:rPr>
              <w:t xml:space="preserve">    </w:t>
            </w:r>
            <w:r>
              <w:rPr>
                <w:rFonts w:ascii="Courier New" w:cs="Courier New" w:eastAsia="Courier New" w:hAnsi="Courier New"/>
                <w:color w:val="38BDF8"/>
                <w:sz w:val="16"/>
                <w:szCs w:val="16"/>
              </w:rPr>
              <w:t xml:space="preserve">"normalisation_version"</w:t>
            </w:r>
            <w:r>
              <w:rPr>
                <w:rFonts w:ascii="Courier New" w:cs="Courier New" w:eastAsia="Courier New" w:hAnsi="Courier New"/>
                <w:color w:val="9CDCFE"/>
                <w:sz w:val="16"/>
                <w:szCs w:val="16"/>
              </w:rPr>
              <w:t xml:space="preserve">: </w:t>
            </w:r>
            <w:r>
              <w:rPr>
                <w:rFonts w:ascii="Courier New" w:cs="Courier New" w:eastAsia="Courier New" w:hAnsi="Courier New"/>
                <w:color w:val="A5D6A7"/>
                <w:sz w:val="16"/>
                <w:szCs w:val="16"/>
              </w:rPr>
              <w:t xml:space="preserve">"1.0"</w:t>
            </w:r>
          </w:p>
          <w:p>
            <w:pPr>
              <w:spacing w:after="0" w:before="0"/>
            </w:pPr>
            <w:r>
              <w:rPr>
                <w:rFonts w:ascii="Courier New" w:cs="Courier New" w:eastAsia="Courier New" w:hAnsi="Courier New"/>
                <w:color w:val="9CDCFE"/>
                <w:sz w:val="16"/>
                <w:szCs w:val="16"/>
              </w:rPr>
              <w:t xml:space="preserve">  }</w:t>
            </w:r>
          </w:p>
          <w:p>
            <w:pPr>
              <w:spacing w:after="0" w:before="0"/>
            </w:pPr>
            <w:r>
              <w:rPr>
                <w:rFonts w:ascii="Courier New" w:cs="Courier New" w:eastAsia="Courier New" w:hAnsi="Courier New"/>
                <w:color w:val="9CDCFE"/>
                <w:sz w:val="16"/>
                <w:szCs w:val="16"/>
              </w:rPr>
              <w:t xml:space="preserve">}</w:t>
            </w:r>
          </w:p>
          <w:p>
            <w:pPr>
              <w:spacing w:after="0" w:before="0"/>
            </w:pPr>
            <w:r>
              <w:rPr>
                <w:rFonts w:ascii="Courier New" w:cs="Courier New" w:eastAsia="Courier New" w:hAnsi="Courier New"/>
                <w:color w:val="9CDCFE"/>
                <w:sz w:val="16"/>
                <w:szCs w:val="16"/>
              </w:rPr>
              <w:t xml:space="preserve"> </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pBdr>
          <w:bottom w:val="single" w:color="219EBC" w:sz="4" w:space="1"/>
        </w:pBdr>
        <w:spacing w:after="100" w:before="10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40" w:before="80"/>
        <w:jc w:val="center"/>
      </w:pPr>
      <w:r>
        <w:rPr>
          <w:rFonts w:ascii="Arial" w:cs="Arial" w:eastAsia="Arial" w:hAnsi="Arial"/>
          <w:b/>
          <w:bCs/>
          <w:color w:val="1A5E72"/>
          <w:sz w:val="20"/>
          <w:szCs w:val="20"/>
        </w:rPr>
        <w:t xml:space="preserve">SCIENTE PROPRIETARY AND CONFIDENTIAL — ENGINEERING CONTRACT</w:t>
      </w:r>
    </w:p>
    <w:p>
      <w:pPr>
        <w:spacing w:after="80" w:before="0"/>
        <w:jc w:val="center"/>
      </w:pPr>
      <w:r>
        <w:rPr>
          <w:rFonts w:ascii="Arial" w:cs="Arial" w:eastAsia="Arial" w:hAnsi="Arial"/>
          <w:i/>
          <w:iCs/>
          <w:color w:val="475569"/>
          <w:sz w:val="18"/>
          <w:szCs w:val="18"/>
        </w:rPr>
        <w:t xml:space="preserve">This schema is the binding contract between Phase 1 (Ingestion) and Phase 2 (Engine Core). Any field addition must be traced to a specific rule per the methodology in Section 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BD5E1" w:sz="2" w:space="1"/>
      </w:pBdr>
      <w:spacing w:after="0" w:before="0"/>
      <w:jc w:val="left"/>
    </w:pPr>
    <w:r>
      <w:rPr>
        <w:rFonts w:ascii="Arial" w:cs="Arial" w:eastAsia="Arial" w:hAnsi="Arial"/>
        <w:color w:val="1E293B"/>
        <w:sz w:val="22"/>
        <w:szCs w:val="22"/>
      </w:rPr>
      <w:t xml:space="preserve"/>
    </w:r>
  </w:p>
  <w:p>
    <w:pPr>
      <w:spacing w:after="0" w:before="50"/>
      <w:jc w:val="left"/>
    </w:pPr>
    <w:r>
      <w:rPr>
        <w:rFonts w:ascii="Arial" w:cs="Arial" w:eastAsia="Arial" w:hAnsi="Arial"/>
        <w:color w:val="475569"/>
        <w:sz w:val="18"/>
        <w:szCs w:val="18"/>
      </w:rPr>
      <w:t xml:space="preserve">Version 1.0  |  June 2026  |  Stage 1 Step 2</w:t>
    </w:r>
    <w:r>
      <w:rPr>
        <w:rFonts w:ascii="Arial" w:cs="Arial" w:eastAsia="Arial" w:hAnsi="Arial"/>
        <w:color w:val="1E293B"/>
        <w:sz w:val="18"/>
        <w:szCs w:val="18"/>
      </w:rPr>
      <w:t xml:space="preserve">	</w:t>
    </w:r>
    <w:r>
      <w:rPr>
        <w:rFonts w:ascii="Arial" w:cs="Arial" w:eastAsia="Arial" w:hAnsi="Arial"/>
        <w:color w:val="47556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left"/>
          </w:pPr>
          <w:r>
            <w:rPr>
              <w:rFonts w:ascii="Arial" w:cs="Arial" w:eastAsia="Arial" w:hAnsi="Arial"/>
              <w:color w:val="475569"/>
              <w:sz w:val="18"/>
              <w:szCs w:val="18"/>
            </w:rPr>
            <w:t xml:space="preserve">FSRE Internal Entity Schema Specification</w:t>
          </w:r>
        </w:p>
      </w:tc>
      <w:tc>
        <w:tcPr>
          <w:tcW w:type="dxa" w:w="35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right"/>
          </w:pPr>
          <w:r>
            <w:rPr>
              <w:rFonts w:ascii="Arial" w:cs="Arial" w:eastAsia="Arial" w:hAnsi="Arial"/>
              <w:b/>
              <w:bCs/>
              <w:color w:val="219EBC"/>
              <w:sz w:val="16"/>
              <w:szCs w:val="16"/>
            </w:rPr>
            <w:t xml:space="preserve">SCIENTE CONFIDENTIAL — ENGINEERING CONTRACT</w:t>
          </w:r>
        </w:p>
      </w:tc>
    </w:tr>
  </w:tbl>
  <w:p>
    <w:pPr>
      <w:pBdr>
        <w:bottom w:val="single" w:color="219EBC" w:sz="4" w:space="1"/>
      </w:pBdr>
      <w:spacing w:after="0" w:before="0"/>
      <w:jc w:val="left"/>
    </w:pPr>
    <w:r>
      <w:rPr>
        <w:rFonts w:ascii="Arial" w:cs="Arial" w:eastAsia="Arial" w:hAnsi="Arial"/>
        <w:color w:val="1E293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E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E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2026-06-30T08:24:19.942Z</dcterms:created>
  <dcterms:modified xsi:type="dcterms:W3CDTF">2026-06-30T08:24:19.943Z</dcterms:modified>
</cp:coreProperties>
</file>

<file path=docProps/custom.xml><?xml version="1.0" encoding="utf-8"?>
<Properties xmlns="http://schemas.openxmlformats.org/officeDocument/2006/custom-properties" xmlns:vt="http://schemas.openxmlformats.org/officeDocument/2006/docPropsVTypes"/>
</file>