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9700"/>
      </w:tblGrid>
      <w:tr>
        <w:tc>
          <w:tcPr>
            <w:tcW w:type="dxa" w:w="3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60" w:before="0"/>
              <w:jc w:val="left"/>
            </w:pPr>
            <w:r>
              <w:rPr>
                <w:rFonts w:ascii="Arial" w:cs="Arial" w:eastAsia="Arial" w:hAnsi="Arial"/>
                <w:b/>
                <w:bCs/>
                <w:color w:val="219EBC"/>
                <w:sz w:val="52"/>
                <w:szCs w:val="52"/>
              </w:rPr>
              <w:t xml:space="preserve">SCIENTE</w:t>
            </w:r>
          </w:p>
          <w:p>
            <w:pPr>
              <w:spacing w:after="20" w:before="0"/>
              <w:jc w:val="left"/>
            </w:pPr>
            <w:r>
              <w:rPr>
                <w:rFonts w:ascii="Arial" w:cs="Arial" w:eastAsia="Arial" w:hAnsi="Arial"/>
                <w:b/>
                <w:bCs/>
                <w:color w:val="1A5E72"/>
                <w:sz w:val="46"/>
                <w:szCs w:val="46"/>
              </w:rPr>
              <w:t xml:space="preserve">FSRE Text-Classification &amp; NLP</w:t>
            </w:r>
          </w:p>
          <w:p>
            <w:pPr>
              <w:spacing w:after="30" w:before="0"/>
              <w:jc w:val="left"/>
            </w:pPr>
            <w:r>
              <w:rPr>
                <w:rFonts w:ascii="Arial" w:cs="Arial" w:eastAsia="Arial" w:hAnsi="Arial"/>
                <w:b/>
                <w:bCs/>
                <w:color w:val="1A5E72"/>
                <w:sz w:val="46"/>
                <w:szCs w:val="46"/>
              </w:rPr>
              <w:t xml:space="preserve">Technical Decision Memo</w:t>
            </w:r>
          </w:p>
          <w:p>
            <w:pPr>
              <w:spacing w:after="60" w:before="0"/>
              <w:jc w:val="left"/>
            </w:pPr>
            <w:r>
              <w:rPr>
                <w:rFonts w:ascii="Arial" w:cs="Arial" w:eastAsia="Arial" w:hAnsi="Arial"/>
                <w:color w:val="475569"/>
                <w:sz w:val="26"/>
                <w:szCs w:val="26"/>
              </w:rPr>
              <w:t xml:space="preserve">For the Data Science Team — Six Rule-Dependent NLP Tasks</w:t>
            </w:r>
          </w:p>
          <w:p>
            <w:pPr>
              <w:pBdr>
                <w:bottom w:val="single" w:color="CBD5E1" w:sz="2" w:space="1"/>
              </w:pBdr>
              <w:spacing w:after="60" w:before="6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Version</w:t>
                  </w:r>
                </w:p>
                <w:p>
                  <w:pPr>
                    <w:spacing w:after="70" w:before="0"/>
                    <w:jc w:val="center"/>
                  </w:pPr>
                  <w:r>
                    <w:rPr>
                      <w:rFonts w:ascii="Arial" w:cs="Arial" w:eastAsia="Arial" w:hAnsi="Arial"/>
                      <w:b/>
                      <w:bCs/>
                      <w:color w:val="1A5E72"/>
                      <w:sz w:val="24"/>
                      <w:szCs w:val="24"/>
                    </w:rPr>
                    <w:t xml:space="preserve">1.0</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Date</w:t>
                  </w:r>
                </w:p>
                <w:p>
                  <w:pPr>
                    <w:spacing w:after="70" w:before="0"/>
                    <w:jc w:val="center"/>
                  </w:pPr>
                  <w:r>
                    <w:rPr>
                      <w:rFonts w:ascii="Arial" w:cs="Arial" w:eastAsia="Arial" w:hAnsi="Arial"/>
                      <w:b/>
                      <w:bCs/>
                      <w:color w:val="1A5E72"/>
                      <w:sz w:val="24"/>
                      <w:szCs w:val="24"/>
                    </w:rPr>
                    <w:t xml:space="preserve">June 2026</w:t>
                  </w:r>
                </w:p>
              </w:tc>
              <w:tc>
                <w:tcPr>
                  <w:tcW w:type="dxa" w:w="2340"/>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Tasks Covered</w:t>
                  </w:r>
                </w:p>
                <w:p>
                  <w:pPr>
                    <w:spacing w:after="70" w:before="0"/>
                    <w:jc w:val="center"/>
                  </w:pPr>
                  <w:r>
                    <w:rPr>
                      <w:rFonts w:ascii="Arial" w:cs="Arial" w:eastAsia="Arial" w:hAnsi="Arial"/>
                      <w:b/>
                      <w:bCs/>
                      <w:color w:val="1A5E72"/>
                      <w:sz w:val="24"/>
                      <w:szCs w:val="24"/>
                    </w:rPr>
                    <w:t xml:space="preserve">6</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Classification</w:t>
                  </w:r>
                </w:p>
                <w:p>
                  <w:pPr>
                    <w:spacing w:after="70" w:before="0"/>
                    <w:jc w:val="center"/>
                  </w:pPr>
                  <w:r>
                    <w:rPr>
                      <w:rFonts w:ascii="Arial" w:cs="Arial" w:eastAsia="Arial" w:hAnsi="Arial"/>
                      <w:b/>
                      <w:bCs/>
                      <w:color w:val="B23A2F"/>
                      <w:sz w:val="24"/>
                      <w:szCs w:val="24"/>
                    </w:rPr>
                    <w:t xml:space="preserve">CONFIDENTIAL</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Document Purpose</w:t>
                  </w:r>
                </w:p>
                <w:p>
                  <w:pPr>
                    <w:spacing w:after="50" w:before="0"/>
                    <w:jc w:val="left"/>
                  </w:pPr>
                  <w:r>
                    <w:rPr>
                      <w:rFonts w:ascii="Arial" w:cs="Arial" w:eastAsia="Arial" w:hAnsi="Arial"/>
                      <w:color w:val="1E293B"/>
                      <w:sz w:val="21"/>
                      <w:szCs w:val="21"/>
                    </w:rPr>
                    <w:t xml:space="preserve">Annexure C v2.0 describes what each text-based rule must detect, but explicitly leaves model choice, training approach, and confidence thresholds unspecified — in several places naming this directly (e.g. FIN-REV-004's similarity threshold of 0.85 is flagged as 'a suggested starting point... to be calibrated with real data'). Without a single decision document, engineering and data science will independently guess at implementation choices that should be made once, together. This memo closes that gap: it identifies all six NLP-dependent tasks across Annexure C, recommends an approach for the straightforward ones, lays out real options with tradeoffs for the harder ones, addresses confidence threshold and human-review methodology, and scopes what labeled data each task needs.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Status</w:t>
                  </w:r>
                </w:p>
                <w:p>
                  <w:pPr>
                    <w:spacing w:after="50" w:before="0"/>
                    <w:jc w:val="left"/>
                  </w:pPr>
                  <w:r>
                    <w:rPr>
                      <w:rFonts w:ascii="Arial" w:cs="Arial" w:eastAsia="Arial" w:hAnsi="Arial"/>
                      <w:color w:val="1E293B"/>
                      <w:sz w:val="21"/>
                      <w:szCs w:val="21"/>
                    </w:rPr>
                    <w:t xml:space="preserve">This is a decision memo, not a finished specification. Sections 3 and 8 contain open decisions that require data science team sign-off before implementation begins. Recommendations for the three lower-risk tasks (Section 3) are confident enough to build against directly; the three harder tasks (Section 4) need a team decision meeting before any code is written.</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1.  </w:t>
            </w:r>
            <w:r>
              <w:rPr>
                <w:rFonts w:ascii="Arial" w:cs="Arial" w:eastAsia="Arial" w:hAnsi="Arial"/>
                <w:b/>
                <w:bCs/>
                <w:color w:val="1A5E72"/>
                <w:sz w:val="26"/>
                <w:szCs w:val="26"/>
              </w:rPr>
              <w:t xml:space="preserve">Purpose and Inventory</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document covers every place in Annexure C v2.0 where a rule's trigger logic depends on text classification, similarity scoring, or natural language understanding rather than pure arithmetic on financial_periods[] fields. These six tasks were first identified collectively in the FSRE Internal Entity Schema specification (Section 6); this document is the promised follow-up — a single technical decision point so engineering and data science build against the same assumptions.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700"/>
        <w:gridCol w:w="2960"/>
      </w:tblGrid>
      <w:tr>
        <w:trPr>
          <w:tblHeader/>
        </w:trPr>
        <w:tc>
          <w:tcPr>
            <w:tcW w:type="dxa" w:w="17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ID</w:t>
            </w:r>
          </w:p>
        </w:tc>
        <w:tc>
          <w:tcPr>
            <w:tcW w:type="dxa" w:w="30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Rule</w:t>
            </w:r>
          </w:p>
        </w:tc>
        <w:tc>
          <w:tcPr>
            <w:tcW w:type="dxa" w:w="17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Task Type</w:t>
            </w:r>
          </w:p>
        </w:tc>
        <w:tc>
          <w:tcPr>
            <w:tcW w:type="dxa" w:w="29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This Memo's Position</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NLP-1</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FIN-REV-004 — Revenue recognition policy change</w:t>
            </w:r>
          </w:p>
        </w:tc>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475569"/>
                <w:sz w:val="17"/>
                <w:szCs w:val="17"/>
              </w:rPr>
              <w:t xml:space="preserve">Text similarity</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0D7A57"/>
                <w:sz w:val="17"/>
                <w:szCs w:val="17"/>
              </w:rPr>
              <w:t xml:space="preserve">Recommendation given — Section 3.1</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NLP-2</w:t>
            </w:r>
          </w:p>
        </w:tc>
        <w:tc>
          <w:tcPr>
            <w:tcW w:type="dxa" w:w="3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FIN-LIA-002 — Provisions decrease / litigation resolution</w:t>
            </w:r>
          </w:p>
        </w:tc>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475569"/>
                <w:sz w:val="17"/>
                <w:szCs w:val="17"/>
              </w:rPr>
              <w:t xml:space="preserve">Text classification</w:t>
            </w:r>
          </w:p>
        </w:tc>
        <w:tc>
          <w:tcPr>
            <w:tcW w:type="dxa" w:w="2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0D7A57"/>
                <w:sz w:val="17"/>
                <w:szCs w:val="17"/>
              </w:rPr>
              <w:t xml:space="preserve">Recommendation given — Section 3.2</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NLP-3</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§2.9 — Restatement detection</w:t>
            </w:r>
          </w:p>
        </w:tc>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475569"/>
                <w:sz w:val="17"/>
                <w:szCs w:val="17"/>
              </w:rPr>
              <w:t xml:space="preserve">Text classification + extraction</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0D7A57"/>
                <w:sz w:val="17"/>
                <w:szCs w:val="17"/>
              </w:rPr>
              <w:t xml:space="preserve">Recommendation given — Section 3.3</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NLP-4</w:t>
            </w:r>
          </w:p>
        </w:tc>
        <w:tc>
          <w:tcPr>
            <w:tcW w:type="dxa" w:w="3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§2.9 — Auditor resignation reason classification</w:t>
            </w:r>
          </w:p>
        </w:tc>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475569"/>
                <w:sz w:val="17"/>
                <w:szCs w:val="17"/>
              </w:rPr>
              <w:t xml:space="preserve">Text classification (fine-grained, high-stakes)</w:t>
            </w:r>
          </w:p>
        </w:tc>
        <w:tc>
          <w:tcPr>
            <w:tcW w:type="dxa" w:w="2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C97B00"/>
                <w:sz w:val="17"/>
                <w:szCs w:val="17"/>
              </w:rPr>
              <w:t xml:space="preserve">Options presented — Section 4.1</w:t>
            </w:r>
          </w:p>
        </w:tc>
      </w:tr>
      <w:tr>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NLP-5</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§2.9 — Going concern / material uncertainty detection</w:t>
            </w:r>
          </w:p>
        </w:tc>
        <w:tc>
          <w:tcPr>
            <w:tcW w:type="dxa" w:w="1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color w:val="475569"/>
                <w:sz w:val="17"/>
                <w:szCs w:val="17"/>
              </w:rPr>
              <w:t xml:space="preserve">Text classification (fine-grained, high-stakes)</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60" w:before="60"/>
              <w:jc w:val="left"/>
            </w:pPr>
            <w:r>
              <w:rPr>
                <w:rFonts w:ascii="Arial" w:cs="Arial" w:eastAsia="Arial" w:hAnsi="Arial"/>
                <w:b/>
                <w:bCs/>
                <w:color w:val="C97B00"/>
                <w:sz w:val="17"/>
                <w:szCs w:val="17"/>
              </w:rPr>
              <w:t xml:space="preserve">Options presented — Section 4.2</w:t>
            </w:r>
          </w:p>
        </w:tc>
      </w:tr>
      <w:tr>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Courier New" w:cs="Courier New" w:eastAsia="Courier New" w:hAnsi="Courier New"/>
                <w:b/>
                <w:bCs/>
                <w:color w:val="1A5E72"/>
                <w:sz w:val="18"/>
                <w:szCs w:val="18"/>
              </w:rPr>
              <w:t xml:space="preserve">NLP-6</w:t>
            </w:r>
          </w:p>
        </w:tc>
        <w:tc>
          <w:tcPr>
            <w:tcW w:type="dxa" w:w="3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1E293B"/>
                <w:sz w:val="18"/>
                <w:szCs w:val="18"/>
              </w:rPr>
              <w:t xml:space="preserve">FIN-AST-002 — New product / R&amp;D disclosure check</w:t>
            </w:r>
          </w:p>
        </w:tc>
        <w:tc>
          <w:tcPr>
            <w:tcW w:type="dxa" w:w="1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color w:val="475569"/>
                <w:sz w:val="17"/>
                <w:szCs w:val="17"/>
              </w:rPr>
              <w:t xml:space="preserve">Text classification (supporting/escalation role only)</w:t>
            </w:r>
          </w:p>
        </w:tc>
        <w:tc>
          <w:tcPr>
            <w:tcW w:type="dxa" w:w="2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60" w:before="60"/>
              <w:jc w:val="left"/>
            </w:pPr>
            <w:r>
              <w:rPr>
                <w:rFonts w:ascii="Arial" w:cs="Arial" w:eastAsia="Arial" w:hAnsi="Arial"/>
                <w:b/>
                <w:bCs/>
                <w:color w:val="C97B00"/>
                <w:sz w:val="17"/>
                <w:szCs w:val="17"/>
              </w:rPr>
              <w:t xml:space="preserve">Options presented — Section 4.3</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Note: Annexure C §2.9 also includes SGX Trade-with-Caution (TWC) designation monitoring and sudden executive resignation detection. These are excluded from this memo because TWC is a direct structured feed match against an SGX RegCo published list (no NLP required), and executive resignation timing/reason is addressed by the same approach as NLP-4 (auditor resignation) — see Section 4.1 note.</w:t>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2.  </w:t>
            </w:r>
            <w:r>
              <w:rPr>
                <w:rFonts w:ascii="Arial" w:cs="Arial" w:eastAsia="Arial" w:hAnsi="Arial"/>
                <w:b/>
                <w:bCs/>
                <w:color w:val="1A5E72"/>
                <w:sz w:val="26"/>
                <w:szCs w:val="26"/>
              </w:rPr>
              <w:t xml:space="preserve">Shared Methodology — Confidence, Human Review, and Error Tradeoffs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Before addressing individual tasks, this section establishes the methodology every task below should follow for confidence thresholds and human review. This is the direct response to Annexure C's repeated, explicit flag that suggested thresholds are starting points only, to be calibrated with real data.</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2.1  Three-Zone Confidence Model</w:t>
      </w:r>
    </w:p>
    <w:p>
      <w:pPr>
        <w:spacing w:after="80" w:before="60"/>
        <w:jc w:val="left"/>
      </w:pPr>
      <w:r>
        <w:rPr>
          <w:rFonts w:ascii="Arial" w:cs="Arial" w:eastAsia="Arial" w:hAnsi="Arial"/>
          <w:color w:val="1E293B"/>
          <w:sz w:val="22"/>
          <w:szCs w:val="22"/>
        </w:rPr>
        <w:t xml:space="preserve">Rather than a single pass/fail threshold, every classification or similarity task in this memo should output a confidence score mapped to three zones. This directly serves Annexure C §2.10's explainability requirement — a reviewer should always see why a flag fired, including how confident the model was.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Zone</w:t>
            </w:r>
          </w:p>
        </w:tc>
        <w:tc>
          <w:tcPr>
            <w:tcW w:type="dxa" w:w="368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Behaviour</w:t>
            </w:r>
          </w:p>
        </w:tc>
        <w:tc>
          <w:tcPr>
            <w:tcW w:type="dxa" w:w="348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Annexure C Alignment</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A5E72"/>
                <w:sz w:val="20"/>
                <w:szCs w:val="20"/>
              </w:rPr>
              <w:t xml:space="preserve">High confidence (above upper threshold)</w:t>
            </w:r>
          </w:p>
        </w:tc>
        <w:tc>
          <w:tcPr>
            <w:tcW w:type="dxa" w:w="3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E293B"/>
                <w:sz w:val="20"/>
                <w:szCs w:val="20"/>
              </w:rPr>
              <w:t xml:space="preserve">Auto-trigger the flag at the severity Annexure C specifies. No human review required before the flag enters the entity's composite_score.</w:t>
            </w:r>
          </w:p>
        </w:tc>
        <w:tc>
          <w:tcPr>
            <w:tcW w:type="dxa" w:w="3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E293B"/>
                <w:sz w:val="20"/>
                <w:szCs w:val="20"/>
              </w:rPr>
              <w:t xml:space="preserve">e.g. FIN-REV-004: similarity score clearly below threshold → auto-trigger MEDIUM</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A5E72"/>
                <w:sz w:val="20"/>
                <w:szCs w:val="20"/>
              </w:rPr>
              <w:t xml:space="preserve">Grey zone (between thresholds)</w:t>
            </w:r>
          </w:p>
        </w:tc>
        <w:tc>
          <w:tcPr>
            <w:tcW w:type="dxa" w:w="3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E293B"/>
                <w:sz w:val="20"/>
                <w:szCs w:val="20"/>
              </w:rPr>
              <w:t xml:space="preserve">Flag is generated but marked needs_review = true. It does not contribute to composite_score until a human analyst confirms or dismisses it.</w:t>
            </w:r>
          </w:p>
        </w:tc>
        <w:tc>
          <w:tcPr>
            <w:tcW w:type="dxa" w:w="3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E293B"/>
                <w:sz w:val="20"/>
                <w:szCs w:val="20"/>
              </w:rPr>
              <w:t xml:space="preserve">Mirrors Annexure C's own instruction for FIN-CSH-001: 'flag for analyst review rather than fully automated escalation if a plausible explanation is found'</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A5E72"/>
                <w:sz w:val="20"/>
                <w:szCs w:val="20"/>
              </w:rPr>
              <w:t xml:space="preserve">Low confidence (below lower threshold)</w:t>
            </w:r>
          </w:p>
        </w:tc>
        <w:tc>
          <w:tcPr>
            <w:tcW w:type="dxa" w:w="3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E293B"/>
                <w:sz w:val="20"/>
                <w:szCs w:val="20"/>
              </w:rPr>
              <w:t xml:space="preserve">No flag generated. Result object still recorded with triggered=false for audit completeness per the Standard Output Format (Annexure C §0).</w:t>
            </w:r>
          </w:p>
        </w:tc>
        <w:tc>
          <w:tcPr>
            <w:tcW w:type="dxa" w:w="3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b w:val="false"/>
                <w:bCs w:val="false"/>
                <w:color w:val="1E293B"/>
                <w:sz w:val="20"/>
                <w:szCs w:val="20"/>
              </w:rPr>
              <w:t xml:space="preserve">Avoids false-positive noise that would erode analyst trust in the system</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Why Two Thresholds, Not One</w:t>
            </w:r>
          </w:p>
          <w:p>
            <w:pPr>
              <w:spacing w:after="50" w:before="0"/>
              <w:jc w:val="left"/>
            </w:pPr>
            <w:r>
              <w:rPr>
                <w:rFonts w:ascii="Arial" w:cs="Arial" w:eastAsia="Arial" w:hAnsi="Arial"/>
                <w:color w:val="1E293B"/>
                <w:sz w:val="21"/>
                <w:szCs w:val="21"/>
              </w:rPr>
              <w:t xml:space="preserve">A single cutoff forces every borderline case into a binary decision the model cannot reliably make. A grey zone with mandatory human review converts the model's own uncertainty into a visible, auditable signal rather than hiding it behind a confident-looking false positive or a silent false negative. This is consistent with Annexure C's explicit treatment of FIN-CSH-001, where the document itself instructs analyst review before automated escalation when a plausible explanation might exist.</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2.2  False Positive vs. False Negative Tradeoff — Stated Position</w:t>
      </w:r>
    </w:p>
    <w:p>
      <w:pPr>
        <w:spacing w:after="80" w:before="60"/>
        <w:jc w:val="left"/>
      </w:pPr>
      <w:r>
        <w:rPr>
          <w:rFonts w:ascii="Arial" w:cs="Arial" w:eastAsia="Arial" w:hAnsi="Arial"/>
          <w:color w:val="1E293B"/>
          <w:sz w:val="22"/>
          <w:szCs w:val="22"/>
        </w:rPr>
        <w:t xml:space="preserve">For every task in this memo, a false negative (missing real manipulation) and a false positive (flagging an innocent explanation) are not symmetric in cost. Given FSRE's MAS/regulatory Stage 1 deployment, this memo takes the position that thresholds should be calibrated to favour recall over precision — i.e., when genuinely uncertain, lean toward generating a grey-zone flag for human review rather than suppressing it. The cost of an analyst spending five minutes dismissing a false flag is low; the cost of a missed CRITICAL-pattern flag in a regulator-facing report is not. This position should be confirmed or revised by SCIENTE's compliance/product lead before calibration begins, since it is a risk-appetite decision, not a purely technical one.</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2.3  Calibration Process (applies to every task below)</w:t>
      </w:r>
    </w:p>
    <w:p>
      <w:pPr>
        <w:pStyle w:val="ListParagraph"/>
        <w:numPr>
          <w:ilvl w:val="0"/>
          <w:numId w:val="2"/>
        </w:numPr>
        <w:spacing w:after="40" w:before="40"/>
        <w:jc w:val="left"/>
      </w:pPr>
      <w:r>
        <w:rPr>
          <w:rFonts w:ascii="Arial" w:cs="Arial" w:eastAsia="Arial" w:hAnsi="Arial"/>
          <w:color w:val="1E293B"/>
          <w:sz w:val="22"/>
          <w:szCs w:val="22"/>
        </w:rPr>
        <w:t xml:space="preserve">Establish a labeled validation set per task (see Section 5 for sourcing per task)</w:t>
      </w:r>
    </w:p>
    <w:p>
      <w:pPr>
        <w:pStyle w:val="ListParagraph"/>
        <w:numPr>
          <w:ilvl w:val="0"/>
          <w:numId w:val="2"/>
        </w:numPr>
        <w:spacing w:after="40" w:before="40"/>
        <w:jc w:val="left"/>
      </w:pPr>
      <w:r>
        <w:rPr>
          <w:rFonts w:ascii="Arial" w:cs="Arial" w:eastAsia="Arial" w:hAnsi="Arial"/>
          <w:color w:val="1E293B"/>
          <w:sz w:val="22"/>
          <w:szCs w:val="22"/>
        </w:rPr>
        <w:t xml:space="preserve">Compute the precision/recall curve across candidate thresholds</w:t>
      </w:r>
    </w:p>
    <w:p>
      <w:pPr>
        <w:pStyle w:val="ListParagraph"/>
        <w:numPr>
          <w:ilvl w:val="0"/>
          <w:numId w:val="2"/>
        </w:numPr>
        <w:spacing w:after="40" w:before="40"/>
        <w:jc w:val="left"/>
      </w:pPr>
      <w:r>
        <w:rPr>
          <w:rFonts w:ascii="Arial" w:cs="Arial" w:eastAsia="Arial" w:hAnsi="Arial"/>
          <w:color w:val="1E293B"/>
          <w:sz w:val="22"/>
          <w:szCs w:val="22"/>
        </w:rPr>
        <w:t xml:space="preserve">Select the high-confidence threshold at the point recall begins dropping below an acceptable floor (suggested starting floor: 90% recall on known-positive cases — itself to be confirmed, in the same spirit as Annexure C's own caveated thresholds)</w:t>
      </w:r>
    </w:p>
    <w:p>
      <w:pPr>
        <w:pStyle w:val="ListParagraph"/>
        <w:numPr>
          <w:ilvl w:val="0"/>
          <w:numId w:val="2"/>
        </w:numPr>
        <w:spacing w:after="40" w:before="40"/>
        <w:jc w:val="left"/>
      </w:pPr>
      <w:r>
        <w:rPr>
          <w:rFonts w:ascii="Arial" w:cs="Arial" w:eastAsia="Arial" w:hAnsi="Arial"/>
          <w:color w:val="1E293B"/>
          <w:sz w:val="22"/>
          <w:szCs w:val="22"/>
        </w:rPr>
        <w:t xml:space="preserve">Select the low-confidence threshold at the point precision drops below a usable floor for the grey zone (suggested: 30% — below this, the grey zone generates more noise than signal)</w:t>
      </w:r>
    </w:p>
    <w:p>
      <w:pPr>
        <w:pStyle w:val="ListParagraph"/>
        <w:numPr>
          <w:ilvl w:val="0"/>
          <w:numId w:val="2"/>
        </w:numPr>
        <w:spacing w:after="40" w:before="40"/>
        <w:jc w:val="left"/>
      </w:pPr>
      <w:r>
        <w:rPr>
          <w:rFonts w:ascii="Arial" w:cs="Arial" w:eastAsia="Arial" w:hAnsi="Arial"/>
          <w:color w:val="1E293B"/>
          <w:sz w:val="22"/>
          <w:szCs w:val="22"/>
        </w:rPr>
        <w:t xml:space="preserve">Document the chosen thresholds, the validation set composition, and the date of calibration in a versioned calibration record — thresholds should be re-validated whenever the underlying model changes or after a meaningful volume of analyst review outcomes accumulates</w:t>
      </w:r>
    </w:p>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3.  </w:t>
            </w:r>
            <w:r>
              <w:rPr>
                <w:rFonts w:ascii="Arial" w:cs="Arial" w:eastAsia="Arial" w:hAnsi="Arial"/>
                <w:b/>
                <w:bCs/>
                <w:color w:val="1A5E72"/>
                <w:sz w:val="26"/>
                <w:szCs w:val="26"/>
              </w:rPr>
              <w:t xml:space="preserve">Recommended Approaches — Lower-Risk Tasks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three tasks below are recommended directly because the detection target is narrow, the text source is structured/predictable, and the downside of a reasonable implementation choice is low. Data science can build against these recommendations without a team decision meeting, though sign-off is still advisable before implementation.</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00"/>
            </w:tblGrid>
            <w:tr>
              <w:tc>
                <w:tcPr>
                  <w:tcW w:type="dxa" w:w="2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50" w:before="50"/>
                    <w:jc w:val="left"/>
                  </w:pPr>
                  <w:r>
                    <w:rPr>
                      <w:rFonts w:ascii="Courier New" w:cs="Courier New" w:eastAsia="Courier New" w:hAnsi="Courier New"/>
                      <w:b/>
                      <w:bCs/>
                      <w:color w:val="FFFFFF"/>
                      <w:sz w:val="20"/>
                      <w:szCs w:val="20"/>
                    </w:rPr>
                    <w:t xml:space="preserve">NLP-1</w:t>
                  </w:r>
                </w:p>
              </w:tc>
              <w:tc>
                <w:tcPr>
                  <w:tcW w:type="dxa" w:w="45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left"/>
                  </w:pPr>
                  <w:r>
                    <w:rPr>
                      <w:rFonts w:ascii="Arial" w:cs="Arial" w:eastAsia="Arial" w:hAnsi="Arial"/>
                      <w:b/>
                      <w:bCs/>
                      <w:color w:val="1A5E72"/>
                      <w:sz w:val="22"/>
                      <w:szCs w:val="22"/>
                    </w:rPr>
                    <w:t xml:space="preserve">Revenue Recognition Policy Similarity</w:t>
                  </w:r>
                </w:p>
              </w:tc>
              <w:tc>
                <w:tcPr>
                  <w:tcW w:type="dxa" w:w="24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right"/>
                  </w:pPr>
                  <w:r>
                    <w:rPr>
                      <w:rFonts w:ascii="Arial" w:cs="Arial" w:eastAsia="Arial" w:hAnsi="Arial"/>
                      <w:i/>
                      <w:iCs/>
                      <w:color w:val="475569"/>
                      <w:sz w:val="18"/>
                      <w:szCs w:val="18"/>
                    </w:rPr>
                    <w:t xml:space="preserve">FIN-REV-004</w:t>
                  </w:r>
                </w:p>
              </w:tc>
            </w:tr>
          </w:tbl>
          <w:p>
            <w:pPr>
              <w:spacing w:after="60" w:before="100"/>
              <w:jc w:val="left"/>
            </w:pPr>
            <w:r>
              <w:rPr>
                <w:rFonts w:ascii="Arial" w:cs="Arial" w:eastAsia="Arial" w:hAnsi="Arial"/>
                <w:b/>
                <w:bCs/>
                <w:color w:val="1A5E72"/>
                <w:sz w:val="20"/>
                <w:szCs w:val="20"/>
              </w:rPr>
              <w:t xml:space="preserve">Task: </w:t>
            </w:r>
            <w:r>
              <w:rPr>
                <w:rFonts w:ascii="Arial" w:cs="Arial" w:eastAsia="Arial" w:hAnsi="Arial"/>
                <w:color w:val="1E293B"/>
                <w:sz w:val="20"/>
                <w:szCs w:val="20"/>
              </w:rPr>
              <w:t xml:space="preserve">Compare the Revenue Recognition accounting policy note text between the current and prior year's annual report. A material change in wording — especially toward more aggressive recognition timing — without disclosed reason is the signal.</w:t>
            </w:r>
          </w:p>
          <w:p>
            <w:pPr>
              <w:spacing w:after="80" w:before="0"/>
              <w:jc w:val="left"/>
            </w:pPr>
            <w:r>
              <w:rPr>
                <w:rFonts w:ascii="Arial" w:cs="Arial" w:eastAsia="Arial" w:hAnsi="Arial"/>
                <w:b/>
                <w:bCs/>
                <w:color w:val="1A5E72"/>
                <w:sz w:val="20"/>
                <w:szCs w:val="20"/>
              </w:rPr>
              <w:t xml:space="preserve">Severity stakes: </w:t>
            </w:r>
            <w:r>
              <w:rPr>
                <w:rFonts w:ascii="Arial" w:cs="Arial" w:eastAsia="Arial" w:hAnsi="Arial"/>
                <w:color w:val="1E293B"/>
                <w:sz w:val="20"/>
                <w:szCs w:val="20"/>
              </w:rPr>
              <w:t xml:space="preserve">MEDIUM (auto), escalates to HIGH only if combined with anomalous revenue growth — moderate stakes, narrow text domain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40"/>
                    <w:jc w:val="left"/>
                  </w:pPr>
                  <w:r>
                    <w:rPr>
                      <w:rFonts w:ascii="Arial" w:cs="Arial" w:eastAsia="Arial" w:hAnsi="Arial"/>
                      <w:b/>
                      <w:bCs/>
                      <w:color w:val="0D7A57"/>
                      <w:sz w:val="18"/>
                      <w:szCs w:val="18"/>
                    </w:rPr>
                    <w:t xml:space="preserve">RECOMMENDATION</w:t>
                  </w:r>
                </w:p>
                <w:p>
                  <w:pPr>
                    <w:spacing w:after="60" w:before="30"/>
                    <w:jc w:val="left"/>
                  </w:pPr>
                  <w:r>
                    <w:rPr>
                      <w:rFonts w:ascii="Arial" w:cs="Arial" w:eastAsia="Arial" w:hAnsi="Arial"/>
                      <w:color w:val="1E293B"/>
                      <w:sz w:val="20"/>
                      <w:szCs w:val="20"/>
                    </w:rPr>
                    <w:t xml:space="preserve">Use sentence-embedding cosine similarity, exactly as Annexure C's own formula suggests, with a pre-trained multilingual or English-focused sentence-transformer model (e.g. an off-the-shelf sentence-embeddings model — specific model selection left to the data science team's existing tooling preferences, since no fine-tuning is required for this task).</w:t>
                  </w:r>
                </w:p>
                <w:p>
                  <w:pPr>
                    <w:spacing w:after="60" w:before="0"/>
                    <w:jc w:val="left"/>
                  </w:pPr>
                  <w:r>
                    <w:rPr>
                      <w:rFonts w:ascii="Arial" w:cs="Arial" w:eastAsia="Arial" w:hAnsi="Arial"/>
                      <w:b/>
                      <w:bCs/>
                      <w:color w:val="1E293B"/>
                      <w:sz w:val="20"/>
                      <w:szCs w:val="20"/>
                    </w:rPr>
                    <w:t xml:space="preserve">Why: </w:t>
                  </w:r>
                  <w:r>
                    <w:rPr>
                      <w:rFonts w:ascii="Arial" w:cs="Arial" w:eastAsia="Arial" w:hAnsi="Arial"/>
                      <w:color w:val="1E293B"/>
                      <w:sz w:val="20"/>
                      <w:szCs w:val="20"/>
                    </w:rPr>
                    <w:t xml:space="preserve">This is precisely a semantic-similarity task with no need for domain-specific classification. Off-the-shelf embeddings handle paraphrase and rewording well, which is the actual failure mode Annexure C is trying to catch (a company rewording its policy to sound similar while changing its substantive meaning is a separate, harder problem — flagged as a known limitation below, not solved by this recommendation).</w:t>
                  </w:r>
                </w:p>
                <w:p>
                  <w:pPr>
                    <w:spacing w:after="30" w:before="0"/>
                    <w:jc w:val="left"/>
                  </w:pPr>
                  <w:r>
                    <w:rPr>
                      <w:rFonts w:ascii="Arial" w:cs="Arial" w:eastAsia="Arial" w:hAnsi="Arial"/>
                      <w:b/>
                      <w:bCs/>
                      <w:i/>
                      <w:iCs/>
                      <w:color w:val="C97B00"/>
                      <w:sz w:val="20"/>
                      <w:szCs w:val="20"/>
                    </w:rPr>
                    <w:t xml:space="preserve">Known limitation: </w:t>
                  </w:r>
                  <w:r>
                    <w:rPr>
                      <w:rFonts w:ascii="Arial" w:cs="Arial" w:eastAsia="Arial" w:hAnsi="Arial"/>
                      <w:i/>
                      <w:iCs/>
                      <w:color w:val="475569"/>
                      <w:sz w:val="20"/>
                      <w:szCs w:val="20"/>
                    </w:rPr>
                    <w:t xml:space="preserve">Cosine similarity on embeddings will catch wholesale rewrites but may under-detect a subtle, legally significant change buried in an otherwise similar-reading paragraph (e.g. 'over time' → 'upon milestone achievement', as in the worked example in the Internal Entity Schema document). The grey-zone review process in Section 2.1 is the primary mitigation — human review should specifically check for recognition-timing language changes even when overall similarity looks high.</w:t>
                  </w:r>
                </w:p>
              </w:tc>
            </w:tr>
          </w:tbl>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00"/>
            </w:tblGrid>
            <w:tr>
              <w:tc>
                <w:tcPr>
                  <w:tcW w:type="dxa" w:w="2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50" w:before="50"/>
                    <w:jc w:val="left"/>
                  </w:pPr>
                  <w:r>
                    <w:rPr>
                      <w:rFonts w:ascii="Courier New" w:cs="Courier New" w:eastAsia="Courier New" w:hAnsi="Courier New"/>
                      <w:b/>
                      <w:bCs/>
                      <w:color w:val="FFFFFF"/>
                      <w:sz w:val="20"/>
                      <w:szCs w:val="20"/>
                    </w:rPr>
                    <w:t xml:space="preserve">NLP-2</w:t>
                  </w:r>
                </w:p>
              </w:tc>
              <w:tc>
                <w:tcPr>
                  <w:tcW w:type="dxa" w:w="45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left"/>
                  </w:pPr>
                  <w:r>
                    <w:rPr>
                      <w:rFonts w:ascii="Arial" w:cs="Arial" w:eastAsia="Arial" w:hAnsi="Arial"/>
                      <w:b/>
                      <w:bCs/>
                      <w:color w:val="1A5E72"/>
                      <w:sz w:val="22"/>
                      <w:szCs w:val="22"/>
                    </w:rPr>
                    <w:t xml:space="preserve">Provisions Decrease / Litigation Resolution Check</w:t>
                  </w:r>
                </w:p>
              </w:tc>
              <w:tc>
                <w:tcPr>
                  <w:tcW w:type="dxa" w:w="24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right"/>
                  </w:pPr>
                  <w:r>
                    <w:rPr>
                      <w:rFonts w:ascii="Arial" w:cs="Arial" w:eastAsia="Arial" w:hAnsi="Arial"/>
                      <w:i/>
                      <w:iCs/>
                      <w:color w:val="475569"/>
                      <w:sz w:val="18"/>
                      <w:szCs w:val="18"/>
                    </w:rPr>
                    <w:t xml:space="preserve">FIN-LIA-002</w:t>
                  </w:r>
                </w:p>
              </w:tc>
            </w:tr>
          </w:tbl>
          <w:p>
            <w:pPr>
              <w:spacing w:after="60" w:before="100"/>
              <w:jc w:val="left"/>
            </w:pPr>
            <w:r>
              <w:rPr>
                <w:rFonts w:ascii="Arial" w:cs="Arial" w:eastAsia="Arial" w:hAnsi="Arial"/>
                <w:b/>
                <w:bCs/>
                <w:color w:val="1A5E72"/>
                <w:sz w:val="20"/>
                <w:szCs w:val="20"/>
              </w:rPr>
              <w:t xml:space="preserve">Task: </w:t>
            </w:r>
            <w:r>
              <w:rPr>
                <w:rFonts w:ascii="Arial" w:cs="Arial" w:eastAsia="Arial" w:hAnsi="Arial"/>
                <w:color w:val="1E293B"/>
                <w:sz w:val="20"/>
                <w:szCs w:val="20"/>
              </w:rPr>
              <w:t xml:space="preserve">When a provisions balance decreases &gt;20% in a period, check whether a related litigation/contingent event disclosed in a PRIOR period has since been disclosed as resolved (settlement announcement or court judgment found).</w:t>
            </w:r>
          </w:p>
          <w:p>
            <w:pPr>
              <w:spacing w:after="80" w:before="0"/>
              <w:jc w:val="left"/>
            </w:pPr>
            <w:r>
              <w:rPr>
                <w:rFonts w:ascii="Arial" w:cs="Arial" w:eastAsia="Arial" w:hAnsi="Arial"/>
                <w:b/>
                <w:bCs/>
                <w:color w:val="1A5E72"/>
                <w:sz w:val="20"/>
                <w:szCs w:val="20"/>
              </w:rPr>
              <w:t xml:space="preserve">Severity stakes: </w:t>
            </w:r>
            <w:r>
              <w:rPr>
                <w:rFonts w:ascii="Arial" w:cs="Arial" w:eastAsia="Arial" w:hAnsi="Arial"/>
                <w:color w:val="1E293B"/>
                <w:sz w:val="20"/>
                <w:szCs w:val="20"/>
              </w:rPr>
              <w:t xml:space="preserve">MEDIUM — supports a numeric trigger, doesn't independently set severity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40"/>
                    <w:jc w:val="left"/>
                  </w:pPr>
                  <w:r>
                    <w:rPr>
                      <w:rFonts w:ascii="Arial" w:cs="Arial" w:eastAsia="Arial" w:hAnsi="Arial"/>
                      <w:b/>
                      <w:bCs/>
                      <w:color w:val="0D7A57"/>
                      <w:sz w:val="18"/>
                      <w:szCs w:val="18"/>
                    </w:rPr>
                    <w:t xml:space="preserve">RECOMMENDATION</w:t>
                  </w:r>
                </w:p>
                <w:p>
                  <w:pPr>
                    <w:spacing w:after="60" w:before="30"/>
                    <w:jc w:val="left"/>
                  </w:pPr>
                  <w:r>
                    <w:rPr>
                      <w:rFonts w:ascii="Arial" w:cs="Arial" w:eastAsia="Arial" w:hAnsi="Arial"/>
                      <w:color w:val="1E293B"/>
                      <w:sz w:val="20"/>
                      <w:szCs w:val="20"/>
                    </w:rPr>
                    <w:t xml:space="preserve">Use a structured keyword/entity-matching classifier (not a deep model) against sgxnet_announcements[], searching for settlement, judgment, consent order, and similar resolution-indicating terms, cross-referenced by date against the prior-period litigation disclosure.</w:t>
                  </w:r>
                </w:p>
                <w:p>
                  <w:pPr>
                    <w:spacing w:after="30" w:before="0"/>
                    <w:jc w:val="left"/>
                  </w:pPr>
                  <w:r>
                    <w:rPr>
                      <w:rFonts w:ascii="Arial" w:cs="Arial" w:eastAsia="Arial" w:hAnsi="Arial"/>
                      <w:b/>
                      <w:bCs/>
                      <w:color w:val="1E293B"/>
                      <w:sz w:val="20"/>
                      <w:szCs w:val="20"/>
                    </w:rPr>
                    <w:t xml:space="preserve">Why: </w:t>
                  </w:r>
                  <w:r>
                    <w:rPr>
                      <w:rFonts w:ascii="Arial" w:cs="Arial" w:eastAsia="Arial" w:hAnsi="Arial"/>
                      <w:color w:val="1E293B"/>
                      <w:sz w:val="20"/>
                      <w:szCs w:val="20"/>
                    </w:rPr>
                    <w:t xml:space="preserve">This is fundamentally an information-retrieval task — find a specific type of follow-up announcement — not a nuanced classification task. A high-recall keyword/rule-based matcher, backed by the existing sector_benchmark percentile cross-check Annexure C already specifies as a secondary trigger, is proportionate to the rule's MEDIUM severity ceiling. Building a fine-tuned classifier for this would be over-engineering relative to the rule's role in the scoring model.</w:t>
                  </w:r>
                </w:p>
              </w:tc>
            </w:tr>
          </w:tbl>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00"/>
            </w:tblGrid>
            <w:tr>
              <w:tc>
                <w:tcPr>
                  <w:tcW w:type="dxa" w:w="2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50" w:before="50"/>
                    <w:jc w:val="left"/>
                  </w:pPr>
                  <w:r>
                    <w:rPr>
                      <w:rFonts w:ascii="Courier New" w:cs="Courier New" w:eastAsia="Courier New" w:hAnsi="Courier New"/>
                      <w:b/>
                      <w:bCs/>
                      <w:color w:val="FFFFFF"/>
                      <w:sz w:val="20"/>
                      <w:szCs w:val="20"/>
                    </w:rPr>
                    <w:t xml:space="preserve">NLP-3</w:t>
                  </w:r>
                </w:p>
              </w:tc>
              <w:tc>
                <w:tcPr>
                  <w:tcW w:type="dxa" w:w="45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left"/>
                  </w:pPr>
                  <w:r>
                    <w:rPr>
                      <w:rFonts w:ascii="Arial" w:cs="Arial" w:eastAsia="Arial" w:hAnsi="Arial"/>
                      <w:b/>
                      <w:bCs/>
                      <w:color w:val="1A5E72"/>
                      <w:sz w:val="22"/>
                      <w:szCs w:val="22"/>
                    </w:rPr>
                    <w:t xml:space="preserve">Restatement Detection and Magnitude Extraction</w:t>
                  </w:r>
                </w:p>
              </w:tc>
              <w:tc>
                <w:tcPr>
                  <w:tcW w:type="dxa" w:w="24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right"/>
                  </w:pPr>
                  <w:r>
                    <w:rPr>
                      <w:rFonts w:ascii="Arial" w:cs="Arial" w:eastAsia="Arial" w:hAnsi="Arial"/>
                      <w:i/>
                      <w:iCs/>
                      <w:color w:val="475569"/>
                      <w:sz w:val="18"/>
                      <w:szCs w:val="18"/>
                    </w:rPr>
                    <w:t xml:space="preserve">Section 2.9</w:t>
                  </w:r>
                </w:p>
              </w:tc>
            </w:tr>
          </w:tbl>
          <w:p>
            <w:pPr>
              <w:spacing w:after="60" w:before="100"/>
              <w:jc w:val="left"/>
            </w:pPr>
            <w:r>
              <w:rPr>
                <w:rFonts w:ascii="Arial" w:cs="Arial" w:eastAsia="Arial" w:hAnsi="Arial"/>
                <w:b/>
                <w:bCs/>
                <w:color w:val="1A5E72"/>
                <w:sz w:val="20"/>
                <w:szCs w:val="20"/>
              </w:rPr>
              <w:t xml:space="preserve">Task: </w:t>
            </w:r>
            <w:r>
              <w:rPr>
                <w:rFonts w:ascii="Arial" w:cs="Arial" w:eastAsia="Arial" w:hAnsi="Arial"/>
                <w:color w:val="1E293B"/>
                <w:sz w:val="20"/>
                <w:szCs w:val="20"/>
              </w:rPr>
              <w:t xml:space="preserve">Classify SGXNET announcements for the 'restatement' category, then extract and compare the restated figures against originally published figures to compute the magnitude of the change.</w:t>
            </w:r>
          </w:p>
          <w:p>
            <w:pPr>
              <w:spacing w:after="80" w:before="0"/>
              <w:jc w:val="left"/>
            </w:pPr>
            <w:r>
              <w:rPr>
                <w:rFonts w:ascii="Arial" w:cs="Arial" w:eastAsia="Arial" w:hAnsi="Arial"/>
                <w:b/>
                <w:bCs/>
                <w:color w:val="1A5E72"/>
                <w:sz w:val="20"/>
                <w:szCs w:val="20"/>
              </w:rPr>
              <w:t xml:space="preserve">Severity stakes: </w:t>
            </w:r>
            <w:r>
              <w:rPr>
                <w:rFonts w:ascii="Arial" w:cs="Arial" w:eastAsia="Arial" w:hAnsi="Arial"/>
                <w:color w:val="1E293B"/>
                <w:sz w:val="20"/>
                <w:szCs w:val="20"/>
              </w:rPr>
              <w:t xml:space="preserve">HIGH if restatement reduces revenue/profit &gt;5%, CRITICAL if &gt;15% — high stakes but high-signal text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40"/>
                    <w:jc w:val="left"/>
                  </w:pPr>
                  <w:r>
                    <w:rPr>
                      <w:rFonts w:ascii="Arial" w:cs="Arial" w:eastAsia="Arial" w:hAnsi="Arial"/>
                      <w:b/>
                      <w:bCs/>
                      <w:color w:val="0D7A57"/>
                      <w:sz w:val="18"/>
                      <w:szCs w:val="18"/>
                    </w:rPr>
                    <w:t xml:space="preserve">RECOMMENDATION</w:t>
                  </w:r>
                </w:p>
                <w:p>
                  <w:pPr>
                    <w:spacing w:after="60" w:before="30"/>
                    <w:jc w:val="left"/>
                  </w:pPr>
                  <w:r>
                    <w:rPr>
                      <w:rFonts w:ascii="Arial" w:cs="Arial" w:eastAsia="Arial" w:hAnsi="Arial"/>
                      <w:color w:val="1E293B"/>
                      <w:sz w:val="20"/>
                      <w:szCs w:val="20"/>
                    </w:rPr>
                    <w:t xml:space="preserve">Two-stage approach: (1) a classifier — keyword/rule-based is likely sufficient, since restatement announcements use highly standardised regulatory language and category tags are often already present in SGXNET's own announcement categorisation — to identify restatement announcements; (2) structured numeric extraction (regex/table-parsing against the announcement text or attached PDF) to pull the restated figures, compared directly against the corresponding financial_periods[] values already in the entity schema.</w:t>
                  </w:r>
                </w:p>
                <w:p>
                  <w:pPr>
                    <w:spacing w:after="30" w:before="0"/>
                    <w:jc w:val="left"/>
                  </w:pPr>
                  <w:r>
                    <w:rPr>
                      <w:rFonts w:ascii="Arial" w:cs="Arial" w:eastAsia="Arial" w:hAnsi="Arial"/>
                      <w:b/>
                      <w:bCs/>
                      <w:color w:val="1E293B"/>
                      <w:sz w:val="20"/>
                      <w:szCs w:val="20"/>
                    </w:rPr>
                    <w:t xml:space="preserve">Why: </w:t>
                  </w:r>
                  <w:r>
                    <w:rPr>
                      <w:rFonts w:ascii="Arial" w:cs="Arial" w:eastAsia="Arial" w:hAnsi="Arial"/>
                      <w:color w:val="1E293B"/>
                      <w:sz w:val="20"/>
                      <w:szCs w:val="20"/>
                    </w:rPr>
                    <w:t xml:space="preserve">The classification half of this task is genuinely low-risk — restatements are formally announced with standard language, unlike the more ambiguous auditor-resignation or going-concern tasks in Section 4. The harder engineering problem here is reliable numeric extraction from announcement text/PDF, not classification — this is a parsing problem, and should be scoped with the connector/ingestion team rather than treated purely as an NLP task.</w:t>
                  </w:r>
                </w:p>
              </w:tc>
            </w:tr>
          </w:tbl>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4.  </w:t>
            </w:r>
            <w:r>
              <w:rPr>
                <w:rFonts w:ascii="Arial" w:cs="Arial" w:eastAsia="Arial" w:hAnsi="Arial"/>
                <w:b/>
                <w:bCs/>
                <w:color w:val="1A5E72"/>
                <w:sz w:val="26"/>
                <w:szCs w:val="26"/>
              </w:rPr>
              <w:t xml:space="preserve">Options for Team Decision — Higher-Risk Tasks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three tasks below carry higher stakes (HIGH or CRITICAL severity, or are foundational to multiple downstream escalations) and the language they must interpret is more genuinely ambiguous — closer to professional judgement than keyword matching. A specific recommendation here would be guessing past the point that's responsible; these are presented as real options with tradeoffs for the data science team to decide, ideally in a short working session with engineering and a compliance reviewer.</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00"/>
            </w:tblGrid>
            <w:tr>
              <w:tc>
                <w:tcPr>
                  <w:tcW w:type="dxa" w:w="2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50" w:before="50"/>
                    <w:jc w:val="left"/>
                  </w:pPr>
                  <w:r>
                    <w:rPr>
                      <w:rFonts w:ascii="Courier New" w:cs="Courier New" w:eastAsia="Courier New" w:hAnsi="Courier New"/>
                      <w:b/>
                      <w:bCs/>
                      <w:color w:val="FFFFFF"/>
                      <w:sz w:val="20"/>
                      <w:szCs w:val="20"/>
                    </w:rPr>
                    <w:t xml:space="preserve">NLP-4</w:t>
                  </w:r>
                </w:p>
              </w:tc>
              <w:tc>
                <w:tcPr>
                  <w:tcW w:type="dxa" w:w="45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left"/>
                  </w:pPr>
                  <w:r>
                    <w:rPr>
                      <w:rFonts w:ascii="Arial" w:cs="Arial" w:eastAsia="Arial" w:hAnsi="Arial"/>
                      <w:b/>
                      <w:bCs/>
                      <w:color w:val="1A5E72"/>
                      <w:sz w:val="22"/>
                      <w:szCs w:val="22"/>
                    </w:rPr>
                    <w:t xml:space="preserve">Auditor Resignation Reason Classification</w:t>
                  </w:r>
                </w:p>
              </w:tc>
              <w:tc>
                <w:tcPr>
                  <w:tcW w:type="dxa" w:w="24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right"/>
                  </w:pPr>
                  <w:r>
                    <w:rPr>
                      <w:rFonts w:ascii="Arial" w:cs="Arial" w:eastAsia="Arial" w:hAnsi="Arial"/>
                      <w:i/>
                      <w:iCs/>
                      <w:color w:val="475569"/>
                      <w:sz w:val="18"/>
                      <w:szCs w:val="18"/>
                    </w:rPr>
                    <w:t xml:space="preserve">Section 2.9</w:t>
                  </w:r>
                </w:p>
              </w:tc>
            </w:tr>
          </w:tbl>
          <w:p>
            <w:pPr>
              <w:spacing w:after="60" w:before="100"/>
              <w:jc w:val="left"/>
            </w:pPr>
            <w:r>
              <w:rPr>
                <w:rFonts w:ascii="Arial" w:cs="Arial" w:eastAsia="Arial" w:hAnsi="Arial"/>
                <w:b/>
                <w:bCs/>
                <w:color w:val="1A5E72"/>
                <w:sz w:val="20"/>
                <w:szCs w:val="20"/>
              </w:rPr>
              <w:t xml:space="preserve">Task: </w:t>
            </w:r>
            <w:r>
              <w:rPr>
                <w:rFonts w:ascii="Arial" w:cs="Arial" w:eastAsia="Arial" w:hAnsi="Arial"/>
                <w:color w:val="1E293B"/>
                <w:sz w:val="20"/>
                <w:szCs w:val="20"/>
              </w:rPr>
              <w:t xml:space="preserve">Classify the stated reason text in an auditor resignation announcement to distinguish administrative resignations (e.g. retirement, merger) from those citing disagreement, scope limitation, or inability to obtain sufficient audit evidence — language with direct fraud-detection significance per ISA 240.</w:t>
            </w:r>
          </w:p>
          <w:p>
            <w:pPr>
              <w:spacing w:after="80" w:before="0"/>
              <w:jc w:val="left"/>
            </w:pPr>
            <w:r>
              <w:rPr>
                <w:rFonts w:ascii="Arial" w:cs="Arial" w:eastAsia="Arial" w:hAnsi="Arial"/>
                <w:b/>
                <w:bCs/>
                <w:color w:val="1A5E72"/>
                <w:sz w:val="20"/>
                <w:szCs w:val="20"/>
              </w:rPr>
              <w:t xml:space="preserve">Severity stakes: </w:t>
            </w:r>
            <w:r>
              <w:rPr>
                <w:rFonts w:ascii="Arial" w:cs="Arial" w:eastAsia="Arial" w:hAnsi="Arial"/>
                <w:color w:val="1E293B"/>
                <w:sz w:val="20"/>
                <w:szCs w:val="20"/>
              </w:rPr>
              <w:t xml:space="preserve">HIGH (auto), escalates to CRITICAL if the stated reason references disagreement or inability to obtain evidence — among the highest-stakes text tasks in the 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40"/>
                    <w:jc w:val="left"/>
                  </w:pPr>
                  <w:r>
                    <w:rPr>
                      <w:rFonts w:ascii="Arial" w:cs="Arial" w:eastAsia="Arial" w:hAnsi="Arial"/>
                      <w:b/>
                      <w:bCs/>
                      <w:color w:val="C97B00"/>
                      <w:sz w:val="18"/>
                      <w:szCs w:val="18"/>
                    </w:rPr>
                    <w:t xml:space="preserve">OPTIONS — TEAM TO DECIDE</w:t>
                  </w:r>
                </w:p>
                <w:p>
                  <w:pPr>
                    <w:spacing w:after="20" w:before="30"/>
                    <w:jc w:val="left"/>
                  </w:pPr>
                  <w:r>
                    <w:rPr>
                      <w:rFonts w:ascii="Arial" w:cs="Arial" w:eastAsia="Arial" w:hAnsi="Arial"/>
                      <w:b/>
                      <w:bCs/>
                      <w:color w:val="1E293B"/>
                      <w:sz w:val="20"/>
                      <w:szCs w:val="20"/>
                    </w:rPr>
                    <w:t xml:space="preserve">Option A — Rule-based / keyword classifier.</w:t>
                  </w:r>
                </w:p>
                <w:p>
                  <w:pPr>
                    <w:spacing w:after="50" w:before="0"/>
                    <w:jc w:val="left"/>
                  </w:pPr>
                  <w:r>
                    <w:rPr>
                      <w:rFonts w:ascii="Arial" w:cs="Arial" w:eastAsia="Arial" w:hAnsi="Arial"/>
                      <w:color w:val="1E293B"/>
                      <w:sz w:val="20"/>
                      <w:szCs w:val="20"/>
                    </w:rPr>
                    <w:t xml:space="preserve">Match against a curated phrase list (e.g. "disagreement with management", "unable to obtain sufficient appropriate audit evidence", "scope limitation") drawn from ISA 240/SSA terminology. </w:t>
                  </w:r>
                  <w:r>
                    <w:rPr>
                      <w:rFonts w:ascii="Arial" w:cs="Arial" w:eastAsia="Arial" w:hAnsi="Arial"/>
                      <w:b/>
                      <w:bCs/>
                      <w:color w:val="0D7A57"/>
                      <w:sz w:val="20"/>
                      <w:szCs w:val="20"/>
                    </w:rPr>
                    <w:t xml:space="preserve">Pros: </w:t>
                  </w:r>
                  <w:r>
                    <w:rPr>
                      <w:rFonts w:ascii="Arial" w:cs="Arial" w:eastAsia="Arial" w:hAnsi="Arial"/>
                      <w:color w:val="1E293B"/>
                      <w:sz w:val="20"/>
                      <w:szCs w:val="20"/>
                    </w:rPr>
                    <w:t xml:space="preserve">transparent, auditable, no training data needed, defensible to a regulator ("the flag fired because the text contained X"). </w:t>
                  </w:r>
                  <w:r>
                    <w:rPr>
                      <w:rFonts w:ascii="Arial" w:cs="Arial" w:eastAsia="Arial" w:hAnsi="Arial"/>
                      <w:b/>
                      <w:bCs/>
                      <w:color w:val="B23A2F"/>
                      <w:sz w:val="20"/>
                      <w:szCs w:val="20"/>
                    </w:rPr>
                    <w:t xml:space="preserve">Cons: </w:t>
                  </w:r>
                  <w:r>
                    <w:rPr>
                      <w:rFonts w:ascii="Arial" w:cs="Arial" w:eastAsia="Arial" w:hAnsi="Arial"/>
                      <w:color w:val="1E293B"/>
                      <w:sz w:val="20"/>
                      <w:szCs w:val="20"/>
                    </w:rPr>
                    <w:t xml:space="preserve">brittle to phrasing variation; will miss a genuine disagreement described in non-standard language.</w:t>
                  </w:r>
                </w:p>
                <w:p>
                  <w:pPr>
                    <w:spacing w:after="20" w:before="0"/>
                    <w:jc w:val="left"/>
                  </w:pPr>
                  <w:r>
                    <w:rPr>
                      <w:rFonts w:ascii="Arial" w:cs="Arial" w:eastAsia="Arial" w:hAnsi="Arial"/>
                      <w:b/>
                      <w:bCs/>
                      <w:color w:val="1E293B"/>
                      <w:sz w:val="20"/>
                      <w:szCs w:val="20"/>
                    </w:rPr>
                    <w:t xml:space="preserve">Option B — Fine-tuned text classifier on labeled examples.</w:t>
                  </w:r>
                </w:p>
                <w:p>
                  <w:pPr>
                    <w:spacing w:after="50" w:before="0"/>
                    <w:jc w:val="left"/>
                  </w:pPr>
                  <w:r>
                    <w:rPr>
                      <w:rFonts w:ascii="Arial" w:cs="Arial" w:eastAsia="Arial" w:hAnsi="Arial"/>
                      <w:color w:val="1E293B"/>
                      <w:sz w:val="20"/>
                      <w:szCs w:val="20"/>
                    </w:rPr>
                    <w:t xml:space="preserve">Train a classifier (e.g. fine-tuned transformer) on labeled historical SGXNET auditor-resignation announcements, classified into administrative / disagreement / scope-limitation / evidence categories. </w:t>
                  </w:r>
                  <w:r>
                    <w:rPr>
                      <w:rFonts w:ascii="Arial" w:cs="Arial" w:eastAsia="Arial" w:hAnsi="Arial"/>
                      <w:b/>
                      <w:bCs/>
                      <w:color w:val="0D7A57"/>
                      <w:sz w:val="20"/>
                      <w:szCs w:val="20"/>
                    </w:rPr>
                    <w:t xml:space="preserve">Pros: </w:t>
                  </w:r>
                  <w:r>
                    <w:rPr>
                      <w:rFonts w:ascii="Arial" w:cs="Arial" w:eastAsia="Arial" w:hAnsi="Arial"/>
                      <w:color w:val="1E293B"/>
                      <w:sz w:val="20"/>
                      <w:szCs w:val="20"/>
                    </w:rPr>
                    <w:t xml:space="preserve">better recall on non-standard phrasing; can output calibrated confidence scores natively. </w:t>
                  </w:r>
                  <w:r>
                    <w:rPr>
                      <w:rFonts w:ascii="Arial" w:cs="Arial" w:eastAsia="Arial" w:hAnsi="Arial"/>
                      <w:b/>
                      <w:bCs/>
                      <w:color w:val="B23A2F"/>
                      <w:sz w:val="20"/>
                      <w:szCs w:val="20"/>
                    </w:rPr>
                    <w:t xml:space="preserve">Cons: </w:t>
                  </w:r>
                  <w:r>
                    <w:rPr>
                      <w:rFonts w:ascii="Arial" w:cs="Arial" w:eastAsia="Arial" w:hAnsi="Arial"/>
                      <w:color w:val="1E293B"/>
                      <w:sz w:val="20"/>
                      <w:szCs w:val="20"/>
                    </w:rPr>
                    <w:t xml:space="preserve">requires a labeled dataset (see Section 5 — likely small, since genuine disagreement-cited resignations are rare events, which limits training data and may not justify the engineering cost over Option A initially.</w:t>
                  </w:r>
                </w:p>
                <w:p>
                  <w:pPr>
                    <w:spacing w:after="30" w:before="0"/>
                    <w:jc w:val="left"/>
                  </w:pPr>
                  <w:r>
                    <w:rPr>
                      <w:rFonts w:ascii="Arial" w:cs="Arial" w:eastAsia="Arial" w:hAnsi="Arial"/>
                      <w:b/>
                      <w:bCs/>
                      <w:color w:val="1A5E72"/>
                      <w:sz w:val="20"/>
                      <w:szCs w:val="20"/>
                    </w:rPr>
                    <w:t xml:space="preserve">Suggested path: </w:t>
                  </w:r>
                  <w:r>
                    <w:rPr>
                      <w:rFonts w:ascii="Arial" w:cs="Arial" w:eastAsia="Arial" w:hAnsi="Arial"/>
                      <w:i/>
                      <w:iCs/>
                      <w:color w:val="1E293B"/>
                      <w:sz w:val="20"/>
                      <w:szCs w:val="20"/>
                    </w:rPr>
                    <w:t xml:space="preserve">start with Option A for Stage 1, given the small expected label volume and the regulatory-defensibility advantage of a transparent rule-based approach for a CRITICAL-adjacent flag. Revisit Option B once a meaningful volume of real announcements has been reviewed and labeled through production use — this is a defensible, lower-risk sequencing, but the team should confirm rather than assume it.</w:t>
                  </w:r>
                </w:p>
              </w:tc>
            </w:tr>
          </w:tbl>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00"/>
            </w:tblGrid>
            <w:tr>
              <w:tc>
                <w:tcPr>
                  <w:tcW w:type="dxa" w:w="2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50" w:before="50"/>
                    <w:jc w:val="left"/>
                  </w:pPr>
                  <w:r>
                    <w:rPr>
                      <w:rFonts w:ascii="Courier New" w:cs="Courier New" w:eastAsia="Courier New" w:hAnsi="Courier New"/>
                      <w:b/>
                      <w:bCs/>
                      <w:color w:val="FFFFFF"/>
                      <w:sz w:val="20"/>
                      <w:szCs w:val="20"/>
                    </w:rPr>
                    <w:t xml:space="preserve">NLP-5</w:t>
                  </w:r>
                </w:p>
              </w:tc>
              <w:tc>
                <w:tcPr>
                  <w:tcW w:type="dxa" w:w="45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left"/>
                  </w:pPr>
                  <w:r>
                    <w:rPr>
                      <w:rFonts w:ascii="Arial" w:cs="Arial" w:eastAsia="Arial" w:hAnsi="Arial"/>
                      <w:b/>
                      <w:bCs/>
                      <w:color w:val="1A5E72"/>
                      <w:sz w:val="22"/>
                      <w:szCs w:val="22"/>
                    </w:rPr>
                    <w:t xml:space="preserve">Going Concern / Material Uncertainty Detection</w:t>
                  </w:r>
                </w:p>
              </w:tc>
              <w:tc>
                <w:tcPr>
                  <w:tcW w:type="dxa" w:w="24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right"/>
                  </w:pPr>
                  <w:r>
                    <w:rPr>
                      <w:rFonts w:ascii="Arial" w:cs="Arial" w:eastAsia="Arial" w:hAnsi="Arial"/>
                      <w:i/>
                      <w:iCs/>
                      <w:color w:val="475569"/>
                      <w:sz w:val="18"/>
                      <w:szCs w:val="18"/>
                    </w:rPr>
                    <w:t xml:space="preserve">Section 2.9</w:t>
                  </w:r>
                </w:p>
              </w:tc>
            </w:tr>
          </w:tbl>
          <w:p>
            <w:pPr>
              <w:spacing w:after="60" w:before="100"/>
              <w:jc w:val="left"/>
            </w:pPr>
            <w:r>
              <w:rPr>
                <w:rFonts w:ascii="Arial" w:cs="Arial" w:eastAsia="Arial" w:hAnsi="Arial"/>
                <w:b/>
                <w:bCs/>
                <w:color w:val="1A5E72"/>
                <w:sz w:val="20"/>
                <w:szCs w:val="20"/>
              </w:rPr>
              <w:t xml:space="preserve">Task: </w:t>
            </w:r>
            <w:r>
              <w:rPr>
                <w:rFonts w:ascii="Arial" w:cs="Arial" w:eastAsia="Arial" w:hAnsi="Arial"/>
                <w:color w:val="1E293B"/>
                <w:sz w:val="20"/>
                <w:szCs w:val="20"/>
              </w:rPr>
              <w:t xml:space="preserve">Classify the auditor's report text for 'going concern' or 'material uncertainty' language — an explicit statement that the auditor doubts the company can continue operating for the next 12 months.</w:t>
            </w:r>
          </w:p>
          <w:p>
            <w:pPr>
              <w:spacing w:after="80" w:before="0"/>
              <w:jc w:val="left"/>
            </w:pPr>
            <w:r>
              <w:rPr>
                <w:rFonts w:ascii="Arial" w:cs="Arial" w:eastAsia="Arial" w:hAnsi="Arial"/>
                <w:b/>
                <w:bCs/>
                <w:color w:val="1A5E72"/>
                <w:sz w:val="20"/>
                <w:szCs w:val="20"/>
              </w:rPr>
              <w:t xml:space="preserve">Severity stakes: </w:t>
            </w:r>
            <w:r>
              <w:rPr>
                <w:rFonts w:ascii="Arial" w:cs="Arial" w:eastAsia="Arial" w:hAnsi="Arial"/>
                <w:color w:val="1E293B"/>
                <w:sz w:val="20"/>
                <w:szCs w:val="20"/>
              </w:rPr>
              <w:t xml:space="preserve">HIGH — a going-concern statement is one of the most consequential signals in the entire rule set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40"/>
                    <w:jc w:val="left"/>
                  </w:pPr>
                  <w:r>
                    <w:rPr>
                      <w:rFonts w:ascii="Arial" w:cs="Arial" w:eastAsia="Arial" w:hAnsi="Arial"/>
                      <w:b/>
                      <w:bCs/>
                      <w:color w:val="C97B00"/>
                      <w:sz w:val="18"/>
                      <w:szCs w:val="18"/>
                    </w:rPr>
                    <w:t xml:space="preserve">OPTIONS — TEAM TO DECIDE</w:t>
                  </w:r>
                </w:p>
                <w:p>
                  <w:pPr>
                    <w:spacing w:after="20" w:before="30"/>
                    <w:jc w:val="left"/>
                  </w:pPr>
                  <w:r>
                    <w:rPr>
                      <w:rFonts w:ascii="Arial" w:cs="Arial" w:eastAsia="Arial" w:hAnsi="Arial"/>
                      <w:b/>
                      <w:bCs/>
                      <w:color w:val="1E293B"/>
                      <w:sz w:val="20"/>
                      <w:szCs w:val="20"/>
                    </w:rPr>
                    <w:t xml:space="preserve">Option A — Rule-based / keyword classifier.</w:t>
                  </w:r>
                </w:p>
                <w:p>
                  <w:pPr>
                    <w:spacing w:after="50" w:before="0"/>
                    <w:jc w:val="left"/>
                  </w:pPr>
                  <w:r>
                    <w:rPr>
                      <w:rFonts w:ascii="Arial" w:cs="Arial" w:eastAsia="Arial" w:hAnsi="Arial"/>
                      <w:color w:val="1E293B"/>
                      <w:sz w:val="20"/>
                      <w:szCs w:val="20"/>
                    </w:rPr>
                    <w:t xml:space="preserve">Going concern language is among the most standardised in audit reporting — SSA 570 / ISA 570 prescribes near-fixed phrasing ("material uncertainty exists that may cast significant doubt upon the Group's and the Company's ability to continue as a going concern"). </w:t>
                  </w:r>
                  <w:r>
                    <w:rPr>
                      <w:rFonts w:ascii="Arial" w:cs="Arial" w:eastAsia="Arial" w:hAnsi="Arial"/>
                      <w:b/>
                      <w:bCs/>
                      <w:color w:val="0D7A57"/>
                      <w:sz w:val="20"/>
                      <w:szCs w:val="20"/>
                    </w:rPr>
                    <w:t xml:space="preserve">Pros: </w:t>
                  </w:r>
                  <w:r>
                    <w:rPr>
                      <w:rFonts w:ascii="Arial" w:cs="Arial" w:eastAsia="Arial" w:hAnsi="Arial"/>
                      <w:color w:val="1E293B"/>
                      <w:sz w:val="20"/>
                      <w:szCs w:val="20"/>
                    </w:rPr>
                    <w:t xml:space="preserve">standardisation makes keyword/phrase matching unusually reliable for this specific task, more so than NLP-4 above. Low engineering cost, high transparency. </w:t>
                  </w:r>
                  <w:r>
                    <w:rPr>
                      <w:rFonts w:ascii="Arial" w:cs="Arial" w:eastAsia="Arial" w:hAnsi="Arial"/>
                      <w:b/>
                      <w:bCs/>
                      <w:color w:val="B23A2F"/>
                      <w:sz w:val="20"/>
                      <w:szCs w:val="20"/>
                    </w:rPr>
                    <w:t xml:space="preserve">Cons: </w:t>
                  </w:r>
                  <w:r>
                    <w:rPr>
                      <w:rFonts w:ascii="Arial" w:cs="Arial" w:eastAsia="Arial" w:hAnsi="Arial"/>
                      <w:color w:val="1E293B"/>
                      <w:sz w:val="20"/>
                      <w:szCs w:val="20"/>
                    </w:rPr>
                    <w:t xml:space="preserve">near-zero — this is the strongest case in the whole memo for a purely rule-based approach over ML.</w:t>
                  </w:r>
                </w:p>
                <w:p>
                  <w:pPr>
                    <w:spacing w:after="20" w:before="0"/>
                    <w:jc w:val="left"/>
                  </w:pPr>
                  <w:r>
                    <w:rPr>
                      <w:rFonts w:ascii="Arial" w:cs="Arial" w:eastAsia="Arial" w:hAnsi="Arial"/>
                      <w:b/>
                      <w:bCs/>
                      <w:color w:val="1E293B"/>
                      <w:sz w:val="20"/>
                      <w:szCs w:val="20"/>
                    </w:rPr>
                    <w:t xml:space="preserve">Option B — ML classifier.</w:t>
                  </w:r>
                </w:p>
                <w:p>
                  <w:pPr>
                    <w:spacing w:after="50" w:before="0"/>
                    <w:jc w:val="left"/>
                  </w:pPr>
                  <w:r>
                    <w:rPr>
                      <w:rFonts w:ascii="Arial" w:cs="Arial" w:eastAsia="Arial" w:hAnsi="Arial"/>
                      <w:color w:val="1E293B"/>
                      <w:sz w:val="20"/>
                      <w:szCs w:val="20"/>
                    </w:rPr>
                    <w:t xml:space="preserve">Included for completeness, but </w:t>
                  </w:r>
                  <w:r>
                    <w:rPr>
                      <w:rFonts w:ascii="Arial" w:cs="Arial" w:eastAsia="Arial" w:hAnsi="Arial"/>
                      <w:b/>
                      <w:bCs/>
                      <w:color w:val="B23A2F"/>
                      <w:sz w:val="20"/>
                      <w:szCs w:val="20"/>
                    </w:rPr>
                    <w:t xml:space="preserve">not recommended</w:t>
                  </w:r>
                  <w:r>
                    <w:rPr>
                      <w:rFonts w:ascii="Arial" w:cs="Arial" w:eastAsia="Arial" w:hAnsi="Arial"/>
                      <w:color w:val="1E293B"/>
                      <w:sz w:val="20"/>
                      <w:szCs w:val="20"/>
                    </w:rPr>
                    <w:t xml:space="preserve"> given how standardised the target language is — the added complexity is unlikely to outperform a well-built keyword matcher and reduces auditability for a HIGH-severity flag with direct regulatory significance.</w:t>
                  </w:r>
                </w:p>
                <w:p>
                  <w:pPr>
                    <w:spacing w:after="30" w:before="0"/>
                    <w:jc w:val="left"/>
                  </w:pPr>
                  <w:r>
                    <w:rPr>
                      <w:rFonts w:ascii="Arial" w:cs="Arial" w:eastAsia="Arial" w:hAnsi="Arial"/>
                      <w:b/>
                      <w:bCs/>
                      <w:color w:val="1A5E72"/>
                      <w:sz w:val="20"/>
                      <w:szCs w:val="20"/>
                    </w:rPr>
                    <w:t xml:space="preserve">Suggested path: </w:t>
                  </w:r>
                  <w:r>
                    <w:rPr>
                      <w:rFonts w:ascii="Arial" w:cs="Arial" w:eastAsia="Arial" w:hAnsi="Arial"/>
                      <w:i/>
                      <w:iCs/>
                      <w:color w:val="1E293B"/>
                      <w:sz w:val="20"/>
                      <w:szCs w:val="20"/>
                    </w:rPr>
                    <w:t xml:space="preserve">Option A. This is presented as a 'team decision' task primarily because the standard phrase list itself needs ISCA/ISA 570-literate review (ideally from someone with audit background, not engineering or data science alone) to ensure completeness — the modeling choice itself is low-ambiguity.</w:t>
                  </w:r>
                </w:p>
              </w:tc>
            </w:tr>
          </w:tbl>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400"/>
            </w:tblGrid>
            <w:tr>
              <w:tc>
                <w:tcPr>
                  <w:tcW w:type="dxa" w:w="2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50" w:before="50"/>
                    <w:jc w:val="left"/>
                  </w:pPr>
                  <w:r>
                    <w:rPr>
                      <w:rFonts w:ascii="Courier New" w:cs="Courier New" w:eastAsia="Courier New" w:hAnsi="Courier New"/>
                      <w:b/>
                      <w:bCs/>
                      <w:color w:val="FFFFFF"/>
                      <w:sz w:val="20"/>
                      <w:szCs w:val="20"/>
                    </w:rPr>
                    <w:t xml:space="preserve">NLP-6</w:t>
                  </w:r>
                </w:p>
              </w:tc>
              <w:tc>
                <w:tcPr>
                  <w:tcW w:type="dxa" w:w="45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left"/>
                  </w:pPr>
                  <w:r>
                    <w:rPr>
                      <w:rFonts w:ascii="Arial" w:cs="Arial" w:eastAsia="Arial" w:hAnsi="Arial"/>
                      <w:b/>
                      <w:bCs/>
                      <w:color w:val="1A5E72"/>
                      <w:sz w:val="22"/>
                      <w:szCs w:val="22"/>
                    </w:rPr>
                    <w:t xml:space="preserve">New Product / R&amp;D Disclosure Escalation Check</w:t>
                  </w:r>
                </w:p>
              </w:tc>
              <w:tc>
                <w:tcPr>
                  <w:tcW w:type="dxa" w:w="240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50" w:before="50"/>
                    <w:jc w:val="right"/>
                  </w:pPr>
                  <w:r>
                    <w:rPr>
                      <w:rFonts w:ascii="Arial" w:cs="Arial" w:eastAsia="Arial" w:hAnsi="Arial"/>
                      <w:i/>
                      <w:iCs/>
                      <w:color w:val="475569"/>
                      <w:sz w:val="18"/>
                      <w:szCs w:val="18"/>
                    </w:rPr>
                    <w:t xml:space="preserve">FIN-AST-002</w:t>
                  </w:r>
                </w:p>
              </w:tc>
            </w:tr>
          </w:tbl>
          <w:p>
            <w:pPr>
              <w:spacing w:after="60" w:before="100"/>
              <w:jc w:val="left"/>
            </w:pPr>
            <w:r>
              <w:rPr>
                <w:rFonts w:ascii="Arial" w:cs="Arial" w:eastAsia="Arial" w:hAnsi="Arial"/>
                <w:b/>
                <w:bCs/>
                <w:color w:val="1A5E72"/>
                <w:sz w:val="20"/>
                <w:szCs w:val="20"/>
              </w:rPr>
              <w:t xml:space="preserve">Task: </w:t>
            </w:r>
            <w:r>
              <w:rPr>
                <w:rFonts w:ascii="Arial" w:cs="Arial" w:eastAsia="Arial" w:hAnsi="Arial"/>
                <w:color w:val="1E293B"/>
                <w:sz w:val="20"/>
                <w:szCs w:val="20"/>
              </w:rPr>
              <w:t xml:space="preserve">When the capitalised cost ratio exceeds 30% of revenue, check whether a disclosed new product launch, R&amp;D milestone, or major project exists in the period that would provide a legitimate explanation, before finalising the HIGH trigger.</w:t>
            </w:r>
          </w:p>
          <w:p>
            <w:pPr>
              <w:spacing w:after="80" w:before="0"/>
              <w:jc w:val="left"/>
            </w:pPr>
            <w:r>
              <w:rPr>
                <w:rFonts w:ascii="Arial" w:cs="Arial" w:eastAsia="Arial" w:hAnsi="Arial"/>
                <w:b/>
                <w:bCs/>
                <w:color w:val="1A5E72"/>
                <w:sz w:val="20"/>
                <w:szCs w:val="20"/>
              </w:rPr>
              <w:t xml:space="preserve">Severity stakes: </w:t>
            </w:r>
            <w:r>
              <w:rPr>
                <w:rFonts w:ascii="Arial" w:cs="Arial" w:eastAsia="Arial" w:hAnsi="Arial"/>
                <w:color w:val="1E293B"/>
                <w:sz w:val="20"/>
                <w:szCs w:val="20"/>
              </w:rPr>
              <w:t xml:space="preserve">Supporting role only — determines whether a HIGH trigger is suppressed, does not independently set severity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40"/>
                    <w:jc w:val="left"/>
                  </w:pPr>
                  <w:r>
                    <w:rPr>
                      <w:rFonts w:ascii="Arial" w:cs="Arial" w:eastAsia="Arial" w:hAnsi="Arial"/>
                      <w:b/>
                      <w:bCs/>
                      <w:color w:val="C97B00"/>
                      <w:sz w:val="18"/>
                      <w:szCs w:val="18"/>
                    </w:rPr>
                    <w:t xml:space="preserve">OPTIONS — TEAM TO DECIDE</w:t>
                  </w:r>
                </w:p>
                <w:p>
                  <w:pPr>
                    <w:spacing w:after="20" w:before="30"/>
                    <w:jc w:val="left"/>
                  </w:pPr>
                  <w:r>
                    <w:rPr>
                      <w:rFonts w:ascii="Arial" w:cs="Arial" w:eastAsia="Arial" w:hAnsi="Arial"/>
                      <w:color w:val="1E293B"/>
                      <w:sz w:val="20"/>
                      <w:szCs w:val="20"/>
                    </w:rPr>
                    <w:t xml:space="preserve">Option A — Rule-based / keyword classifier against sgxnet_announcements[], similar in spirit to NLP-2.</w:t>
                  </w:r>
                </w:p>
                <w:p>
                  <w:pPr>
                    <w:spacing w:after="50" w:before="0"/>
                    <w:jc w:val="left"/>
                  </w:pPr>
                  <w:r>
                    <w:rPr>
                      <w:rFonts w:ascii="Arial" w:cs="Arial" w:eastAsia="Arial" w:hAnsi="Arial"/>
                      <w:b/>
                      <w:bCs/>
                      <w:color w:val="0D7A57"/>
                      <w:sz w:val="20"/>
                      <w:szCs w:val="20"/>
                    </w:rPr>
                    <w:t xml:space="preserve">Pros: </w:t>
                  </w:r>
                  <w:r>
                    <w:rPr>
                      <w:rFonts w:ascii="Arial" w:cs="Arial" w:eastAsia="Arial" w:hAnsi="Arial"/>
                      <w:color w:val="1E293B"/>
                      <w:sz w:val="20"/>
                      <w:szCs w:val="20"/>
                    </w:rPr>
                    <w:t xml:space="preserve">simple, fast to build, consistent with the proportionate-effort principle applied elsewhere in this memo. </w:t>
                  </w:r>
                  <w:r>
                    <w:rPr>
                      <w:rFonts w:ascii="Arial" w:cs="Arial" w:eastAsia="Arial" w:hAnsi="Arial"/>
                      <w:b/>
                      <w:bCs/>
                      <w:color w:val="B23A2F"/>
                      <w:sz w:val="20"/>
                      <w:szCs w:val="20"/>
                    </w:rPr>
                    <w:t xml:space="preserve">Cons: </w:t>
                  </w:r>
                  <w:r>
                    <w:rPr>
                      <w:rFonts w:ascii="Arial" w:cs="Arial" w:eastAsia="Arial" w:hAnsi="Arial"/>
                      <w:color w:val="1E293B"/>
                      <w:sz w:val="20"/>
                      <w:szCs w:val="20"/>
                    </w:rPr>
                    <w:t xml:space="preserve">R&amp;D/product-launch disclosures are less standardised in phrasing than audit-report language, so recall may be weaker than NLP-5.</w:t>
                  </w:r>
                </w:p>
                <w:p>
                  <w:pPr>
                    <w:spacing w:after="20" w:before="0"/>
                    <w:jc w:val="left"/>
                  </w:pPr>
                  <w:r>
                    <w:rPr>
                      <w:rFonts w:ascii="Arial" w:cs="Arial" w:eastAsia="Arial" w:hAnsi="Arial"/>
                      <w:color w:val="1E293B"/>
                      <w:sz w:val="20"/>
                      <w:szCs w:val="20"/>
                    </w:rPr>
                    <w:t xml:space="preserve">Option B — General-purpose announcement classifier reused from NLP-3's restatement-category work.</w:t>
                  </w:r>
                </w:p>
                <w:p>
                  <w:pPr>
                    <w:spacing w:after="30" w:before="0"/>
                    <w:jc w:val="left"/>
                  </w:pPr>
                  <w:r>
                    <w:rPr>
                      <w:rFonts w:ascii="Arial" w:cs="Arial" w:eastAsia="Arial" w:hAnsi="Arial"/>
                      <w:color w:val="1E293B"/>
                      <w:sz w:val="20"/>
                      <w:szCs w:val="20"/>
                    </w:rPr>
                    <w:t xml:space="preserve">If the team builds a general SGXNET announcement-category classifier for NLP-3, extending it with a 'product launch / R&amp;D milestone' category may be cheap marginal effort rather than a separate task. </w:t>
                  </w:r>
                  <w:r>
                    <w:rPr>
                      <w:rFonts w:ascii="Arial" w:cs="Arial" w:eastAsia="Arial" w:hAnsi="Arial"/>
                      <w:color w:val="1E293B"/>
                      <w:sz w:val="20"/>
                      <w:szCs w:val="20"/>
                    </w:rPr>
                    <w:t xml:space="preserve">This is the main reason this task is listed as a team decision rather than a standalone recommendation — the right choice depends on build sequencing, not on this task's standalone difficulty.</w:t>
                  </w:r>
                </w:p>
              </w:tc>
            </w:tr>
          </w:tbl>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5.  </w:t>
            </w:r>
            <w:r>
              <w:rPr>
                <w:rFonts w:ascii="Arial" w:cs="Arial" w:eastAsia="Arial" w:hAnsi="Arial"/>
                <w:b/>
                <w:bCs/>
                <w:color w:val="1A5E72"/>
                <w:sz w:val="26"/>
                <w:szCs w:val="26"/>
              </w:rPr>
              <w:t xml:space="preserve">Labeled Data Needs and Sourcing</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Per task, what labeled data is needed for calibration (Section 2.3) or, for the Option B paths in Section 4, for training. This section scopes the need; it does not commit to having sourced or labeled any of it yet.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230"/>
        <w:gridCol w:w="2530"/>
      </w:tblGrid>
      <w:tr>
        <w:trPr>
          <w:tblHeader/>
        </w:trPr>
        <w:tc>
          <w:tcPr>
            <w:tcW w:type="dxa" w:w="15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Task</w:t>
            </w:r>
          </w:p>
        </w:tc>
        <w:tc>
          <w:tcPr>
            <w:tcW w:type="dxa" w:w="31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What's Needed</w:t>
            </w:r>
          </w:p>
        </w:tc>
        <w:tc>
          <w:tcPr>
            <w:tcW w:type="dxa" w:w="223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Likely Volume</w:t>
            </w:r>
          </w:p>
        </w:tc>
        <w:tc>
          <w:tcPr>
            <w:tcW w:type="dxa" w:w="253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70" w:before="70"/>
              <w:jc w:val="left"/>
            </w:pPr>
            <w:r>
              <w:rPr>
                <w:rFonts w:ascii="Arial" w:cs="Arial" w:eastAsia="Arial" w:hAnsi="Arial"/>
                <w:b/>
                <w:bCs/>
                <w:color w:val="FFFFFF"/>
                <w:sz w:val="19"/>
                <w:szCs w:val="19"/>
              </w:rPr>
              <w:t xml:space="preserve">Sourcing Path</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NLP-1</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Pairs of policy-note texts (current/prior year), labeled as 'materially changed' or 'not materially changed', ideally with a few known real cases of aggressive recognition-timing shifts</w:t>
            </w:r>
          </w:p>
        </w:tc>
        <w:tc>
          <w:tcPr>
            <w:tcW w:type="dxa" w:w="22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475569"/>
                <w:sz w:val="17"/>
                <w:szCs w:val="17"/>
              </w:rPr>
              <w:t xml:space="preserve">Low — accounting policy changes are infrequent events</w:t>
            </w:r>
          </w:p>
        </w:tc>
        <w:tc>
          <w:tcPr>
            <w:tcW w:type="dxa" w:w="25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Historical SGXNET annual report archive, manually reviewed; ISCA/audit literature may have illustrative examples of known aggressive recognition changes</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NLP-2</w:t>
            </w:r>
          </w:p>
        </w:tc>
        <w:tc>
          <w:tcPr>
            <w:tcW w:type="dxa" w:w="3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Pairs of (provisions decrease event, follow-up announcement text), labeled as 'resolution found' or 'not found'</w:t>
            </w:r>
          </w:p>
        </w:tc>
        <w:tc>
          <w:tcPr>
            <w:tcW w:type="dxa" w:w="223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475569"/>
                <w:sz w:val="17"/>
                <w:szCs w:val="17"/>
              </w:rPr>
              <w:t xml:space="preserve">Low-Medium</w:t>
            </w:r>
          </w:p>
        </w:tc>
        <w:tc>
          <w:tcPr>
            <w:tcW w:type="dxa" w:w="253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Historical SGXNET announcements cross-referenced against financial_periods[] provisions changes; semi-automatable via the NLP-3 pipeline once built</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NLP-3</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Restatement announcements labeled with category + extracted restated figures</w:t>
            </w:r>
          </w:p>
        </w:tc>
        <w:tc>
          <w:tcPr>
            <w:tcW w:type="dxa" w:w="22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475569"/>
                <w:sz w:val="17"/>
                <w:szCs w:val="17"/>
              </w:rPr>
              <w:t xml:space="preserve">Low — restatements are rare, high-signal events</w:t>
            </w:r>
          </w:p>
        </w:tc>
        <w:tc>
          <w:tcPr>
            <w:tcW w:type="dxa" w:w="25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Historical SGXNET restatement announcements; SGX RegCo enforcement case archive may also contain documented examples</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NLP-4</w:t>
            </w:r>
          </w:p>
        </w:tc>
        <w:tc>
          <w:tcPr>
            <w:tcW w:type="dxa" w:w="3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Auditor resignation announcements labeled administrative / disagreement / scope-limitation / evidence</w:t>
            </w:r>
          </w:p>
        </w:tc>
        <w:tc>
          <w:tcPr>
            <w:tcW w:type="dxa" w:w="223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475569"/>
                <w:sz w:val="17"/>
                <w:szCs w:val="17"/>
              </w:rPr>
              <w:t xml:space="preserve">Very low for genuine disagreement cases — likely the scarcest dataset in this memo</w:t>
            </w:r>
          </w:p>
        </w:tc>
        <w:tc>
          <w:tcPr>
            <w:tcW w:type="dxa" w:w="253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Historical SGXNET auditor change announcements; MAS enforcement register and court records (already an ingested connector — see Architecture spec §2.1 data sources) may surface confirmed fraud-linked resignations as a small but high-value labeled set</w:t>
            </w:r>
          </w:p>
        </w:tc>
      </w:tr>
      <w:tr>
        <w:tc>
          <w:tcPr>
            <w:tcW w:type="dxa" w:w="1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NLP-5</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Auditor's report excerpts labeled going-concern / not, plus the standard SSA 570 phrase list itself</w:t>
            </w:r>
          </w:p>
        </w:tc>
        <w:tc>
          <w:tcPr>
            <w:tcW w:type="dxa" w:w="22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475569"/>
                <w:sz w:val="17"/>
                <w:szCs w:val="17"/>
              </w:rPr>
              <w:t xml:space="preserve">Low-Medium — going concern statements are uncommon but textually standard</w:t>
            </w:r>
          </w:p>
        </w:tc>
        <w:tc>
          <w:tcPr>
            <w:tcW w:type="dxa" w:w="253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Historical annual reports; SSA 570 / ISA 570 standard text as a phrase-list seed, ideally reviewed by someone with audit background</w:t>
            </w:r>
          </w:p>
        </w:tc>
      </w:tr>
      <w:tr>
        <w:tc>
          <w:tcPr>
            <w:tcW w:type="dxa" w:w="1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Courier New" w:cs="Courier New" w:eastAsia="Courier New" w:hAnsi="Courier New"/>
                <w:b/>
                <w:bCs/>
                <w:color w:val="1A5E72"/>
                <w:sz w:val="18"/>
                <w:szCs w:val="18"/>
              </w:rPr>
              <w:t xml:space="preserve">NLP-6</w:t>
            </w:r>
          </w:p>
        </w:tc>
        <w:tc>
          <w:tcPr>
            <w:tcW w:type="dxa" w:w="3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Announcements labeled as containing/not containing a new-product or R&amp;D disclosure, for the period</w:t>
            </w:r>
          </w:p>
        </w:tc>
        <w:tc>
          <w:tcPr>
            <w:tcW w:type="dxa" w:w="223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475569"/>
                <w:sz w:val="17"/>
                <w:szCs w:val="17"/>
              </w:rPr>
              <w:t xml:space="preserve">Medium</w:t>
            </w:r>
          </w:p>
        </w:tc>
        <w:tc>
          <w:tcPr>
            <w:tcW w:type="dxa" w:w="253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70" w:before="70"/>
              <w:jc w:val="left"/>
            </w:pPr>
            <w:r>
              <w:rPr>
                <w:rFonts w:ascii="Arial" w:cs="Arial" w:eastAsia="Arial" w:hAnsi="Arial"/>
                <w:color w:val="1E293B"/>
                <w:sz w:val="17"/>
                <w:szCs w:val="17"/>
              </w:rPr>
              <w:t xml:space="preserve">Historical SGXNET announcements; can likely reuse the NLP-3 pipeline's category-classification infrastructure if built generally enough</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Honest Caveat on Volume Estimates</w:t>
            </w:r>
          </w:p>
          <w:p>
            <w:pPr>
              <w:spacing w:after="50" w:before="0"/>
              <w:jc w:val="left"/>
            </w:pPr>
            <w:r>
              <w:rPr>
                <w:rFonts w:ascii="Arial" w:cs="Arial" w:eastAsia="Arial" w:hAnsi="Arial"/>
                <w:color w:val="1E293B"/>
                <w:sz w:val="21"/>
                <w:szCs w:val="21"/>
              </w:rPr>
              <w:t xml:space="preserve">The 'Likely Volume' column above is a reasoned estimate based on the nature of each event (e.g. restatements and disagreement-driven resignations are inherently rare), not a count derived from actual SGXNET archive data. Before committing to Option B (ML classifier) for NLP-4 specifically, the team should pull an actual historical count from the SGXNET archive — if confirmed-disagreement resignations number in the single digits over the lookback window, this strongly reinforces the Section 4.1 recommendation to start with the rule-based Option A.</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6.  </w:t>
            </w:r>
            <w:r>
              <w:rPr>
                <w:rFonts w:ascii="Arial" w:cs="Arial" w:eastAsia="Arial" w:hAnsi="Arial"/>
                <w:b/>
                <w:bCs/>
                <w:color w:val="1A5E72"/>
                <w:sz w:val="26"/>
                <w:szCs w:val="26"/>
              </w:rPr>
              <w:t xml:space="preserve">Where This Fits in the Build Sequence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memo does not change the Stage 1 MAS build sequence in the Architecture document. It informs implementation of two existing engine components: the Ingestion Layer's text-extraction handling of sgxnet_announcements[] and auditor_history[].stated_reason_text (populating the placeholder fields defined in the Internal Entity Schema), and the Rule Engine's logic for the six rules/triggers listed in Section 1.</w:t>
      </w:r>
    </w:p>
    <w:p>
      <w:pPr>
        <w:spacing w:after="50" w:before="0"/>
        <w:jc w:val="left"/>
      </w:pPr>
      <w:r>
        <w:rPr>
          <w:rFonts w:ascii="Arial" w:cs="Arial" w:eastAsia="Arial" w:hAnsi="Arial"/>
          <w:color w:val="1E293B"/>
          <w:sz w:val="22"/>
          <w:szCs w:val="22"/>
        </w:rPr>
        <w:t xml:space="preserve"/>
      </w:r>
    </w:p>
    <w:p>
      <w:pPr>
        <w:pStyle w:val="ListParagraph"/>
        <w:numPr>
          <w:ilvl w:val="0"/>
          <w:numId w:val="2"/>
        </w:numPr>
        <w:spacing w:after="40" w:before="40"/>
        <w:jc w:val="left"/>
      </w:pPr>
      <w:r>
        <w:rPr>
          <w:rFonts w:ascii="Arial" w:cs="Arial" w:eastAsia="Arial" w:hAnsi="Arial"/>
          <w:color w:val="1E293B"/>
          <w:sz w:val="22"/>
          <w:szCs w:val="22"/>
        </w:rPr>
        <w:t xml:space="preserve">None of the six tasks block Stage 1 Step 4–5 (SGX and UBO connector build) — those connectors can be built and the placeholder text fields populated before any classification logic exists</w:t>
      </w:r>
    </w:p>
    <w:p>
      <w:pPr>
        <w:pStyle w:val="ListParagraph"/>
        <w:numPr>
          <w:ilvl w:val="0"/>
          <w:numId w:val="2"/>
        </w:numPr>
        <w:spacing w:after="40" w:before="40"/>
        <w:jc w:val="left"/>
      </w:pPr>
      <w:r>
        <w:rPr>
          <w:rFonts w:ascii="Arial" w:cs="Arial" w:eastAsia="Arial" w:hAnsi="Arial"/>
          <w:color w:val="1E293B"/>
          <w:sz w:val="22"/>
          <w:szCs w:val="22"/>
        </w:rPr>
        <w:t xml:space="preserve">NLP-1, NLP-2, NLP-3 (Section 3) can proceed to implementation once this memo is reviewed, without a further decision meeting</w:t>
      </w:r>
    </w:p>
    <w:p>
      <w:pPr>
        <w:pStyle w:val="ListParagraph"/>
        <w:numPr>
          <w:ilvl w:val="0"/>
          <w:numId w:val="2"/>
        </w:numPr>
        <w:spacing w:after="40" w:before="40"/>
        <w:jc w:val="left"/>
      </w:pPr>
      <w:r>
        <w:rPr>
          <w:rFonts w:ascii="Arial" w:cs="Arial" w:eastAsia="Arial" w:hAnsi="Arial"/>
          <w:color w:val="1E293B"/>
          <w:sz w:val="22"/>
          <w:szCs w:val="22"/>
        </w:rPr>
        <w:t xml:space="preserve">NLP-4, NLP-5, NLP-6 (Section 4) need a short data science + engineering + compliance-reviewer working session to settle Option A vs. B before implementation, per the suggested paths already given</w:t>
      </w:r>
    </w:p>
    <w:p>
      <w:pPr>
        <w:pStyle w:val="ListParagraph"/>
        <w:numPr>
          <w:ilvl w:val="0"/>
          <w:numId w:val="2"/>
        </w:numPr>
        <w:spacing w:after="40" w:before="40"/>
        <w:jc w:val="left"/>
      </w:pPr>
      <w:r>
        <w:rPr>
          <w:rFonts w:ascii="Arial" w:cs="Arial" w:eastAsia="Arial" w:hAnsi="Arial"/>
          <w:color w:val="1E293B"/>
          <w:sz w:val="22"/>
          <w:szCs w:val="22"/>
        </w:rPr>
        <w:t xml:space="preserve">Confidence threshold calibration (Section 2.3) cannot begin until each task has a working classifier and the labeled validation set from Section 5 — this is necessarily a Stage 1 activity that continues past initial connector/engine build, not a blocking prerequisite for it</w:t>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pBdr>
          <w:bottom w:val="single" w:color="219EBC" w:sz="4" w:space="1"/>
        </w:pBdr>
        <w:spacing w:after="100" w:before="10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40" w:before="80"/>
        <w:jc w:val="center"/>
      </w:pPr>
      <w:r>
        <w:rPr>
          <w:rFonts w:ascii="Arial" w:cs="Arial" w:eastAsia="Arial" w:hAnsi="Arial"/>
          <w:b/>
          <w:bCs/>
          <w:color w:val="1A5E72"/>
          <w:sz w:val="20"/>
          <w:szCs w:val="20"/>
        </w:rPr>
        <w:t xml:space="preserve">SCIENTE PROPRIETARY AND CONFIDENTIAL</w:t>
      </w:r>
    </w:p>
    <w:p>
      <w:pPr>
        <w:spacing w:after="80" w:before="0"/>
        <w:jc w:val="center"/>
      </w:pPr>
      <w:r>
        <w:rPr>
          <w:rFonts w:ascii="Arial" w:cs="Arial" w:eastAsia="Arial" w:hAnsi="Arial"/>
          <w:i/>
          <w:iCs/>
          <w:color w:val="475569"/>
          <w:sz w:val="18"/>
          <w:szCs w:val="18"/>
        </w:rPr>
        <w:t xml:space="preserve">This is a technical decision memo, not a finished specification. Sections 4 and 5 contain open decisions requiring data science and compliance sign-off before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BD5E1" w:sz="2" w:space="1"/>
      </w:pBdr>
      <w:spacing w:after="0" w:before="0"/>
      <w:jc w:val="left"/>
    </w:pPr>
    <w:r>
      <w:rPr>
        <w:rFonts w:ascii="Arial" w:cs="Arial" w:eastAsia="Arial" w:hAnsi="Arial"/>
        <w:color w:val="1E293B"/>
        <w:sz w:val="22"/>
        <w:szCs w:val="22"/>
      </w:rPr>
      <w:t xml:space="preserve"/>
    </w:r>
  </w:p>
  <w:p>
    <w:pPr>
      <w:spacing w:after="0" w:before="50"/>
      <w:jc w:val="left"/>
    </w:pPr>
    <w:r>
      <w:rPr>
        <w:rFonts w:ascii="Arial" w:cs="Arial" w:eastAsia="Arial" w:hAnsi="Arial"/>
        <w:color w:val="475569"/>
        <w:sz w:val="18"/>
        <w:szCs w:val="18"/>
      </w:rPr>
      <w:t xml:space="preserve">Version 1.0  |  June 2026  |  Companion to Internal Entity Schema v1.0</w:t>
    </w:r>
    <w:r>
      <w:rPr>
        <w:rFonts w:ascii="Arial" w:cs="Arial" w:eastAsia="Arial" w:hAnsi="Arial"/>
        <w:color w:val="1E293B"/>
        <w:sz w:val="18"/>
        <w:szCs w:val="18"/>
      </w:rPr>
      <w:t xml:space="preserve">	</w:t>
    </w:r>
    <w:r>
      <w:rPr>
        <w:rFonts w:ascii="Arial" w:cs="Arial" w:eastAsia="Arial" w:hAnsi="Arial"/>
        <w:color w:val="47556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left"/>
          </w:pPr>
          <w:r>
            <w:rPr>
              <w:rFonts w:ascii="Arial" w:cs="Arial" w:eastAsia="Arial" w:hAnsi="Arial"/>
              <w:color w:val="475569"/>
              <w:sz w:val="17"/>
              <w:szCs w:val="17"/>
            </w:rPr>
            <w:t xml:space="preserve">FSRE Text-Classification &amp; NLP Technical Decision Memo</w:t>
          </w:r>
        </w:p>
      </w:tc>
      <w:tc>
        <w:tcPr>
          <w:tcW w:type="dxa" w:w="35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right"/>
          </w:pPr>
          <w:r>
            <w:rPr>
              <w:rFonts w:ascii="Arial" w:cs="Arial" w:eastAsia="Arial" w:hAnsi="Arial"/>
              <w:b/>
              <w:bCs/>
              <w:color w:val="219EBC"/>
              <w:sz w:val="15"/>
              <w:szCs w:val="15"/>
            </w:rPr>
            <w:t xml:space="preserve">SCIENTE CONFIDENTIAL — DATA SCIENCE / ENGINEERING</w:t>
          </w:r>
        </w:p>
      </w:tc>
    </w:tr>
  </w:tbl>
  <w:p>
    <w:pPr>
      <w:pBdr>
        <w:bottom w:val="single" w:color="219EBC" w:sz="4" w:space="1"/>
      </w:pBdr>
      <w:spacing w:after="0" w:before="0"/>
      <w:jc w:val="left"/>
    </w:pPr>
    <w:r>
      <w:rPr>
        <w:rFonts w:ascii="Arial" w:cs="Arial" w:eastAsia="Arial" w:hAnsi="Arial"/>
        <w:color w:val="1E293B"/>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E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E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2026-06-30T08:38:39.516Z</dcterms:created>
  <dcterms:modified xsi:type="dcterms:W3CDTF">2026-06-30T08:38:39.528Z</dcterms:modified>
</cp:coreProperties>
</file>

<file path=docProps/custom.xml><?xml version="1.0" encoding="utf-8"?>
<Properties xmlns="http://schemas.openxmlformats.org/officeDocument/2006/custom-properties" xmlns:vt="http://schemas.openxmlformats.org/officeDocument/2006/docPropsVTypes"/>
</file>