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BAC1C" w14:textId="2A85977E" w:rsidR="003C0797" w:rsidRDefault="00EA5B0E" w:rsidP="00EA5B0E">
      <w:pPr>
        <w:spacing w:before="2000"/>
        <w:jc w:val="center"/>
      </w:pPr>
      <w:r w:rsidRPr="00EA5B0E">
        <w:rPr>
          <w:b/>
          <w:sz w:val="36"/>
        </w:rPr>
        <w:t xml:space="preserve">A Theoretical Architecture for a Sign-Flipped Civilization as a Natural </w:t>
      </w:r>
      <w:r>
        <w:rPr>
          <w:b/>
          <w:sz w:val="36"/>
        </w:rPr>
        <w:t>Restoration</w:t>
      </w:r>
      <w:r w:rsidRPr="00EA5B0E">
        <w:rPr>
          <w:b/>
          <w:sz w:val="36"/>
        </w:rPr>
        <w:t xml:space="preserve"> </w:t>
      </w:r>
      <w:r>
        <w:rPr>
          <w:b/>
          <w:sz w:val="36"/>
        </w:rPr>
        <w:t>of</w:t>
      </w:r>
      <w:r w:rsidRPr="00EA5B0E">
        <w:rPr>
          <w:b/>
          <w:sz w:val="36"/>
        </w:rPr>
        <w:t xml:space="preserve"> </w:t>
      </w:r>
      <w:r>
        <w:rPr>
          <w:b/>
          <w:sz w:val="36"/>
        </w:rPr>
        <w:t xml:space="preserve">Cross Domain </w:t>
      </w:r>
      <w:r w:rsidRPr="00EA5B0E">
        <w:rPr>
          <w:b/>
          <w:sz w:val="36"/>
        </w:rPr>
        <w:t>Sanity at Civilizational Scale</w:t>
      </w:r>
    </w:p>
    <w:p w14:paraId="60968251" w14:textId="77777777" w:rsidR="003C0797" w:rsidRDefault="00000000">
      <w:pPr>
        <w:spacing w:after="720"/>
        <w:jc w:val="center"/>
      </w:pPr>
      <w:r>
        <w:rPr>
          <w:i/>
          <w:sz w:val="26"/>
        </w:rPr>
        <w:t>A NiCE-Integrated Systems Framework for Symbolic Design,</w:t>
      </w:r>
      <w:r>
        <w:rPr>
          <w:i/>
          <w:sz w:val="26"/>
        </w:rPr>
        <w:br/>
        <w:t>Ecological Constraint, and Civilizational Stability</w:t>
      </w:r>
    </w:p>
    <w:p w14:paraId="09123698" w14:textId="77777777" w:rsidR="003C0797" w:rsidRDefault="003C0797"/>
    <w:p w14:paraId="21824FF0" w14:textId="77777777" w:rsidR="00EA5B0E" w:rsidRPr="00EA5B0E" w:rsidRDefault="00EA5B0E" w:rsidP="00EA5B0E">
      <w:pPr>
        <w:spacing w:after="120"/>
        <w:jc w:val="center"/>
        <w:rPr>
          <w:rFonts w:ascii="Elephant" w:hAnsi="Elephant"/>
          <w:sz w:val="22"/>
        </w:rPr>
      </w:pPr>
      <w:r w:rsidRPr="00EA5B0E">
        <w:rPr>
          <w:rFonts w:ascii="Elephant" w:hAnsi="Elephant"/>
        </w:rPr>
        <w:t>Lernaean Research™</w:t>
      </w:r>
    </w:p>
    <w:p w14:paraId="1F41732C" w14:textId="77777777" w:rsidR="00EA5B0E" w:rsidRPr="00EA5B0E" w:rsidRDefault="00EA5B0E" w:rsidP="00EA5B0E">
      <w:pPr>
        <w:spacing w:after="120"/>
        <w:jc w:val="center"/>
        <w:rPr>
          <w:rFonts w:asciiTheme="minorHAnsi" w:hAnsiTheme="minorHAnsi"/>
          <w:sz w:val="22"/>
        </w:rPr>
      </w:pPr>
      <w:r w:rsidRPr="00EA5B0E">
        <w:rPr>
          <w:b/>
          <w:sz w:val="28"/>
        </w:rPr>
        <w:t>Robert D. Kitcey</w:t>
      </w:r>
    </w:p>
    <w:p w14:paraId="2CEC0F51" w14:textId="77777777" w:rsidR="00EA5B0E" w:rsidRPr="00EA5B0E" w:rsidRDefault="00EA5B0E" w:rsidP="00EA5B0E">
      <w:pPr>
        <w:spacing w:after="120"/>
        <w:jc w:val="center"/>
        <w:rPr>
          <w:rFonts w:asciiTheme="minorHAnsi" w:hAnsiTheme="minorHAnsi"/>
          <w:sz w:val="22"/>
        </w:rPr>
      </w:pPr>
      <w:r w:rsidRPr="00EA5B0E">
        <w:rPr>
          <w:rFonts w:asciiTheme="minorHAnsi" w:hAnsiTheme="minorHAnsi"/>
          <w:sz w:val="22"/>
        </w:rPr>
        <w:t>www.humanparadigm.org · rkitcey@humanparadigm.org</w:t>
      </w:r>
    </w:p>
    <w:p w14:paraId="77144FF8" w14:textId="77777777" w:rsidR="00EA5B0E" w:rsidRPr="00EA5B0E" w:rsidRDefault="00EA5B0E" w:rsidP="00EA5B0E">
      <w:pPr>
        <w:spacing w:after="960"/>
        <w:jc w:val="center"/>
        <w:rPr>
          <w:rFonts w:asciiTheme="minorHAnsi" w:hAnsiTheme="minorHAnsi"/>
          <w:sz w:val="22"/>
        </w:rPr>
      </w:pPr>
      <w:r w:rsidRPr="00EA5B0E">
        <w:rPr>
          <w:rFonts w:asciiTheme="minorHAnsi" w:hAnsiTheme="minorHAnsi"/>
          <w:i/>
        </w:rPr>
        <w:t>January 2026</w:t>
      </w:r>
    </w:p>
    <w:p w14:paraId="614CCA1D" w14:textId="1E811B29" w:rsidR="00EA5B0E" w:rsidRPr="00EA5B0E" w:rsidRDefault="00EA5B0E" w:rsidP="00EA5B0E">
      <w:pPr>
        <w:jc w:val="center"/>
        <w:rPr>
          <w:rFonts w:asciiTheme="minorHAnsi" w:hAnsiTheme="minorHAnsi"/>
          <w:sz w:val="22"/>
        </w:rPr>
      </w:pPr>
      <w:r w:rsidRPr="00EA5B0E">
        <w:rPr>
          <w:rFonts w:asciiTheme="minorHAnsi" w:hAnsiTheme="minorHAnsi"/>
          <w:color w:val="646464"/>
          <w:sz w:val="22"/>
        </w:rPr>
        <w:t xml:space="preserve">Systems Engineering </w:t>
      </w:r>
      <w:proofErr w:type="gramStart"/>
      <w:r w:rsidRPr="00EA5B0E">
        <w:rPr>
          <w:rFonts w:asciiTheme="minorHAnsi" w:hAnsiTheme="minorHAnsi"/>
          <w:color w:val="646464"/>
          <w:sz w:val="22"/>
        </w:rPr>
        <w:t>Architecture  Version</w:t>
      </w:r>
      <w:proofErr w:type="gramEnd"/>
      <w:r w:rsidRPr="00EA5B0E">
        <w:rPr>
          <w:rFonts w:asciiTheme="minorHAnsi" w:hAnsiTheme="minorHAnsi"/>
          <w:color w:val="646464"/>
          <w:sz w:val="22"/>
        </w:rPr>
        <w:t xml:space="preserve"> 0.3.</w:t>
      </w:r>
      <w:r>
        <w:rPr>
          <w:rFonts w:asciiTheme="minorHAnsi" w:hAnsiTheme="minorHAnsi"/>
          <w:color w:val="646464"/>
          <w:sz w:val="22"/>
        </w:rPr>
        <w:t>2</w:t>
      </w:r>
    </w:p>
    <w:p w14:paraId="59FBC0FF"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6C6EB4CC" w14:textId="77777777" w:rsidR="003C0797" w:rsidRDefault="00000000" w:rsidP="00EA5B0E">
      <w:pPr>
        <w:pStyle w:val="Heading1"/>
      </w:pPr>
      <w:r>
        <w:lastRenderedPageBreak/>
        <w:t>Abstract</w:t>
      </w:r>
    </w:p>
    <w:p w14:paraId="6E1AEC7E" w14:textId="77777777" w:rsidR="003C0797" w:rsidRDefault="00000000">
      <w:r>
        <w:t>This paper proposes a parsimonious redesign of civilizational architecture centered on a single high-leverage intervention: the sign-flip of the dominant symbolic unit (currency) from representing extractive entitlement to representing ecological obligation. Grounded in ecological economics, systems theory, and the Nature–Consciousness–Environment (NiCE) triadic framework, the paper develops a formal, testable scaffold in which symbolic design, measurement architecture, and constraint feedback loops produce intrinsic alignment between individual rationality and collective ecological solvency.</w:t>
      </w:r>
    </w:p>
    <w:p w14:paraId="19EF9DAE" w14:textId="77777777" w:rsidR="003C0797" w:rsidRDefault="00000000">
      <w:r>
        <w:t>The framework is developed as an engineering system rather than a moral theory. Drawing on empirical evidence from institutional economics (Pigou, 1920; Kapp, 1963), Goodhart dynamics in measurement systems (Campbell, 1979; Strathern, 1997; Muller, 2018), motivation crowding research (Deci et al., 1999; Frey &amp; Oberholzer-Gee, 1997), and planetary boundaries theory (Rockström et al., 2009; Steffen et al., 2015), we demonstrate that contemporary ecological overshoot emerges from systematic symbolic misalignment rather than primarily from failures of ethics or intent.</w:t>
      </w:r>
    </w:p>
    <w:p w14:paraId="1880D216" w14:textId="74A08500" w:rsidR="003C0797" w:rsidRDefault="00000000">
      <w:r>
        <w:t xml:space="preserve">The core theoretical contribution is the formalization of an ecological debt variable </w:t>
      </w:r>
      <m:oMath>
        <m:r>
          <w:rPr>
            <w:rFonts w:ascii="Cambria Math" w:hAnsi="Cambria Math"/>
          </w:rPr>
          <m:t>D(t)</m:t>
        </m:r>
      </m:oMath>
      <w:r>
        <w:t xml:space="preserve"> that accrues intrinsically from biophysical violations and functions as an operative constraint rather than optional narrative overlay. We extend this analysis through the NiCE nine-pathway model, demonstrating how the sign-flip reverses coupling direction across all Nature–Consciousness–Environment interactions simultaneously. The Default Gradient Law—an observed principle derived from thermodynamic necessity—establishes that any reform not changing the default gradient will be outcompeted by entropic drift, explaining why conventional approaches systematically fail while gradient-inverting interventions can succeed.</w:t>
      </w:r>
    </w:p>
    <w:p w14:paraId="21086079" w14:textId="77777777" w:rsidR="003C0797" w:rsidRDefault="00000000">
      <w:r>
        <w:t>The paper proceeds in seven main sections covering theoretical foundations, ecological debt formalization, comprehensive nine-pathway analysis, implementation case studies, formal mathematical appendix, and discussion of empirical grounding and governance implications. Where empirical precedent is limited, falsifiable experimental designs are proposed. The result is offered as a coherent, testable civilizational architecture.</w:t>
      </w:r>
    </w:p>
    <w:p w14:paraId="2A27CCF5"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4A8CD087" w14:textId="77777777" w:rsidR="003C0797" w:rsidRDefault="00000000" w:rsidP="00EA5B0E">
      <w:pPr>
        <w:pStyle w:val="Heading1"/>
      </w:pPr>
      <w:r>
        <w:t>1. Introduction: The Symbolic Infrastructure Problem</w:t>
      </w:r>
    </w:p>
    <w:p w14:paraId="17289932" w14:textId="77777777" w:rsidR="003C0797" w:rsidRDefault="00000000">
      <w:r>
        <w:t>Civilization is governed not only by laws and institutions but by symbolic infrastructures that shape incentives, meaning, and behavior at scale. Money, as the dominant symbolic abstraction, exerts disproportionate influence over individual choice, institutional design, and long-term development trajectories (Simmel, 1907/1978; Zelizer, 1994). When symbolic systems drift out of alignment with biophysical constraints, systemic dysfunction emerges—not as isolated failures but as lawful system dynamics.</w:t>
      </w:r>
    </w:p>
    <w:p w14:paraId="0B89D7F4" w14:textId="77777777" w:rsidR="003C0797" w:rsidRDefault="00000000">
      <w:r>
        <w:t>This paper argues that contemporary ecological overshoot and social instability are emergent properties of symbolic misalignment rather than primarily failures of ethics or intent. The diagnostic framework draws on three traditions: ecological economics, which situates economic activity within finite biophysical systems (Daly &amp; Farley, 2011); planetary boundaries research, which formalizes critical thresholds beyond which Earth-system stability degrades (Rockström et al., 2009; Steffen et al., 2015); and systems theory, which emphasizes feedback, delay, and constraint as determinants of long-term system behavior (Meadows, 2008; Sterman, 2000).</w:t>
      </w:r>
    </w:p>
    <w:p w14:paraId="422E5560" w14:textId="77777777" w:rsidR="003C0797" w:rsidRDefault="00000000">
      <w:r>
        <w:t>Under contemporary accounting conventions, ecological degradation is systematically mis-booked as profit while restoration is recorded as cost. This inversion represents not isolated ethical failure but predictable systems dynamics arising from boundary selection that excludes diffuse, delayed, and difficult-to-attribute costs (Pigou, 1920; Kapp, 1963; Costanza et al., 2014). The selection pressure that follows is straightforward: actors who can convert ecological substrate into symbolic claims fastest achieve competitive advantage (Martinez-Alier, 2002; Hornborg, 2012).</w:t>
      </w:r>
    </w:p>
    <w:p w14:paraId="068E2463" w14:textId="77777777" w:rsidR="003C0797" w:rsidRDefault="00000000">
      <w:pPr>
        <w:pStyle w:val="Heading2"/>
      </w:pPr>
      <w:r>
        <w:t>1.1 The Leverage Point: Why Symbolic Design Matters</w:t>
      </w:r>
    </w:p>
    <w:p w14:paraId="16169BA5" w14:textId="77777777" w:rsidR="003C0797" w:rsidRDefault="00000000">
      <w:r>
        <w:t>Meadows (1999) identified leverage points in systems as places where small interventions can produce large, lasting changes in system behavior. In her hierarchy, the highest-leverage interventions target paradigms, goals, and the power to transcend paradigms. This paper proposes that redesigning the unit of account to encode ecological obligation constitutes such a high-leverage intervention—one that shifts the fundamental paradigm from accumulation-as-success to solvency-as-success.</w:t>
      </w:r>
    </w:p>
    <w:p w14:paraId="7C5DCCD3" w14:textId="77777777" w:rsidR="003C0797" w:rsidRDefault="00000000">
      <w:r>
        <w:t>The proposal is not offered as utopian speculation but as formal systems design with explicit assumptions, mechanisms, and falsifiable implications. Where contemporary accounting treats ecological degradation as externality, the sign-flip makes it intrinsic—automatically accruing as constraint that disciplines behavior in real time. Where profit-sign regimes reward fastest extraction, debt-sign regimes reward fastest restoration.</w:t>
      </w:r>
    </w:p>
    <w:p w14:paraId="3587AA39" w14:textId="77777777" w:rsidR="003C0797" w:rsidRDefault="00000000">
      <w:r>
        <w:t>This represents thermodynamic judo: instead of fighting against entropy, the intervention changes the gradient itself. When the default motion—what the system falls into when agents optimize locally—aligns with ecological viability, sustainability becomes the attractor rather than an achievement requiring continuous effort against systemic drift.</w:t>
      </w:r>
    </w:p>
    <w:p w14:paraId="309A1204" w14:textId="77777777" w:rsidR="003C0797" w:rsidRDefault="00000000">
      <w:pPr>
        <w:pStyle w:val="Heading2"/>
      </w:pPr>
      <w:r>
        <w:t>1.2 Scope and Structure</w:t>
      </w:r>
    </w:p>
    <w:p w14:paraId="21B1FDF8" w14:textId="77777777" w:rsidR="003C0797" w:rsidRDefault="00000000">
      <w:r>
        <w:t>This paper proceeds in seven main sections:</w:t>
      </w:r>
    </w:p>
    <w:p w14:paraId="4468D6C1" w14:textId="77777777" w:rsidR="003C0797" w:rsidRDefault="00000000">
      <w:pPr>
        <w:pStyle w:val="ListBullet"/>
      </w:pPr>
      <w:r>
        <w:t>Section 2 establishes theoretical foundations, reviewing Goodhart dynamics, the NiCE triadic framework, asymmetric propagation laws, and the Default Gradient Law</w:t>
      </w:r>
    </w:p>
    <w:p w14:paraId="050384C8" w14:textId="77777777" w:rsidR="003C0797" w:rsidRDefault="00000000">
      <w:pPr>
        <w:pStyle w:val="ListBullet"/>
      </w:pPr>
      <w:r>
        <w:t>Section 3 formalizes the ecological debt variable D(t) and derives six non-gameable design rules</w:t>
      </w:r>
    </w:p>
    <w:p w14:paraId="730997E3" w14:textId="77777777" w:rsidR="003C0797" w:rsidRDefault="00000000">
      <w:pPr>
        <w:pStyle w:val="ListBullet"/>
      </w:pPr>
      <w:r>
        <w:t>Section 4 provides comprehensive nine-pathway analysis demonstrating how sign-flip reverses coupling direction across all N–C–E interactions</w:t>
      </w:r>
    </w:p>
    <w:p w14:paraId="5214D840" w14:textId="77777777" w:rsidR="003C0797" w:rsidRDefault="00000000">
      <w:pPr>
        <w:pStyle w:val="ListBullet"/>
      </w:pPr>
      <w:r>
        <w:t>Section 5 presents implementation case studies at municipal, supply chain, and institutional scales</w:t>
      </w:r>
    </w:p>
    <w:p w14:paraId="04B8E19A" w14:textId="77777777" w:rsidR="003C0797" w:rsidRDefault="00000000">
      <w:pPr>
        <w:pStyle w:val="ListBullet"/>
      </w:pPr>
      <w:r>
        <w:t>Section 6 develops formal mathematical appendix with dynamical systems representation and stability analysis</w:t>
      </w:r>
    </w:p>
    <w:p w14:paraId="43B375F6" w14:textId="77777777" w:rsidR="003C0797" w:rsidRDefault="00000000">
      <w:pPr>
        <w:pStyle w:val="ListBullet"/>
      </w:pPr>
      <w:r>
        <w:t>Section 7 discusses empirical grounding, implementation challenges, and governance implications</w:t>
      </w:r>
    </w:p>
    <w:p w14:paraId="56C12DDD" w14:textId="77777777" w:rsidR="003C0797" w:rsidRDefault="00000000">
      <w:r>
        <w:t>The analysis demonstrates that civilizational stability can be meaningfully improved through symbolic engineering—not by changing human nature, but by changing what the system naturally falls into when agents optimize locally under constraint.</w:t>
      </w:r>
    </w:p>
    <w:p w14:paraId="53EE9012"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209EBA94" w14:textId="77777777" w:rsidR="003C0797" w:rsidRDefault="00000000" w:rsidP="00EA5B0E">
      <w:pPr>
        <w:pStyle w:val="Heading1"/>
      </w:pPr>
      <w:r>
        <w:t>2. Theoretical Foundations</w:t>
      </w:r>
    </w:p>
    <w:p w14:paraId="046880A8" w14:textId="77777777" w:rsidR="003C0797" w:rsidRDefault="00000000">
      <w:pPr>
        <w:pStyle w:val="Heading2"/>
      </w:pPr>
      <w:r>
        <w:t>2.1 Goodhart's Law and the Corruption of Symbolic Measures</w:t>
      </w:r>
    </w:p>
    <w:p w14:paraId="381C6C0C" w14:textId="77777777" w:rsidR="003C0797" w:rsidRDefault="00000000">
      <w:r>
        <w:t>In 1975, British economist Charles Goodhart observed that 'any observed statistical regularity will tend to collapse once pressure is placed upon it for control purposes' (Goodhart, 1975, p. 116). Campbell (1979) independently articulated: 'The more any quantitative social indicator is used for social decision-making, the more subject it will be to corruption pressures.' Strathern (1997) condensed this to: 'When a measure becomes a target, it ceases to be a good measure.'</w:t>
      </w:r>
    </w:p>
    <w:p w14:paraId="3569D8FC" w14:textId="77777777" w:rsidR="003C0797" w:rsidRDefault="00000000">
      <w:r>
        <w:t>The mechanism operates through rational optimization: when consequences attach to metrics, agents optimize the metric rather than the underlying outcome. This optimization need not involve deception; it occurs through legitimate shifts in resource allocation that maximize measured performance while degrading unmeasured dimensions (Holmström &amp; Milgrom, 1991).</w:t>
      </w:r>
    </w:p>
    <w:p w14:paraId="38B6001B" w14:textId="77777777" w:rsidR="003C0797" w:rsidRDefault="00000000">
      <w:r>
        <w:t>Goodhart effects span diverse institutional domains: high-stakes testing narrows curriculum to tested subjects (Jacob &amp; Levitt, 2003; Koretz, 2017); citation metrics spawn gaming and salami-slicing (Biagioli &amp; Lippman, 2020); performance metrics in healthcare associate with patient selection and metric gaming (Mannion &amp; Braithwaite, 2012); crime statistics targets link to under-recording (Eterno &amp; Silverman, 2012). These patterns reveal structural vulnerability: whenever symbolic representations become more consequential than realities they represent, rational agents face systematic incentives to optimize the symbol while degrading the substrate.</w:t>
      </w:r>
    </w:p>
    <w:p w14:paraId="392EED5E" w14:textId="77777777" w:rsidR="003C0797" w:rsidRDefault="00000000">
      <w:pPr>
        <w:pStyle w:val="Heading2"/>
      </w:pPr>
      <w:r>
        <w:t>2.2 The NiCE Triadic Framework</w:t>
      </w:r>
    </w:p>
    <w:p w14:paraId="7C24B526" w14:textId="77777777" w:rsidR="00525F1D" w:rsidRDefault="00000000">
      <w:r>
        <w:t xml:space="preserve">The NiCE framework models human behavior as emerging from mutual constitution of three irreducible domains: </w:t>
      </w:r>
    </w:p>
    <w:p w14:paraId="3A21098B" w14:textId="77777777" w:rsidR="00525F1D" w:rsidRPr="00525F1D" w:rsidRDefault="00000000">
      <w:pPr>
        <w:rPr>
          <w:b/>
          <w:bCs/>
        </w:rPr>
      </w:pPr>
      <w:r w:rsidRPr="00525F1D">
        <w:rPr>
          <w:b/>
          <w:bCs/>
        </w:rPr>
        <w:t xml:space="preserve">Nature (N), </w:t>
      </w:r>
      <w:r w:rsidR="00525F1D" w:rsidRPr="00525F1D">
        <w:rPr>
          <w:b/>
          <w:bCs/>
        </w:rPr>
        <w:br/>
      </w:r>
      <w:r w:rsidRPr="00525F1D">
        <w:rPr>
          <w:b/>
          <w:bCs/>
        </w:rPr>
        <w:t xml:space="preserve">Consciousness (C), </w:t>
      </w:r>
      <w:r w:rsidRPr="00525F1D">
        <w:t>and</w:t>
      </w:r>
      <w:r w:rsidRPr="00525F1D">
        <w:rPr>
          <w:b/>
          <w:bCs/>
        </w:rPr>
        <w:t xml:space="preserve"> </w:t>
      </w:r>
      <w:r w:rsidR="00525F1D" w:rsidRPr="00525F1D">
        <w:rPr>
          <w:b/>
          <w:bCs/>
        </w:rPr>
        <w:br/>
      </w:r>
      <w:r w:rsidRPr="00525F1D">
        <w:rPr>
          <w:b/>
          <w:bCs/>
        </w:rPr>
        <w:t xml:space="preserve">Environment (E). </w:t>
      </w:r>
    </w:p>
    <w:p w14:paraId="5854F5A8" w14:textId="353E827F" w:rsidR="003C0797" w:rsidRDefault="00000000">
      <w:r>
        <w:t>This extends familiar nature–nurture intuitions by elevating consciousness and symbolic context to co-equal explanatory status.</w:t>
      </w:r>
    </w:p>
    <w:p w14:paraId="0161C2B9" w14:textId="77777777" w:rsidR="00525F1D" w:rsidRDefault="00000000">
      <w:r>
        <w:t xml:space="preserve">Nature (N) encompasses biophysical constraints, evolved priors, stress response systems, and embodied cognition. </w:t>
      </w:r>
    </w:p>
    <w:p w14:paraId="783E603A" w14:textId="77777777" w:rsidR="00525F1D" w:rsidRDefault="00000000">
      <w:r>
        <w:t xml:space="preserve">Consciousness (C) encompasses phenomenal experience, attention, meaning-making, and motivation structure. </w:t>
      </w:r>
    </w:p>
    <w:p w14:paraId="4E6104F3" w14:textId="1E77E2A4" w:rsidR="003C0797" w:rsidRDefault="00000000">
      <w:r>
        <w:t>Environment (E) encompasses affordances, symbolic tools, institutions, norms, and infrastructures.</w:t>
      </w:r>
    </w:p>
    <w:p w14:paraId="5CB55AFC" w14:textId="77777777" w:rsidR="00EA5B0E" w:rsidRDefault="00000000">
      <w:r>
        <w:t xml:space="preserve">The framework distinguishes three types of relations: </w:t>
      </w:r>
    </w:p>
    <w:p w14:paraId="5670FA4E" w14:textId="409AC654" w:rsidR="00EA5B0E" w:rsidRDefault="00525F1D">
      <w:r>
        <w:rPr>
          <w:rStyle w:val="Strong"/>
        </w:rPr>
        <w:t>C</w:t>
      </w:r>
      <w:r w:rsidR="00000000" w:rsidRPr="00EA5B0E">
        <w:rPr>
          <w:rStyle w:val="Strong"/>
        </w:rPr>
        <w:t>onstitutive</w:t>
      </w:r>
      <w:r w:rsidR="00000000">
        <w:t xml:space="preserve"> relations (within time-slice) specify what makes a state what it is through structural coupling; </w:t>
      </w:r>
    </w:p>
    <w:p w14:paraId="65837339" w14:textId="73D0A207" w:rsidR="00EA5B0E" w:rsidRDefault="00525F1D">
      <w:r>
        <w:rPr>
          <w:rStyle w:val="Strong"/>
        </w:rPr>
        <w:t>C</w:t>
      </w:r>
      <w:r w:rsidR="00000000" w:rsidRPr="00EA5B0E">
        <w:rPr>
          <w:rStyle w:val="Strong"/>
        </w:rPr>
        <w:t>ausal</w:t>
      </w:r>
      <w:r w:rsidR="00000000">
        <w:t xml:space="preserve"> relations (across time) specify how present states update future states; </w:t>
      </w:r>
    </w:p>
    <w:p w14:paraId="7B07ACB9" w14:textId="566A021B" w:rsidR="003C0797" w:rsidRDefault="00525F1D">
      <w:r>
        <w:rPr>
          <w:rStyle w:val="Strong"/>
        </w:rPr>
        <w:t>E</w:t>
      </w:r>
      <w:r w:rsidR="00000000" w:rsidRPr="00EA5B0E">
        <w:rPr>
          <w:rStyle w:val="Strong"/>
        </w:rPr>
        <w:t>nabling</w:t>
      </w:r>
      <w:r w:rsidR="00000000">
        <w:t xml:space="preserve"> relations specify boundary conditions that make trajectories feasible without determining outcomes.</w:t>
      </w:r>
    </w:p>
    <w:p w14:paraId="707A3C3A" w14:textId="77777777" w:rsidR="003C0797" w:rsidRDefault="00000000">
      <w:pPr>
        <w:pStyle w:val="Heading2"/>
      </w:pPr>
      <w:r>
        <w:t>2.3 The Nine-Pathway Dynamics Matrix</w:t>
      </w:r>
    </w:p>
    <w:p w14:paraId="355EE474" w14:textId="77777777" w:rsidR="00EA5B0E" w:rsidRDefault="00000000">
      <w:r>
        <w:t xml:space="preserve">NiCE formalizes influences among vertices as a 3×3 mapping, yielding nine directed pathways: </w:t>
      </w:r>
    </w:p>
    <w:p w14:paraId="66F10847" w14:textId="77777777" w:rsidR="00EA5B0E" w:rsidRDefault="00000000" w:rsidP="00EA5B0E">
      <w:r>
        <w:t xml:space="preserve">N→N (Nature self-dynamics), </w:t>
      </w:r>
      <w:r w:rsidR="00EA5B0E">
        <w:br/>
      </w:r>
      <w:r>
        <w:t xml:space="preserve">N→C (Nature shapes Consciousness), </w:t>
      </w:r>
      <w:r w:rsidR="00EA5B0E">
        <w:br/>
      </w:r>
      <w:r>
        <w:t xml:space="preserve">N→E (Nature constrains Environment), </w:t>
      </w:r>
    </w:p>
    <w:p w14:paraId="0C8E13A3" w14:textId="77777777" w:rsidR="00EA5B0E" w:rsidRDefault="00000000" w:rsidP="00EA5B0E">
      <w:r>
        <w:t xml:space="preserve">C→N (Consciousness shapes Nature), </w:t>
      </w:r>
      <w:r w:rsidR="00EA5B0E">
        <w:br/>
      </w:r>
      <w:r>
        <w:t xml:space="preserve">C→C (Consciousness self-dynamics), </w:t>
      </w:r>
      <w:r w:rsidR="00EA5B0E">
        <w:br/>
      </w:r>
      <w:r>
        <w:t xml:space="preserve">C→E (Consciousness shapes Environment), </w:t>
      </w:r>
    </w:p>
    <w:p w14:paraId="18182D56" w14:textId="2E2640BB" w:rsidR="00EA5B0E" w:rsidRDefault="00000000" w:rsidP="00EA5B0E">
      <w:r>
        <w:t xml:space="preserve">E→N (Environment shapes Nature), </w:t>
      </w:r>
      <w:r w:rsidR="00EA5B0E">
        <w:br/>
      </w:r>
      <w:r>
        <w:t xml:space="preserve">E→C (Environment shapes Consciousness), </w:t>
      </w:r>
      <w:r w:rsidR="00EA5B0E">
        <w:br/>
      </w:r>
      <w:r>
        <w:t xml:space="preserve">E→E (Environment self-dynamics). </w:t>
      </w:r>
    </w:p>
    <w:p w14:paraId="1C656333" w14:textId="0D8F0E62" w:rsidR="003C0797" w:rsidRDefault="00000000">
      <w:r>
        <w:t xml:space="preserve">The sign parameter </w:t>
      </w:r>
      <m:oMath>
        <m:r>
          <w:rPr>
            <w:rFonts w:ascii="Cambria Math" w:hAnsi="Cambria Math"/>
          </w:rPr>
          <m:t>σ</m:t>
        </m:r>
      </m:oMath>
      <w:r>
        <w:t>—whether dominant symbol rewards accumulation (</w:t>
      </w:r>
      <m:oMath>
        <m:r>
          <w:rPr>
            <w:rFonts w:ascii="Cambria Math" w:hAnsi="Cambria Math"/>
          </w:rPr>
          <m:t>σ = +1</m:t>
        </m:r>
      </m:oMath>
      <w:r>
        <w:t>) or penalizes it (</w:t>
      </w:r>
      <m:oMath>
        <m:r>
          <w:rPr>
            <w:rFonts w:ascii="Cambria Math" w:hAnsi="Cambria Math"/>
          </w:rPr>
          <m:t>σ = -1</m:t>
        </m:r>
      </m:oMath>
      <w:r>
        <w:t>)—changes the direction of coupling across all pathways simultaneously.</w:t>
      </w:r>
    </w:p>
    <w:p w14:paraId="789B652E" w14:textId="77777777" w:rsidR="003C0797" w:rsidRDefault="00000000">
      <w:pPr>
        <w:pStyle w:val="Heading2"/>
      </w:pPr>
      <w:r>
        <w:t>2.4 Asymmetric Propagation: The Thermodynamic Foundation</w:t>
      </w:r>
    </w:p>
    <w:p w14:paraId="7C8584C0" w14:textId="77777777" w:rsidR="003C0797" w:rsidRDefault="00000000">
      <w:r>
        <w:t>A critical asymmetry structures triadic dynamics: dysfunction propagates automatically across N–C–E, while improvement propagates only conditionally. This reflects thermodynamic principles: entropy increases spontaneously unless energy is continuously input to maintain organization (Prigogine &amp; Stengers, 1984).</w:t>
      </w:r>
    </w:p>
    <w:p w14:paraId="2942C172" w14:textId="77777777" w:rsidR="003C0797" w:rsidRDefault="00000000">
      <w:r>
        <w:t>Applied to civilizational systems: disorder requires no coordination—it emerges automatically from gradient relaxation. Order requires continuous work against entropic drift. Institutional decay demonstrates this: without continuous investment, institutions decay toward dysfunction through regulatory capture, metric corruption, knowledge loss, and mission drift. The system naturally falls toward higher-entropy configurations unless sufficient energy is expended maintaining coherent organization.</w:t>
      </w:r>
    </w:p>
    <w:p w14:paraId="01040A75" w14:textId="77777777" w:rsidR="003C0797" w:rsidRDefault="00000000">
      <w:pPr>
        <w:pStyle w:val="Heading2"/>
      </w:pPr>
      <w:r>
        <w:t>2.5 The Prophylactic Integrity Axiom</w:t>
      </w:r>
    </w:p>
    <w:p w14:paraId="1311EE64" w14:textId="77777777" w:rsidR="003C0797" w:rsidRDefault="00000000">
      <w:r>
        <w:t>From asymmetric propagation emerges critical implication: A system can only sustain functional order when all domains are simultaneously aligned; partial reform is inherently unstable. Because dysfunction propagates automatically while improvement propagates conditionally, effective reform must treat all domains sufficiently such that the new configuration becomes thermodynamically stable.</w:t>
      </w:r>
    </w:p>
    <w:p w14:paraId="31F33B89" w14:textId="77777777" w:rsidR="003C0797" w:rsidRDefault="00000000">
      <w:r>
        <w:t>Single-domain interventions fail through predictable mechanisms. Environmental regulation without changed meaning structures produces shallow compliance and gaming. Changed consciousness without institutional support faces structural pressures that select against ethical actors. Biophysical improvement without institutional restructuring faces renewed extraction pressure. Effective reform requires constitutive, causal, and enabling alignment across N–C–E vertices.</w:t>
      </w:r>
    </w:p>
    <w:p w14:paraId="0126978E" w14:textId="77777777" w:rsidR="00CA5A0C" w:rsidRPr="00CA5A0C" w:rsidRDefault="00CA5A0C" w:rsidP="00CA5A0C">
      <w:pPr>
        <w:rPr>
          <w:b/>
          <w:bCs/>
        </w:rPr>
      </w:pPr>
      <w:r w:rsidRPr="00CA5A0C">
        <w:rPr>
          <w:b/>
          <w:bCs/>
        </w:rPr>
        <w:t>2.6 The Default Gradient Law: An Observed Principle of System Reform</w:t>
      </w:r>
    </w:p>
    <w:p w14:paraId="4090DBD5" w14:textId="77777777" w:rsidR="00CA5A0C" w:rsidRPr="00CA5A0C" w:rsidRDefault="00CA5A0C" w:rsidP="00CA5A0C">
      <w:r w:rsidRPr="00CA5A0C">
        <w:t xml:space="preserve">The asymmetric propagation analysis and prophylactic integrity axiom converge on a deeper principle that transcends the </w:t>
      </w:r>
      <w:proofErr w:type="gramStart"/>
      <w:r w:rsidRPr="00CA5A0C">
        <w:t>NiCE</w:t>
      </w:r>
      <w:proofErr w:type="gramEnd"/>
      <w:r w:rsidRPr="00CA5A0C">
        <w:t xml:space="preserve"> framework itself. What emerges is not a design recommendation but an observed law of system reform, one that operates with the same inevitability as thermodynamic principles from which it derives. This law explains not merely why particular reforms fail but why entire classes of interventions systematically cannot succeed.</w:t>
      </w:r>
    </w:p>
    <w:p w14:paraId="104E4B88" w14:textId="77777777" w:rsidR="00CA5A0C" w:rsidRPr="00CA5A0C" w:rsidRDefault="00CA5A0C" w:rsidP="00CA5A0C">
      <w:r w:rsidRPr="00CA5A0C">
        <w:t>The principle can be stated with precision:</w:t>
      </w:r>
    </w:p>
    <w:p w14:paraId="26B4547C" w14:textId="77777777" w:rsidR="00CA5A0C" w:rsidRPr="00CA5A0C" w:rsidRDefault="00CA5A0C" w:rsidP="00CA5A0C">
      <w:r w:rsidRPr="00CA5A0C">
        <w:rPr>
          <w:b/>
          <w:i/>
        </w:rPr>
        <w:t>Any reform that does not change the default gradient—what the system falls into—will be outcompeted by entropic drift.</w:t>
      </w:r>
    </w:p>
    <w:p w14:paraId="6F19D5BC" w14:textId="77777777" w:rsidR="00CA5A0C" w:rsidRPr="00CA5A0C" w:rsidRDefault="00CA5A0C" w:rsidP="00CA5A0C">
      <w:r w:rsidRPr="00CA5A0C">
        <w:t>This is not aspirational guidance or strategic advice. It is an observed regularity with the characteristics that distinguish physical laws from heuristics: thermodynamic necessity rooted in the Second Law, empirical universality across all reform domains, predictive power that explains systematic failure patterns, and non-negotiability that permits no exceptions through cleverness or effort. Like conservation laws in physics, the Default Gradient Law constrains what interventions are possible, not merely what interventions are optimal.</w:t>
      </w:r>
    </w:p>
    <w:p w14:paraId="4D299272" w14:textId="77777777" w:rsidR="00CA5A0C" w:rsidRPr="00CA5A0C" w:rsidRDefault="00CA5A0C" w:rsidP="00CA5A0C">
      <w:r w:rsidRPr="00CA5A0C">
        <w:t>The distinction matters profoundly. If this were strategic advice, violations would produce suboptimal outcomes. Because it is physical law, violations produce inevitable failure regardless of intent, resources, or sophistication. Understanding this distinction transforms how we approach civilizational reform—from optimizing within constraints to recognizing which constraints cannot be overcome.</w:t>
      </w:r>
    </w:p>
    <w:p w14:paraId="4EE3F0B6" w14:textId="77777777" w:rsidR="00CA5A0C" w:rsidRPr="00CA5A0C" w:rsidRDefault="00CA5A0C" w:rsidP="00CA5A0C">
      <w:pPr>
        <w:rPr>
          <w:b/>
          <w:bCs/>
        </w:rPr>
      </w:pPr>
      <w:r w:rsidRPr="00CA5A0C">
        <w:rPr>
          <w:b/>
          <w:bCs/>
        </w:rPr>
        <w:t>2.6.1 The Mechanics of Default Gradients</w:t>
      </w:r>
    </w:p>
    <w:p w14:paraId="19965308" w14:textId="77777777" w:rsidR="00CA5A0C" w:rsidRPr="00CA5A0C" w:rsidRDefault="00CA5A0C" w:rsidP="00CA5A0C">
      <w:r w:rsidRPr="00CA5A0C">
        <w:t>To grasp why the Default Gradient Law operates with thermodynamic necessity, we must distinguish carefully between system trajectories produced by the potential landscape itself and trajectories produced by applied force fighting against that landscape. This distinction, familiar in physics, proves equally fundamental in social systems.</w:t>
      </w:r>
    </w:p>
    <w:p w14:paraId="36FC1660" w14:textId="77777777" w:rsidR="00CA5A0C" w:rsidRPr="00CA5A0C" w:rsidRDefault="00CA5A0C" w:rsidP="00CA5A0C">
      <w:r w:rsidRPr="00CA5A0C">
        <w:t>The default gradient represents the thermodynamically downhill direction—the path the system follows when coordination ceases and agents optimize locally within existing constraints. It is the attractor toward which the system relaxes in the absence of sustained intervention, determined not by what actors intend but by what their environment rewards. When we ask "what happens when we stop trying," the answer reveals the default gradient.</w:t>
      </w:r>
    </w:p>
    <w:p w14:paraId="7FF32AC0" w14:textId="77777777" w:rsidR="00CA5A0C" w:rsidRPr="00CA5A0C" w:rsidRDefault="00CA5A0C" w:rsidP="00CA5A0C">
      <w:r w:rsidRPr="00CA5A0C">
        <w:t>In dynamical systems formalism, if system state x(t) evolves according to dx/dt = -</w:t>
      </w:r>
      <w:r w:rsidRPr="00CA5A0C">
        <w:rPr>
          <w:rFonts w:ascii="Cambria Math" w:hAnsi="Cambria Math" w:cs="Cambria Math"/>
        </w:rPr>
        <w:t>∇</w:t>
      </w:r>
      <w:r w:rsidRPr="00CA5A0C">
        <w:t xml:space="preserve">V(x) + u(t) - </w:t>
      </w:r>
      <w:r w:rsidRPr="00CA5A0C">
        <w:rPr>
          <w:rFonts w:cs="Arial"/>
        </w:rPr>
        <w:t>η</w:t>
      </w:r>
      <w:r w:rsidRPr="00CA5A0C">
        <w:t>(x), three terms determine trajectory: -</w:t>
      </w:r>
      <w:r w:rsidRPr="00CA5A0C">
        <w:rPr>
          <w:rFonts w:ascii="Cambria Math" w:hAnsi="Cambria Math" w:cs="Cambria Math"/>
        </w:rPr>
        <w:t>∇</w:t>
      </w:r>
      <w:r w:rsidRPr="00CA5A0C">
        <w:t xml:space="preserve">V(x) represents forces arising from the potential landscape, u(t) represents coordinated intervention effort, and </w:t>
      </w:r>
      <w:r w:rsidRPr="00CA5A0C">
        <w:rPr>
          <w:rFonts w:cs="Arial"/>
        </w:rPr>
        <w:t>η</w:t>
      </w:r>
      <w:r w:rsidRPr="00CA5A0C">
        <w:t>(x) represents entropic decay pressures. The default gradient is -</w:t>
      </w:r>
      <w:r w:rsidRPr="00CA5A0C">
        <w:rPr>
          <w:rFonts w:ascii="Cambria Math" w:hAnsi="Cambria Math" w:cs="Cambria Math"/>
        </w:rPr>
        <w:t>∇</w:t>
      </w:r>
      <w:r w:rsidRPr="00CA5A0C">
        <w:t>V(x)</w:t>
      </w:r>
      <w:r w:rsidRPr="00CA5A0C">
        <w:rPr>
          <w:rFonts w:cs="Arial"/>
        </w:rPr>
        <w:t>—</w:t>
      </w:r>
      <w:r w:rsidRPr="00CA5A0C">
        <w:t>the direction of motion when u(t) = 0 and only substrate topology matters.</w:t>
      </w:r>
    </w:p>
    <w:p w14:paraId="2EBC0BB3" w14:textId="77777777" w:rsidR="00CA5A0C" w:rsidRPr="00CA5A0C" w:rsidRDefault="00CA5A0C" w:rsidP="00CA5A0C">
      <w:r w:rsidRPr="00CA5A0C">
        <w:t>Entropic drift is not metaphorical but mechanical. The Second Law of Thermodynamics establishes that isolated systems evolve toward maximum entropy—toward disorder, not order. High-entropy states (disorder, degradation, fragmentation) have vastly more microstates than low-entropy states (organization, coordination, coherent function). Absent energy input maintaining improbable configurations, systems naturally explore their phase space and converge on high-multiplicity states. Order requires continuous work; disorder emerges automatically.</w:t>
      </w:r>
    </w:p>
    <w:p w14:paraId="7F19A6EB" w14:textId="77777777" w:rsidR="00CA5A0C" w:rsidRPr="00CA5A0C" w:rsidRDefault="00CA5A0C" w:rsidP="00CA5A0C">
      <w:r w:rsidRPr="00CA5A0C">
        <w:t>Applied to institutional systems, this means degradation propagates without coordination while improvement requires coordinated effort against thermodynamic gradient. Regulatory capture needs no conspiracy—it emerges from rational optimization within information and incentive structures. Metric gaming needs no malice—it follows from agents maximizing measured performance. Mission drift needs no betrayal—it results from local adaptations accumulating over time. The system falls toward dysfunction not because actors choose it but because dysfunction is thermodynamically downhill.</w:t>
      </w:r>
    </w:p>
    <w:p w14:paraId="16257DDC" w14:textId="77777777" w:rsidR="00CA5A0C" w:rsidRPr="00CA5A0C" w:rsidRDefault="00CA5A0C" w:rsidP="00CA5A0C">
      <w:r w:rsidRPr="00CA5A0C">
        <w:br w:type="page"/>
      </w:r>
    </w:p>
    <w:p w14:paraId="375A1765" w14:textId="77777777" w:rsidR="00CA5A0C" w:rsidRPr="00CA5A0C" w:rsidRDefault="00CA5A0C" w:rsidP="00CA5A0C">
      <w:pPr>
        <w:rPr>
          <w:b/>
          <w:bCs/>
        </w:rPr>
      </w:pPr>
      <w:r w:rsidRPr="00CA5A0C">
        <w:rPr>
          <w:b/>
          <w:bCs/>
        </w:rPr>
        <w:t>2.6.2 Empirical Manifestations: The Law Across Domains</w:t>
      </w:r>
    </w:p>
    <w:p w14:paraId="1640598E" w14:textId="77777777" w:rsidR="00CA5A0C" w:rsidRPr="00CA5A0C" w:rsidRDefault="00CA5A0C" w:rsidP="00CA5A0C">
      <w:r w:rsidRPr="00CA5A0C">
        <w:t>The Default Gradient Law manifests identically across institutional, environmental, educational, and healthcare reform—not through coincidence but because the same thermodynamic principles govern all organized systems. The pattern is diagnostic: reforms that apply force against unchanged gradients show characteristic decay curves independent of domain specifics. This universality elevates the pattern from interesting observation to physical law.</w:t>
      </w:r>
    </w:p>
    <w:p w14:paraId="3DB86A96" w14:textId="77777777" w:rsidR="00CA5A0C" w:rsidRPr="00CA5A0C" w:rsidRDefault="00CA5A0C" w:rsidP="00CA5A0C">
      <w:r w:rsidRPr="00CA5A0C">
        <w:t>Consider institutional reform. When regulations are imposed without changing underlying incentive structures, they face immediate optimization pressure. Concentrated interests with high stakes invest in circumvention while diffuse publics with low per-capita stakes remain rationally ignorant. The result—regulatory capture—emerges not from corruption but from rational allocation of lobbying effort within unchanged payoff structures (Stigler, 1971; Dal Bó, 2006). Ethics training produces shallow compliance because it changes belief without changing incentive; aware actors still optimize within the true gradient. Transparency mandates without enforcement enable opacity laundering: form compliance masking substantive evasion. Each pattern follows the same logic—applied force u(t) fighting against unchanged potential V(x). When pressure relaxes, the gradient reasserts itself.</w:t>
      </w:r>
    </w:p>
    <w:p w14:paraId="66DDD9B3" w14:textId="77777777" w:rsidR="00CA5A0C" w:rsidRPr="00CA5A0C" w:rsidRDefault="00CA5A0C" w:rsidP="00CA5A0C">
      <w:r w:rsidRPr="00CA5A0C">
        <w:t>The decay follows predictable dynamics. Initial reform enthusiasm provides temporary u(t); compliance appears genuine. As attention shifts and champions depart, u(t) → 0 and the system relaxes toward -</w:t>
      </w:r>
      <w:r w:rsidRPr="00CA5A0C">
        <w:rPr>
          <w:rFonts w:ascii="Cambria Math" w:hAnsi="Cambria Math" w:cs="Cambria Math"/>
        </w:rPr>
        <w:t>∇</w:t>
      </w:r>
      <w:r w:rsidRPr="00CA5A0C">
        <w:t>V(x). Gaming strategies accumulate, workarounds proliferate, and original intent erodes. The institution returns to the configuration determined by its incentive topology, not by reform rhetoric. Mission drift documents this process across organizational lifecycles (Michels, 1911): founding ideals give way to survival optimization, which gives way to rent-seeking, which gives way to capture. Each stage represents thermodynamic relaxation toward locally stable configuration given prevailing gradients.</w:t>
      </w:r>
    </w:p>
    <w:p w14:paraId="67F5A6BB" w14:textId="77777777" w:rsidR="00CA5A0C" w:rsidRPr="00CA5A0C" w:rsidRDefault="00CA5A0C" w:rsidP="00CA5A0C">
      <w:r w:rsidRPr="00CA5A0C">
        <w:t>Environmental policy exhibits identical dynamics. Voluntary targets systematically undershoot because compliance is optional within payoff structures that reward extraction. When extraction generates profit and restoration generates cost, rational actors extract until constrained by binding regulation—and invest in loosening those constraints. Carbon pricing without complementary institutional change faces political economy barriers: concentrated producer interests outweigh diffuse consumer interests, leading to exemptions, offsets, and weakening amendments (Lohmann, 2010). Protected areas without enforcement become "paper parks" where formal designation occurs but extraction continues—the gradient (profit from use) dominates the symbol (protection status).</w:t>
      </w:r>
    </w:p>
    <w:p w14:paraId="560A33B1" w14:textId="77777777" w:rsidR="00CA5A0C" w:rsidRPr="00CA5A0C" w:rsidRDefault="00CA5A0C" w:rsidP="00CA5A0C">
      <w:r w:rsidRPr="00CA5A0C">
        <w:t>The Paris Agreement exemplifies gradient-insensitive reform. Voluntary nationally determined contributions allow countries to set their own targets and timelines, with no binding enforcement mechanism. Predictably, aggregate commitments fall short of stated temperature goals, implementation lags commitments, and revision timelines ensure perpetual insufficiency (Rogelj et al., 2016). The structure cannot succeed because it applies moral force u(t) against unchanged extraction gradient -</w:t>
      </w:r>
      <w:r w:rsidRPr="00CA5A0C">
        <w:rPr>
          <w:rFonts w:ascii="Cambria Math" w:hAnsi="Cambria Math" w:cs="Cambria Math"/>
        </w:rPr>
        <w:t>∇</w:t>
      </w:r>
      <w:r w:rsidRPr="00CA5A0C">
        <w:t>V(x). When extraction remains profitable and consequence delay ensures limited feedback, nations optimize within the true incentive structure rather than stated aspirations.</w:t>
      </w:r>
    </w:p>
    <w:p w14:paraId="606DEC62" w14:textId="77777777" w:rsidR="00CA5A0C" w:rsidRPr="00CA5A0C" w:rsidRDefault="00CA5A0C" w:rsidP="00CA5A0C">
      <w:r w:rsidRPr="00CA5A0C">
        <w:t>Educational reform shows the same signature. Curriculum revisions without assessment changes produce teaching to the test: rational educator response to incentive structures that reward measured outcomes over unmeasured learning (Koretz, 2017). Professional development without accountability reforms yields performance theater: compliance with form while maintaining substance. Technology adoption without pedagogical transformation creates expensive traditionalism where new tools serve old models. The pattern is thermodynamic: changed content (u(t)) fighting against unchanged accountability structure (-</w:t>
      </w:r>
      <w:r w:rsidRPr="00CA5A0C">
        <w:rPr>
          <w:rFonts w:ascii="Cambria Math" w:hAnsi="Cambria Math" w:cs="Cambria Math"/>
        </w:rPr>
        <w:t>∇</w:t>
      </w:r>
      <w:r w:rsidRPr="00CA5A0C">
        <w:t>V(x)) produces transient compliance followed by reversion when pressure relaxes.</w:t>
      </w:r>
    </w:p>
    <w:p w14:paraId="741258B2" w14:textId="77777777" w:rsidR="00CA5A0C" w:rsidRPr="00CA5A0C" w:rsidRDefault="00CA5A0C" w:rsidP="00CA5A0C">
      <w:r w:rsidRPr="00CA5A0C">
        <w:t>The especially revealing cases involve reform champions who maintain change through personal force, then watch it collapse upon departure. Their presence provided continuous u(t); their absence allowed relaxation to -</w:t>
      </w:r>
      <w:r w:rsidRPr="00CA5A0C">
        <w:rPr>
          <w:rFonts w:ascii="Cambria Math" w:hAnsi="Cambria Math" w:cs="Cambria Math"/>
        </w:rPr>
        <w:t>∇</w:t>
      </w:r>
      <w:r w:rsidRPr="00CA5A0C">
        <w:t>V(x). The failure wasn't insufficient effort or inadequate vision but thermodynamic impossibility: no individual can permanently overcome systemic gradient through personal exertion. The system returns to its attractor not through resistance to change but through optimization within unchanged incentive topology (Tyack &amp; Cuban, 1995).</w:t>
      </w:r>
    </w:p>
    <w:p w14:paraId="7EE1907B" w14:textId="77777777" w:rsidR="00CA5A0C" w:rsidRPr="00CA5A0C" w:rsidRDefault="00CA5A0C" w:rsidP="00CA5A0C">
      <w:r w:rsidRPr="00CA5A0C">
        <w:t>Healthcare reform completes the pattern. Quality metrics without payment reform enable metric gaming: teaching to the test in medical context. Coordination mandates without integration funding create administrative burden that degrades rather than improves care delivery. Patient-centered rhetoric without power redistribution maintains paternalism under new vocabulary. Each intervention applies force u(t) against gradient -</w:t>
      </w:r>
      <w:r w:rsidRPr="00CA5A0C">
        <w:rPr>
          <w:rFonts w:ascii="Cambria Math" w:hAnsi="Cambria Math" w:cs="Cambria Math"/>
        </w:rPr>
        <w:t>∇</w:t>
      </w:r>
      <w:r w:rsidRPr="00CA5A0C">
        <w:t>V(x) defined by throughput maximization, liability minimization, and specialty fragmentation (Berwick, 2003; Mannion &amp; Braithwaite, 2012).</w:t>
      </w:r>
    </w:p>
    <w:p w14:paraId="2E70CD93" w14:textId="77777777" w:rsidR="00CA5A0C" w:rsidRPr="00CA5A0C" w:rsidRDefault="00CA5A0C" w:rsidP="00CA5A0C">
      <w:r w:rsidRPr="00CA5A0C">
        <w:t>The consistent failure across domains—institutional, environmental, educational, healthcare—reveals that we are not observing separate problems requiring separate solutions but single principle manifesting in multiple contexts. The Default Gradient Law is domain-independent because thermodynamics is domain-independent. Any organized system faces the same fundamental asymmetry: disorder emerges automatically while order requires work. Reform that fights this asymmetry rather than redirecting it faces thermodynamic necessity, not merely institutional resistance.</w:t>
      </w:r>
    </w:p>
    <w:p w14:paraId="388B42DD" w14:textId="77777777" w:rsidR="00CA5A0C" w:rsidRPr="00CA5A0C" w:rsidRDefault="00CA5A0C" w:rsidP="00CA5A0C">
      <w:r w:rsidRPr="00CA5A0C">
        <w:br w:type="page"/>
      </w:r>
    </w:p>
    <w:p w14:paraId="5190F68B" w14:textId="77777777" w:rsidR="00CA5A0C" w:rsidRPr="00CA5A0C" w:rsidRDefault="00CA5A0C" w:rsidP="00CA5A0C">
      <w:pPr>
        <w:rPr>
          <w:b/>
          <w:bCs/>
        </w:rPr>
      </w:pPr>
      <w:r w:rsidRPr="00CA5A0C">
        <w:rPr>
          <w:b/>
          <w:bCs/>
        </w:rPr>
        <w:t>2.6.3 Four Fallacies: Why Conventional Wisdom Violates the Law</w:t>
      </w:r>
    </w:p>
    <w:p w14:paraId="414F1FAB" w14:textId="77777777" w:rsidR="00CA5A0C" w:rsidRPr="00CA5A0C" w:rsidRDefault="00CA5A0C" w:rsidP="00CA5A0C">
      <w:r w:rsidRPr="00CA5A0C">
        <w:t>Understanding why the Default Gradient Law is systematically violated requires examining the fallacies that make gradient-insensitive reform appear plausible. These are not mere mistakes but conceptual frameworks that fundamentally misunderstand thermodynamic constraints on system change. Each fallacy assumes that some mechanism—coordination, education, ethics, or regulation—can permanently overcome gradients without changing them. Each assumption is thermodynamically impossible.</w:t>
      </w:r>
    </w:p>
    <w:p w14:paraId="137EAF8D" w14:textId="77777777" w:rsidR="00CA5A0C" w:rsidRPr="00CA5A0C" w:rsidRDefault="00CA5A0C" w:rsidP="00CA5A0C">
      <w:r w:rsidRPr="00CA5A0C">
        <w:t>The Coordination Fallacy assumes that continuous coordinated effort can maintain order indefinitely. The assumption appears reasonable: successful collective action exists, organizations persist, institutions function. But this observation mistakes achieved coordination for sustainable coordination. The critical question is not whether coordination can produce order temporarily but whether coordination can be sustained permanently against thermodynamic gradient.</w:t>
      </w:r>
    </w:p>
    <w:p w14:paraId="7E21722F" w14:textId="77777777" w:rsidR="00CA5A0C" w:rsidRPr="00CA5A0C" w:rsidRDefault="00CA5A0C" w:rsidP="00CA5A0C">
      <w:r w:rsidRPr="00CA5A0C">
        <w:t>The answer is thermodynamically determined: no. Coordination itself requires energy—communication overhead, monitoring costs, incentive alignment, conflict resolution. These costs must be paid continuously from available resource flows. When the system being coordinated produces less value than coordination consumes, the configuration is thermodynamically unsustainable. More fundamentally, coordination mechanisms themselves face entropic pressures: communication channels degrade, monitoring becomes captured, incentives drift, and conflicts accumulate. The coordinators need coordination.</w:t>
      </w:r>
    </w:p>
    <w:p w14:paraId="64267D97" w14:textId="77777777" w:rsidR="00CA5A0C" w:rsidRPr="00CA5A0C" w:rsidRDefault="00CA5A0C" w:rsidP="00CA5A0C">
      <w:r w:rsidRPr="00CA5A0C">
        <w:t>Reform that depends on permanent vigilance therefore faces fundamental impossibility. Early success reflects high u(t) from reform champions. But champions age, attention shifts, and resources redirect. As u(t) → 0, the system relaxes to -</w:t>
      </w:r>
      <w:r w:rsidRPr="00CA5A0C">
        <w:rPr>
          <w:rFonts w:ascii="Cambria Math" w:hAnsi="Cambria Math" w:cs="Cambria Math"/>
        </w:rPr>
        <w:t>∇</w:t>
      </w:r>
      <w:r w:rsidRPr="00CA5A0C">
        <w:t>V(x). The reform succeeds only during active defense and fails when defense ceases</w:t>
      </w:r>
      <w:r w:rsidRPr="00CA5A0C">
        <w:rPr>
          <w:rFonts w:cs="Arial"/>
        </w:rPr>
        <w:t>—</w:t>
      </w:r>
      <w:r w:rsidRPr="00CA5A0C">
        <w:t>not because defenders lacked commitment but because thermodynamics permits no perpetual motion. No system can be sustained through continuous effort against its natural gradient.</w:t>
      </w:r>
    </w:p>
    <w:p w14:paraId="33AD0843" w14:textId="77777777" w:rsidR="00CA5A0C" w:rsidRPr="00CA5A0C" w:rsidRDefault="00CA5A0C" w:rsidP="00CA5A0C">
      <w:r w:rsidRPr="00CA5A0C">
        <w:t xml:space="preserve">The Education Fallacy assumes that information changes behavior regardless of incentive structure. This assumption pervades policy: climate communication campaigns, health education, financial literacy programs, civic education. The logic appears sound—ignorance causes </w:t>
      </w:r>
      <w:proofErr w:type="gramStart"/>
      <w:r w:rsidRPr="00CA5A0C">
        <w:t>dysfunction,</w:t>
      </w:r>
      <w:proofErr w:type="gramEnd"/>
      <w:r w:rsidRPr="00CA5A0C">
        <w:t xml:space="preserve"> therefore knowledge produces function. But this conflates necessary and sufficient conditions. Information is necessary for optimal choice but insufficient when incentives remain misaligned.</w:t>
      </w:r>
    </w:p>
    <w:p w14:paraId="1022B63A" w14:textId="77777777" w:rsidR="00CA5A0C" w:rsidRPr="00CA5A0C" w:rsidRDefault="00CA5A0C" w:rsidP="00CA5A0C">
      <w:r w:rsidRPr="00CA5A0C">
        <w:t xml:space="preserve">The empirical record is decisive. Decades of climate education produce populations that understand greenhouse effects but drive SUVs. Health information campaigns increase knowledge while obesity rates rise. Financial literacy programs teach concepts that participants ignore under economic pressure. The pattern reveals not inadequate education but inadequate theory: knowledge without aligned incentives produces knowing-doing gaps where aware actors still optimize within unchanged gradients (Ajzen, 1991; </w:t>
      </w:r>
      <w:proofErr w:type="spellStart"/>
      <w:r w:rsidRPr="00CA5A0C">
        <w:t>Kollmuss</w:t>
      </w:r>
      <w:proofErr w:type="spellEnd"/>
      <w:r w:rsidRPr="00CA5A0C">
        <w:t xml:space="preserve"> &amp; Agyeman, 2002).</w:t>
      </w:r>
    </w:p>
    <w:p w14:paraId="1EB59847" w14:textId="77777777" w:rsidR="00CA5A0C" w:rsidRPr="00CA5A0C" w:rsidRDefault="00CA5A0C" w:rsidP="00CA5A0C">
      <w:r w:rsidRPr="00CA5A0C">
        <w:t>The mechanism is straightforward. When behavior B produces immediate local benefit but delayed diffuse cost, rational actors choose B regardless of understanding the cost. Information enters the optimization but doesn't override the payoff structure. Education changes the constraint set (what agents know is possible) without changing the objective function (what generates reward). Agents therefore optimize more effectively within unchanged incentives, potentially accelerating dysfunction. Knowledge without payoff realignment produces sophisticated optimization of dysfunctional behavior.</w:t>
      </w:r>
    </w:p>
    <w:p w14:paraId="379FA107" w14:textId="77777777" w:rsidR="00CA5A0C" w:rsidRPr="00CA5A0C" w:rsidRDefault="00CA5A0C" w:rsidP="00CA5A0C">
      <w:r w:rsidRPr="00CA5A0C">
        <w:t>The Ethics Fallacy assumes moral exhortation can overcome structural pressures. This assumption underlies corporate social responsibility campaigns, professional ethics codes, sustainability pledges, and virtue signaling across domains. The implicit model treats ethical commitment as constraint on optimization: agents maximize utility subject to moral bounds. But this inverts causality. Structure determines which behaviors survive and propagate; ethics operates only within structural constraints.</w:t>
      </w:r>
    </w:p>
    <w:p w14:paraId="01F15D18" w14:textId="77777777" w:rsidR="00CA5A0C" w:rsidRPr="00CA5A0C" w:rsidRDefault="00CA5A0C" w:rsidP="00CA5A0C">
      <w:r w:rsidRPr="00CA5A0C">
        <w:t>The evolutionary logic is inexorable. In competitive environments where survival depends on relative performance, agents who sacrifice payoff for principle are selected out by agents who optimize without constraint. This doesn't require universal selfishness—just differential selection. Ethical actors who absorb costs that competitors externalize experience competitive disadvantage, lose market share, and exit. Unethical actors who exploit structural opportunities grow, reinvest, and dominate. The population composition shifts toward whatever strategy the structure rewards, regardless of individual preferences (Frank et al., 1993; Bowles, 2016).</w:t>
      </w:r>
    </w:p>
    <w:p w14:paraId="238D0324" w14:textId="77777777" w:rsidR="00CA5A0C" w:rsidRPr="00CA5A0C" w:rsidRDefault="00CA5A0C" w:rsidP="00CA5A0C">
      <w:r w:rsidRPr="00CA5A0C">
        <w:t>This explains the frustrating persistence of known harms despite widespread disapproval. Virtually everyone opposes child labor, environmental destruction, exploitative employment, deceptive marketing. Yet these practices persist because structural incentives select for them. Firms that adopt ethical constraints face cost disadvantages against firms that don't. Consumers face information asymmetries that prevent effective discrimination. Regulators face capture pressures and jurisdictional arbitrage. Ethics within structure produces competitive disadvantage; only structural change allows ethics to become viable strategy. Moral force u(t) cannot permanently overcome extraction gradient -</w:t>
      </w:r>
      <w:r w:rsidRPr="00CA5A0C">
        <w:rPr>
          <w:rFonts w:ascii="Cambria Math" w:hAnsi="Cambria Math" w:cs="Cambria Math"/>
        </w:rPr>
        <w:t>∇</w:t>
      </w:r>
      <w:r w:rsidRPr="00CA5A0C">
        <w:t>V(x).</w:t>
      </w:r>
    </w:p>
    <w:p w14:paraId="73BE3001" w14:textId="77777777" w:rsidR="00CA5A0C" w:rsidRPr="00CA5A0C" w:rsidRDefault="00CA5A0C" w:rsidP="00CA5A0C">
      <w:r w:rsidRPr="00CA5A0C">
        <w:t>The Regulation Fallacy assumes rules can impose order without changing underlying payoff structures. This is perhaps the most seductive fallacy because regulation demonstrably works in many contexts. Traffic laws reduce accidents, building codes improve safety, securities regulation constrains fraud. But successful regulation shares a common feature: rules align with rather than fight against underlying gradients. When rules oppose gradients, they face optimization pressure that leads to systematic evasion.</w:t>
      </w:r>
    </w:p>
    <w:p w14:paraId="6244827C" w14:textId="77777777" w:rsidR="00CA5A0C" w:rsidRPr="00CA5A0C" w:rsidRDefault="00CA5A0C" w:rsidP="00CA5A0C">
      <w:r w:rsidRPr="00CA5A0C">
        <w:t>The mechanism follows directly from rational choice within constraints. Agents facing regulation compare compliance costs against violation benefits discounted by detection probability and penalty severity. When rules fight against substantial payoffs, rational actors invest in circumvention: lobbying for exemptions, regulatory arbitrage across jurisdictions, letter-not-spirit compliance, sophisticated evasion strategies. The investment scales with stakes—high-value violations generate correspondingly sophisticated evasion (Kane, 1977; Rajan &amp; Zingales, 2003).</w:t>
      </w:r>
    </w:p>
    <w:p w14:paraId="794EAD14" w14:textId="77777777" w:rsidR="00CA5A0C" w:rsidRPr="00CA5A0C" w:rsidRDefault="00CA5A0C" w:rsidP="00CA5A0C">
      <w:r w:rsidRPr="00CA5A0C">
        <w:t>The result is predictable deterioration. Initial regulation may succeed when surprise prevents optimization. But agents learn, strategies evolve, and workarounds accumulate. Regulatory agencies face information disadvantages, resource constraints, and capture pressures. The regulated entities have stronger incentives and better information than regulators. Over time, the gap between regulatory intent and actual practice widens as optimization pressures exploit every ambiguity, loophole, and enforcement limitation. Rules without payoff change produce costly evasion rather than behavioral change.</w:t>
      </w:r>
    </w:p>
    <w:p w14:paraId="5A52D6E5" w14:textId="77777777" w:rsidR="00CA5A0C" w:rsidRPr="00CA5A0C" w:rsidRDefault="00CA5A0C" w:rsidP="00CA5A0C">
      <w:r w:rsidRPr="00CA5A0C">
        <w:t>These four fallacies—coordination, education, ethics, regulation—share a common error: attempting to apply force u(t) against gradient -</w:t>
      </w:r>
      <w:r w:rsidRPr="00CA5A0C">
        <w:rPr>
          <w:rFonts w:ascii="Cambria Math" w:hAnsi="Cambria Math" w:cs="Cambria Math"/>
        </w:rPr>
        <w:t>∇</w:t>
      </w:r>
      <w:r w:rsidRPr="00CA5A0C">
        <w:t>V(x) as sustainable strategy. Each mechanism can produce temporary success while active force persists. Each faces thermodynamic necessity when force relaxes. The Default Gradient Law doesn't claim these approaches never work; it claims they cannot work permanently against substantial gradients. Understanding this distinction transforms reform strategy from "how to apply more force" to "how to change which direction is downhill."</w:t>
      </w:r>
    </w:p>
    <w:p w14:paraId="370AE822" w14:textId="77777777" w:rsidR="00CA5A0C" w:rsidRPr="00CA5A0C" w:rsidRDefault="00CA5A0C" w:rsidP="00CA5A0C">
      <w:r w:rsidRPr="00CA5A0C">
        <w:br w:type="page"/>
      </w:r>
    </w:p>
    <w:p w14:paraId="38782B21" w14:textId="77777777" w:rsidR="00CA5A0C" w:rsidRPr="00CA5A0C" w:rsidRDefault="00CA5A0C" w:rsidP="00CA5A0C">
      <w:pPr>
        <w:rPr>
          <w:b/>
          <w:bCs/>
        </w:rPr>
      </w:pPr>
      <w:r w:rsidRPr="00CA5A0C">
        <w:rPr>
          <w:b/>
          <w:bCs/>
        </w:rPr>
        <w:t>2.6.4 Design Implications: Necessary Conditions for Sustainable Reform</w:t>
      </w:r>
    </w:p>
    <w:p w14:paraId="751B7577" w14:textId="77777777" w:rsidR="00CA5A0C" w:rsidRPr="00CA5A0C" w:rsidRDefault="00CA5A0C" w:rsidP="00CA5A0C">
      <w:r w:rsidRPr="00CA5A0C">
        <w:t>The Default Gradient Law establishes necessary conditions for reform that survives beyond the intervention period. These conditions follow from thermodynamic constraints rather than pragmatic considerations. Violations don't merely reduce effectiveness—they guarantee eventual failure regardless of resources or commitment.</w:t>
      </w:r>
    </w:p>
    <w:p w14:paraId="39764653" w14:textId="77777777" w:rsidR="00CA5A0C" w:rsidRPr="00CA5A0C" w:rsidRDefault="00CA5A0C" w:rsidP="00CA5A0C">
      <w:r w:rsidRPr="00CA5A0C">
        <w:t>First, change must be intrinsic—built into system operation rather than imposed from outside. Intrinsic mechanisms operate automatically as part of system function; imposed mechanisms require continuous enforcement. The distinction parallels the difference between negative feedback (system-generated correction) and external control (imposed correction). Negative feedback persists because it emerges from system dynamics; external control ceases when the controller stops acting. Sustainable reform embeds correction mechanisms into the system's own operation.</w:t>
      </w:r>
    </w:p>
    <w:p w14:paraId="0974ADCE" w14:textId="77777777" w:rsidR="00CA5A0C" w:rsidRPr="00CA5A0C" w:rsidRDefault="00CA5A0C" w:rsidP="00CA5A0C">
      <w:r w:rsidRPr="00CA5A0C">
        <w:t xml:space="preserve">Second, change must be automatic—operating without sustained coordination effort. Automatic mechanisms trigger through local conditions rather than centralized decision-making. They operate whether or not anyone is paying attention, </w:t>
      </w:r>
      <w:proofErr w:type="spellStart"/>
      <w:r w:rsidRPr="00CA5A0C">
        <w:t>surviv</w:t>
      </w:r>
      <w:proofErr w:type="spellEnd"/>
      <w:r w:rsidRPr="00CA5A0C">
        <w:t xml:space="preserve"> leadership transitions and attention cycles. Market prices exemplify automatic coordination: they aggregate dispersed information and guide resource allocation without requiring central coordination. Sustainable reform creates similar automatic mechanisms where desired behavior emerges from local optimization within restructured incentives.</w:t>
      </w:r>
    </w:p>
    <w:p w14:paraId="5C3C6E88" w14:textId="77777777" w:rsidR="00CA5A0C" w:rsidRPr="00CA5A0C" w:rsidRDefault="00CA5A0C" w:rsidP="00CA5A0C">
      <w:r w:rsidRPr="00CA5A0C">
        <w:t>Third, change must alter payoffs—making desired behavior locally rational for self-interested agents. This is the mechanism that changes -</w:t>
      </w:r>
      <w:r w:rsidRPr="00CA5A0C">
        <w:rPr>
          <w:rFonts w:ascii="Cambria Math" w:hAnsi="Cambria Math" w:cs="Cambria Math"/>
        </w:rPr>
        <w:t>∇</w:t>
      </w:r>
      <w:r w:rsidRPr="00CA5A0C">
        <w:t>V(x) itself. When reformed payoff structures make extraction costly and restoration beneficial, agents optimizing their own outcomes produce collectively beneficial patterns. The reform doesn't fight against self-interest; it redirects self-interest toward desired outcomes. This distinction determines whether reform requires permanent enforcement or becomes self-sustaining through rational compliance.</w:t>
      </w:r>
    </w:p>
    <w:p w14:paraId="1569482D" w14:textId="77777777" w:rsidR="00CA5A0C" w:rsidRPr="00CA5A0C" w:rsidRDefault="00CA5A0C" w:rsidP="00CA5A0C">
      <w:r w:rsidRPr="00CA5A0C">
        <w:t>Fourth, change must be robust—resistant to gaming, capture, and erosion over time. Robustness requires multiple independent verification, opacity penalties, and anti-substitution rules. Single metrics get gamed through Goodhart dynamics. Voluntary commitments face free-rider problems. Complex rules create arbitrage opportunities. Robust reform anticipates optimization pressure and designs systems that resist degradation even when actors aggressively seek loopholes.</w:t>
      </w:r>
    </w:p>
    <w:p w14:paraId="0302A7FD" w14:textId="77777777" w:rsidR="00CA5A0C" w:rsidRPr="00CA5A0C" w:rsidRDefault="00CA5A0C" w:rsidP="00CA5A0C">
      <w:r w:rsidRPr="00CA5A0C">
        <w:t>These four conditions are necessary but not sufficient. A reform might satisfy all four and still fail if single-domain intervention doesn't address cross-domain feedbacks. This is where the prophylactic integrity axiom enters: sufficiency requires multi-domain alignment such that N–C–E vertices mutually stabilize the new configuration. But no reform violating these four conditions can succeed sustainably, regardless of multi-domain coordination. They are thermodynamic prerequisites.</w:t>
      </w:r>
    </w:p>
    <w:p w14:paraId="17F34CE2" w14:textId="77777777" w:rsidR="00CA5A0C" w:rsidRPr="00CA5A0C" w:rsidRDefault="00CA5A0C" w:rsidP="00CA5A0C">
      <w:r w:rsidRPr="00CA5A0C">
        <w:t>Table 1 contrasts reform approaches by their satisfaction of these necessary conditions:</w:t>
      </w:r>
    </w:p>
    <w:tbl>
      <w:tblPr>
        <w:tblStyle w:val="LightGrid-Accent1"/>
        <w:tblW w:w="0" w:type="auto"/>
        <w:tblLook w:val="04A0" w:firstRow="1" w:lastRow="0" w:firstColumn="1" w:lastColumn="0" w:noHBand="0" w:noVBand="1"/>
      </w:tblPr>
      <w:tblGrid>
        <w:gridCol w:w="2047"/>
        <w:gridCol w:w="2027"/>
        <w:gridCol w:w="2471"/>
        <w:gridCol w:w="2075"/>
      </w:tblGrid>
      <w:tr w:rsidR="00CA5A0C" w:rsidRPr="00CA5A0C" w14:paraId="75848971" w14:textId="77777777" w:rsidTr="00DF01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BD947E1"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Approach</w:t>
            </w:r>
          </w:p>
        </w:tc>
        <w:tc>
          <w:tcPr>
            <w:tcW w:w="2160" w:type="dxa"/>
          </w:tcPr>
          <w:p w14:paraId="09A7620D" w14:textId="77777777" w:rsidR="00CA5A0C" w:rsidRPr="00CA5A0C" w:rsidRDefault="00CA5A0C" w:rsidP="00CA5A0C">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theme="minorBidi"/>
              </w:rPr>
            </w:pPr>
            <w:r w:rsidRPr="00CA5A0C">
              <w:rPr>
                <w:rFonts w:eastAsiaTheme="minorEastAsia" w:cstheme="minorBidi"/>
              </w:rPr>
              <w:t>Changes Gradient?</w:t>
            </w:r>
          </w:p>
        </w:tc>
        <w:tc>
          <w:tcPr>
            <w:tcW w:w="2160" w:type="dxa"/>
          </w:tcPr>
          <w:p w14:paraId="756941FE" w14:textId="77777777" w:rsidR="00CA5A0C" w:rsidRPr="00CA5A0C" w:rsidRDefault="00CA5A0C" w:rsidP="00CA5A0C">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theme="minorBidi"/>
              </w:rPr>
            </w:pPr>
            <w:r w:rsidRPr="00CA5A0C">
              <w:rPr>
                <w:rFonts w:eastAsiaTheme="minorEastAsia" w:cstheme="minorBidi"/>
              </w:rPr>
              <w:t>Thermodynamically Stable?</w:t>
            </w:r>
          </w:p>
        </w:tc>
        <w:tc>
          <w:tcPr>
            <w:tcW w:w="2160" w:type="dxa"/>
          </w:tcPr>
          <w:p w14:paraId="6215B318" w14:textId="77777777" w:rsidR="00CA5A0C" w:rsidRPr="00CA5A0C" w:rsidRDefault="00CA5A0C" w:rsidP="00CA5A0C">
            <w:pPr>
              <w:spacing w:after="200" w:line="276" w:lineRule="auto"/>
              <w:cnfStyle w:val="100000000000" w:firstRow="1" w:lastRow="0" w:firstColumn="0" w:lastColumn="0" w:oddVBand="0" w:evenVBand="0" w:oddHBand="0" w:evenHBand="0" w:firstRowFirstColumn="0" w:firstRowLastColumn="0" w:lastRowFirstColumn="0" w:lastRowLastColumn="0"/>
              <w:rPr>
                <w:rFonts w:eastAsiaTheme="minorEastAsia" w:cstheme="minorBidi"/>
              </w:rPr>
            </w:pPr>
            <w:r w:rsidRPr="00CA5A0C">
              <w:rPr>
                <w:rFonts w:eastAsiaTheme="minorEastAsia" w:cstheme="minorBidi"/>
              </w:rPr>
              <w:t>Expected Trajectory</w:t>
            </w:r>
          </w:p>
        </w:tc>
      </w:tr>
      <w:tr w:rsidR="00CA5A0C" w:rsidRPr="00CA5A0C" w14:paraId="4A05F4DA" w14:textId="77777777" w:rsidTr="00DF0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8999933"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Education campaigns</w:t>
            </w:r>
          </w:p>
        </w:tc>
        <w:tc>
          <w:tcPr>
            <w:tcW w:w="2160" w:type="dxa"/>
          </w:tcPr>
          <w:p w14:paraId="3797421F"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No</w:t>
            </w:r>
          </w:p>
        </w:tc>
        <w:tc>
          <w:tcPr>
            <w:tcW w:w="2160" w:type="dxa"/>
          </w:tcPr>
          <w:p w14:paraId="40D07E32"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No</w:t>
            </w:r>
          </w:p>
        </w:tc>
        <w:tc>
          <w:tcPr>
            <w:tcW w:w="2160" w:type="dxa"/>
          </w:tcPr>
          <w:p w14:paraId="19862353"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Temporary awareness gains, behavioral reversion</w:t>
            </w:r>
          </w:p>
        </w:tc>
      </w:tr>
      <w:tr w:rsidR="00CA5A0C" w:rsidRPr="00CA5A0C" w14:paraId="27931150" w14:textId="77777777" w:rsidTr="00DF01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F36E5"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Imposed regulation</w:t>
            </w:r>
          </w:p>
        </w:tc>
        <w:tc>
          <w:tcPr>
            <w:tcW w:w="2160" w:type="dxa"/>
          </w:tcPr>
          <w:p w14:paraId="4E39D804"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Partial</w:t>
            </w:r>
          </w:p>
        </w:tc>
        <w:tc>
          <w:tcPr>
            <w:tcW w:w="2160" w:type="dxa"/>
          </w:tcPr>
          <w:p w14:paraId="1C20EFB7"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No</w:t>
            </w:r>
          </w:p>
        </w:tc>
        <w:tc>
          <w:tcPr>
            <w:tcW w:w="2160" w:type="dxa"/>
          </w:tcPr>
          <w:p w14:paraId="3699064A"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Initial compliance, gaming emergence, capture</w:t>
            </w:r>
          </w:p>
        </w:tc>
      </w:tr>
      <w:tr w:rsidR="00CA5A0C" w:rsidRPr="00CA5A0C" w14:paraId="465F59E4" w14:textId="77777777" w:rsidTr="00DF0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0BE807"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Ethics codes</w:t>
            </w:r>
          </w:p>
        </w:tc>
        <w:tc>
          <w:tcPr>
            <w:tcW w:w="2160" w:type="dxa"/>
          </w:tcPr>
          <w:p w14:paraId="73D136B2"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No</w:t>
            </w:r>
          </w:p>
        </w:tc>
        <w:tc>
          <w:tcPr>
            <w:tcW w:w="2160" w:type="dxa"/>
          </w:tcPr>
          <w:p w14:paraId="3C2C48EB"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No</w:t>
            </w:r>
          </w:p>
        </w:tc>
        <w:tc>
          <w:tcPr>
            <w:tcW w:w="2160" w:type="dxa"/>
          </w:tcPr>
          <w:p w14:paraId="09F63BC3"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Shallow compliance, competitive disadvantage</w:t>
            </w:r>
          </w:p>
        </w:tc>
      </w:tr>
      <w:tr w:rsidR="00CA5A0C" w:rsidRPr="00CA5A0C" w14:paraId="4D2A03C5" w14:textId="77777777" w:rsidTr="00DF01A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08668E"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Incentive alignment</w:t>
            </w:r>
          </w:p>
        </w:tc>
        <w:tc>
          <w:tcPr>
            <w:tcW w:w="2160" w:type="dxa"/>
          </w:tcPr>
          <w:p w14:paraId="0453308E"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Yes</w:t>
            </w:r>
          </w:p>
        </w:tc>
        <w:tc>
          <w:tcPr>
            <w:tcW w:w="2160" w:type="dxa"/>
          </w:tcPr>
          <w:p w14:paraId="067A5855"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Conditional</w:t>
            </w:r>
          </w:p>
        </w:tc>
        <w:tc>
          <w:tcPr>
            <w:tcW w:w="2160" w:type="dxa"/>
          </w:tcPr>
          <w:p w14:paraId="1E9B76D1" w14:textId="77777777" w:rsidR="00CA5A0C" w:rsidRPr="00CA5A0C" w:rsidRDefault="00CA5A0C" w:rsidP="00CA5A0C">
            <w:pPr>
              <w:spacing w:after="200" w:line="276" w:lineRule="auto"/>
              <w:cnfStyle w:val="000000010000" w:firstRow="0" w:lastRow="0" w:firstColumn="0" w:lastColumn="0" w:oddVBand="0" w:evenVBand="0" w:oddHBand="0" w:evenHBand="1" w:firstRowFirstColumn="0" w:firstRowLastColumn="0" w:lastRowFirstColumn="0" w:lastRowLastColumn="0"/>
            </w:pPr>
            <w:r w:rsidRPr="00CA5A0C">
              <w:t>Sustained if robust, degraded if gameable</w:t>
            </w:r>
          </w:p>
        </w:tc>
      </w:tr>
      <w:tr w:rsidR="00CA5A0C" w:rsidRPr="00CA5A0C" w14:paraId="73B606F1" w14:textId="77777777" w:rsidTr="00DF01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FDF8038" w14:textId="77777777" w:rsidR="00CA5A0C" w:rsidRPr="00CA5A0C" w:rsidRDefault="00CA5A0C" w:rsidP="00CA5A0C">
            <w:pPr>
              <w:spacing w:after="200" w:line="276" w:lineRule="auto"/>
              <w:rPr>
                <w:rFonts w:eastAsiaTheme="minorEastAsia" w:cstheme="minorBidi"/>
              </w:rPr>
            </w:pPr>
            <w:r w:rsidRPr="00CA5A0C">
              <w:rPr>
                <w:rFonts w:eastAsiaTheme="minorEastAsia" w:cstheme="minorBidi"/>
              </w:rPr>
              <w:t>Symbolic redesign</w:t>
            </w:r>
          </w:p>
        </w:tc>
        <w:tc>
          <w:tcPr>
            <w:tcW w:w="2160" w:type="dxa"/>
          </w:tcPr>
          <w:p w14:paraId="1C46D484"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Yes</w:t>
            </w:r>
          </w:p>
        </w:tc>
        <w:tc>
          <w:tcPr>
            <w:tcW w:w="2160" w:type="dxa"/>
          </w:tcPr>
          <w:p w14:paraId="64537C34"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Yes (if intrinsic)</w:t>
            </w:r>
          </w:p>
        </w:tc>
        <w:tc>
          <w:tcPr>
            <w:tcW w:w="2160" w:type="dxa"/>
          </w:tcPr>
          <w:p w14:paraId="71D0D631" w14:textId="77777777" w:rsidR="00CA5A0C" w:rsidRPr="00CA5A0C" w:rsidRDefault="00CA5A0C" w:rsidP="00CA5A0C">
            <w:pPr>
              <w:spacing w:after="200" w:line="276" w:lineRule="auto"/>
              <w:cnfStyle w:val="000000100000" w:firstRow="0" w:lastRow="0" w:firstColumn="0" w:lastColumn="0" w:oddVBand="0" w:evenVBand="0" w:oddHBand="1" w:evenHBand="0" w:firstRowFirstColumn="0" w:firstRowLastColumn="0" w:lastRowFirstColumn="0" w:lastRowLastColumn="0"/>
            </w:pPr>
            <w:r w:rsidRPr="00CA5A0C">
              <w:t>Self-maintaining through local optimization</w:t>
            </w:r>
          </w:p>
        </w:tc>
      </w:tr>
    </w:tbl>
    <w:p w14:paraId="2935302E" w14:textId="77777777" w:rsidR="00CA5A0C" w:rsidRPr="00CA5A0C" w:rsidRDefault="00CA5A0C" w:rsidP="00CA5A0C"/>
    <w:p w14:paraId="78862C73" w14:textId="77777777" w:rsidR="00CA5A0C" w:rsidRPr="00CA5A0C" w:rsidRDefault="00CA5A0C" w:rsidP="00CA5A0C">
      <w:r w:rsidRPr="00CA5A0C">
        <w:t>The table reveals systematic pattern: approaches that don't change gradients cannot achieve thermodynamic stability regardless of other features. Education and ethics provide knowledge and values but leave payoff structures unchanged. Regulation partially changes incentives through penalty risk but faces continuous gaming pressure. Only interventions that fundamentally restructure payoffs—making desired behavior locally optimal—can achieve self-sustaining stability. The sign-flip exemplifies this category: it changes the meaning of accumulation itself, inverting the optimization landscape.</w:t>
      </w:r>
    </w:p>
    <w:p w14:paraId="4E642C84" w14:textId="77777777" w:rsidR="00CA5A0C" w:rsidRPr="00CA5A0C" w:rsidRDefault="00CA5A0C" w:rsidP="00CA5A0C">
      <w:r w:rsidRPr="00CA5A0C">
        <w:br w:type="page"/>
      </w:r>
    </w:p>
    <w:p w14:paraId="740C9DCA" w14:textId="77777777" w:rsidR="00CA5A0C" w:rsidRPr="00CA5A0C" w:rsidRDefault="00CA5A0C" w:rsidP="00CA5A0C">
      <w:pPr>
        <w:rPr>
          <w:b/>
          <w:bCs/>
        </w:rPr>
      </w:pPr>
      <w:r w:rsidRPr="00CA5A0C">
        <w:rPr>
          <w:b/>
          <w:bCs/>
        </w:rPr>
        <w:t>2.6.5 The Sign-Flip as Gradient Inversion, Not Force Application</w:t>
      </w:r>
    </w:p>
    <w:p w14:paraId="230E466C" w14:textId="77777777" w:rsidR="00CA5A0C" w:rsidRPr="00CA5A0C" w:rsidRDefault="00CA5A0C" w:rsidP="00CA5A0C">
      <w:r w:rsidRPr="00CA5A0C">
        <w:t>The ecological debt currency exemplifies gradient change rather than force application—a distinction that proves conceptually subtle but operationally decisive. Most reform attempts apply compensating force u(t) against unchanged gradient -</w:t>
      </w:r>
      <w:r w:rsidRPr="00CA5A0C">
        <w:rPr>
          <w:rFonts w:ascii="Cambria Math" w:hAnsi="Cambria Math" w:cs="Cambria Math"/>
        </w:rPr>
        <w:t>∇</w:t>
      </w:r>
      <w:r w:rsidRPr="00CA5A0C">
        <w:t>V(x): regulations that penalize extraction, subsidies that reward conservation, campaigns that shame consumption. These interventions can succeed temporarily while force persists but face thermodynamic necessity when force relaxes. The sign-flip operates differently: it changes V(x) itself, redefining the optimization landscape so that extraction and restoration reverse their positions in the payoff hierarchy.</w:t>
      </w:r>
    </w:p>
    <w:p w14:paraId="75B05068" w14:textId="77777777" w:rsidR="00CA5A0C" w:rsidRPr="00CA5A0C" w:rsidRDefault="00CA5A0C" w:rsidP="00CA5A0C">
      <w:r w:rsidRPr="00CA5A0C">
        <w:t>Under current symbolic architecture—the profit-sign regime where σ = +1—the potential landscape V(x) exhibits a characteristic topology. Extraction generates profit, profit generates status, status generates social reward and expanded opportunity. This creates positive feedback: extraction → profit → more extraction. Simultaneously, restoration imposes cost, cost reduces competitive position, reduced position limits capacity for further investment. This creates negative feedback that dampens restoration efforts: restoration → cost → less restoration. The system naturally falls toward extraction and away from restoration because that is the thermodynamically downhill direction defined by how symbols translate to rewards.</w:t>
      </w:r>
    </w:p>
    <w:p w14:paraId="0809A84F" w14:textId="77777777" w:rsidR="00CA5A0C" w:rsidRPr="00CA5A0C" w:rsidRDefault="00CA5A0C" w:rsidP="00CA5A0C">
      <w:r w:rsidRPr="00CA5A0C">
        <w:t>The sign-flip inverts this topology. When currency represents ecological obligation rather than extractive entitlement, accumulation shifts from asset to liability. Extraction generates debt, debt generates constraint, constraint reduces option space and social position. The positive feedback reverses: extraction → debt → less extraction. Simultaneously, restoration retires debt, debt retirement expands option space, expanded options enable additional restoration capacity. The negative feedback becomes positive: restoration → freedom → more restoration. The system now naturally falls toward restoration and away from extraction—not because agents changed but because the optimization landscape inverted.</w:t>
      </w:r>
    </w:p>
    <w:p w14:paraId="758AA25B" w14:textId="77777777" w:rsidR="00CA5A0C" w:rsidRPr="00CA5A0C" w:rsidRDefault="00CA5A0C" w:rsidP="00CA5A0C">
      <w:r w:rsidRPr="00CA5A0C">
        <w:t xml:space="preserve">The contrast can be formalized through the sign parameter σ in coupling matrix A(σ) from Section 2.3. Under profit-sign (σ = +1), the matrix exhibits positive eigenvalues in extraction directions and negative eigenvalues in restoration directions—extraction is unstable attractor (positive feedback), restoration is stable </w:t>
      </w:r>
      <w:proofErr w:type="spellStart"/>
      <w:r w:rsidRPr="00CA5A0C">
        <w:t>repeller</w:t>
      </w:r>
      <w:proofErr w:type="spellEnd"/>
      <w:r w:rsidRPr="00CA5A0C">
        <w:t xml:space="preserve"> (negative feedback). Under debt-sign (σ = -1), eigenvalues invert: extraction becomes stable </w:t>
      </w:r>
      <w:proofErr w:type="spellStart"/>
      <w:r w:rsidRPr="00CA5A0C">
        <w:t>repeller</w:t>
      </w:r>
      <w:proofErr w:type="spellEnd"/>
      <w:r w:rsidRPr="00CA5A0C">
        <w:t>, restoration becomes unstable attractor. Same agents, same optimization algorithms, opposite system-level outcomes.</w:t>
      </w:r>
    </w:p>
    <w:p w14:paraId="62837E15" w14:textId="77777777" w:rsidR="00CA5A0C" w:rsidRPr="00CA5A0C" w:rsidRDefault="00CA5A0C" w:rsidP="00CA5A0C">
      <w:r w:rsidRPr="00CA5A0C">
        <w:t>This distinction—changing the field vs. applying force against the field—determines sustainability. Applied force requires continuous energy expenditure maintaining u(t) ≠ 0. Changed field requires only initial work establishing new V(x), after which the system maintains itself through local optimization. The difference parallels pushing a boulder uphill (requires continuous effort, fails when effort ceases) versus inverting the hill (requires work to invert, then boulder rolls downhill automatically).</w:t>
      </w:r>
    </w:p>
    <w:p w14:paraId="6988E3BD" w14:textId="77777777" w:rsidR="00CA5A0C" w:rsidRPr="00CA5A0C" w:rsidRDefault="00CA5A0C" w:rsidP="00CA5A0C">
      <w:r w:rsidRPr="00CA5A0C">
        <w:t>The sign-flip is thermodynamic judo: it uses the system's tendency to fall downhill but changes which direction is down. Agents still optimize selfishly, institutions still maximize throughput, and evolution still selects for fitness—but "fitness" now means minimal obligation rather than maximal extraction. The intervention doesn't fight against optimization pressure; it redirects optimization pressure toward desired outcomes. Sustainability becomes the attractor rather than the achievement requiring continuous effort against systemic drift.</w:t>
      </w:r>
    </w:p>
    <w:p w14:paraId="4395AA05" w14:textId="77777777" w:rsidR="00CA5A0C" w:rsidRPr="00CA5A0C" w:rsidRDefault="00CA5A0C" w:rsidP="00CA5A0C">
      <w:pPr>
        <w:rPr>
          <w:b/>
          <w:bCs/>
        </w:rPr>
      </w:pPr>
      <w:r w:rsidRPr="00CA5A0C">
        <w:rPr>
          <w:b/>
          <w:bCs/>
        </w:rPr>
        <w:t>2.6.6 Mathematical Formulation: Potential Landscapes and Reform Dynamics</w:t>
      </w:r>
    </w:p>
    <w:p w14:paraId="5FA84BEB" w14:textId="064CAFF2" w:rsidR="00CA5A0C" w:rsidRPr="00CA5A0C" w:rsidRDefault="00CA5A0C" w:rsidP="00CA5A0C">
      <w:r w:rsidRPr="00CA5A0C">
        <w:t xml:space="preserve">The distinction between gradient change and force application can be formalized through dynamical systems theory, providing precise mathematical foundation for claims about sustainable vs. unsustainable reform. Let system state </w:t>
      </w:r>
      <m:oMath>
        <m:r>
          <w:rPr>
            <w:rFonts w:ascii="Cambria Math" w:hAnsi="Cambria Math"/>
          </w:rPr>
          <m:t>x</m:t>
        </m:r>
        <m:d>
          <m:dPr>
            <m:ctrlPr>
              <w:rPr>
                <w:rFonts w:ascii="Cambria Math" w:hAnsi="Cambria Math"/>
                <w:i/>
              </w:rPr>
            </m:ctrlPr>
          </m:dPr>
          <m:e>
            <m:r>
              <w:rPr>
                <w:rFonts w:ascii="Cambria Math" w:hAnsi="Cambria Math"/>
              </w:rPr>
              <m:t>t</m:t>
            </m:r>
          </m:e>
        </m:d>
        <m:r>
          <w:rPr>
            <w:rFonts w:ascii="Cambria Math" w:hAnsi="Cambria Math" w:cs="Cambria Math"/>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CA5A0C">
        <w:t xml:space="preserve"> represent the coupled N</w:t>
      </w:r>
      <w:r w:rsidRPr="00CA5A0C">
        <w:rPr>
          <w:rFonts w:cs="Arial"/>
        </w:rPr>
        <w:t>–</w:t>
      </w:r>
      <w:r w:rsidRPr="00CA5A0C">
        <w:t>C</w:t>
      </w:r>
      <w:r w:rsidRPr="00CA5A0C">
        <w:rPr>
          <w:rFonts w:cs="Arial"/>
        </w:rPr>
        <w:t>–</w:t>
      </w:r>
      <w:r w:rsidRPr="00CA5A0C">
        <w:t>E configuration. System evolution follows:</w:t>
      </w:r>
    </w:p>
    <w:p w14:paraId="567568DC" w14:textId="110AEE2E" w:rsidR="00CA5A0C" w:rsidRPr="00CA5A0C" w:rsidRDefault="00777134" w:rsidP="00CA5A0C">
      <m:oMathPara>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 xml:space="preserve">- </m:t>
          </m:r>
          <m:r>
            <w:rPr>
              <w:rFonts w:ascii="Cambria Math" w:hAnsi="Cambria Math" w:cs="Arial"/>
            </w:rPr>
            <m:t>η</m:t>
          </m:r>
          <m:d>
            <m:dPr>
              <m:ctrlPr>
                <w:rPr>
                  <w:rFonts w:ascii="Cambria Math" w:hAnsi="Cambria Math"/>
                  <w:i/>
                </w:rPr>
              </m:ctrlPr>
            </m:dPr>
            <m:e>
              <m:r>
                <w:rPr>
                  <w:rFonts w:ascii="Cambria Math" w:hAnsi="Cambria Math"/>
                </w:rPr>
                <m:t>x</m:t>
              </m:r>
            </m:e>
          </m:d>
        </m:oMath>
      </m:oMathPara>
    </w:p>
    <w:p w14:paraId="7144AEBD" w14:textId="4FA07B18" w:rsidR="00CA5A0C" w:rsidRPr="00CA5A0C" w:rsidRDefault="00CA5A0C" w:rsidP="00CA5A0C">
      <w:r w:rsidRPr="00CA5A0C">
        <w:t xml:space="preserve">where </w:t>
      </w:r>
      <m:oMath>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w:t>
      </w:r>
      <m:oMath>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sup>
        </m:sSup>
        <m:r>
          <w:rPr>
            <w:rFonts w:ascii="Cambria Math" w:hAnsi="Cambria Math" w:cs="Arial"/>
          </w:rPr>
          <m:t>→</m:t>
        </m:r>
        <m:r>
          <w:rPr>
            <w:rFonts w:ascii="Cambria Math" w:hAnsi="Cambria Math"/>
          </w:rPr>
          <m:t xml:space="preserve"> </m:t>
        </m:r>
        <m:r>
          <m:rPr>
            <m:scr m:val="double-struck"/>
          </m:rPr>
          <w:rPr>
            <w:rFonts w:ascii="Cambria Math" w:hAnsi="Cambria Math" w:cs="Cambria Math"/>
          </w:rPr>
          <m:t>R</m:t>
        </m:r>
      </m:oMath>
      <w:r w:rsidRPr="00CA5A0C">
        <w:t xml:space="preserve"> is the potential landscape encoding how system configuration maps to thermodynamic free energy,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is the gradient field (force arising from potential topology), </w:t>
      </w:r>
      <m:oMath>
        <m:r>
          <w:rPr>
            <w:rFonts w:ascii="Cambria Math" w:hAnsi="Cambria Math"/>
          </w:rPr>
          <m:t>u</m:t>
        </m:r>
        <m:d>
          <m:dPr>
            <m:ctrlPr>
              <w:rPr>
                <w:rFonts w:ascii="Cambria Math" w:hAnsi="Cambria Math"/>
                <w:i/>
              </w:rPr>
            </m:ctrlPr>
          </m:dPr>
          <m:e>
            <m:r>
              <w:rPr>
                <w:rFonts w:ascii="Cambria Math" w:hAnsi="Cambria Math"/>
              </w:rPr>
              <m:t>t</m:t>
            </m:r>
          </m:e>
        </m:d>
      </m:oMath>
      <w:r w:rsidRPr="00CA5A0C">
        <w:t xml:space="preserve">: </w:t>
      </w:r>
      <m:oMath>
        <m:sSub>
          <m:sSubPr>
            <m:ctrlPr>
              <w:rPr>
                <w:rFonts w:ascii="Cambria Math" w:hAnsi="Cambria Math" w:cs="Cambria Math"/>
                <w:i/>
              </w:rPr>
            </m:ctrlPr>
          </m:sSubPr>
          <m:e>
            <m:r>
              <m:rPr>
                <m:scr m:val="double-struck"/>
              </m:rPr>
              <w:rPr>
                <w:rFonts w:ascii="Cambria Math" w:hAnsi="Cambria Math" w:cs="Cambria Math"/>
              </w:rPr>
              <m:t>R</m:t>
            </m:r>
          </m:e>
          <m:sub>
            <m:r>
              <w:rPr>
                <w:rFonts w:ascii="Cambria Math" w:hAnsi="Cambria Math" w:cs="Cambria Math"/>
              </w:rPr>
              <m:t>+</m:t>
            </m:r>
          </m:sub>
        </m:sSub>
        <m:r>
          <w:rPr>
            <w:rFonts w:ascii="Cambria Math" w:hAnsi="Cambria Math" w:cs="Arial"/>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CA5A0C">
        <w:t xml:space="preserve"> represents coordinated intervention effort, and </w:t>
      </w:r>
      <w:r w:rsidRPr="00CA5A0C">
        <w:rPr>
          <w:rFonts w:cs="Arial"/>
        </w:rPr>
        <w:t>η</w:t>
      </w:r>
      <w:r w:rsidRPr="00CA5A0C">
        <w:t xml:space="preserve">(x): </w:t>
      </w:r>
      <m:oMath>
        <m:sSup>
          <m:sSupPr>
            <m:ctrlPr>
              <w:rPr>
                <w:rFonts w:ascii="Cambria Math" w:hAnsi="Cambria Math" w:cs="Cambria Math"/>
                <w:i/>
              </w:rPr>
            </m:ctrlPr>
          </m:sSupPr>
          <m:e>
            <m:r>
              <m:rPr>
                <m:scr m:val="double-struck"/>
              </m:rPr>
              <w:rPr>
                <w:rFonts w:ascii="Cambria Math" w:hAnsi="Cambria Math" w:cs="Cambria Math"/>
              </w:rPr>
              <m:t>R</m:t>
            </m:r>
          </m:e>
          <m:sup>
            <m:r>
              <w:rPr>
                <w:rFonts w:ascii="Cambria Math" w:hAnsi="Cambria Math" w:cs="Cambria Math"/>
              </w:rPr>
              <m:t>n</m:t>
            </m:r>
          </m:sup>
        </m:sSup>
        <m:r>
          <w:rPr>
            <w:rFonts w:ascii="Cambria Math" w:hAnsi="Cambria Math" w:cs="Arial"/>
          </w:rPr>
          <m:t>→</m:t>
        </m:r>
        <m:r>
          <w:rPr>
            <w:rFonts w:ascii="Cambria Math" w:hAnsi="Cambria Math"/>
          </w:rPr>
          <m:t xml:space="preserve"> </m:t>
        </m:r>
        <m:sSup>
          <m:sSupPr>
            <m:ctrlPr>
              <w:rPr>
                <w:rFonts w:ascii="Cambria Math" w:hAnsi="Cambria Math" w:cs="Cambria Math"/>
                <w:i/>
              </w:rPr>
            </m:ctrlPr>
          </m:sSupPr>
          <m:e>
            <m:r>
              <m:rPr>
                <m:scr m:val="double-struck"/>
              </m:rPr>
              <w:rPr>
                <w:rFonts w:ascii="Cambria Math" w:hAnsi="Cambria Math" w:cs="Cambria Math"/>
              </w:rPr>
              <m:t>R</m:t>
            </m:r>
            <m:ctrlPr>
              <w:rPr>
                <w:rFonts w:ascii="Cambria Math" w:hAnsi="Cambria Math"/>
                <w:i/>
              </w:rPr>
            </m:ctrlPr>
          </m:e>
          <m:sup>
            <m:r>
              <w:rPr>
                <w:rFonts w:ascii="Cambria Math" w:hAnsi="Cambria Math" w:cs="Cambria Math"/>
              </w:rPr>
              <m:t>n</m:t>
            </m:r>
          </m:sup>
        </m:sSup>
      </m:oMath>
      <w:r w:rsidRPr="00CA5A0C">
        <w:t xml:space="preserve"> captures entropic decay</w:t>
      </w:r>
      <w:r w:rsidRPr="00CA5A0C">
        <w:rPr>
          <w:rFonts w:cs="Arial"/>
        </w:rPr>
        <w:t>—</w:t>
      </w:r>
      <w:r w:rsidRPr="00CA5A0C">
        <w:t>institutional capture, metric corruption, knowledge loss, and mission drift that degrade organization over time.</w:t>
      </w:r>
    </w:p>
    <w:p w14:paraId="72F07B4C" w14:textId="7EC53D9D" w:rsidR="00CA5A0C" w:rsidRPr="00CA5A0C" w:rsidRDefault="00CA5A0C" w:rsidP="00CA5A0C">
      <w:r w:rsidRPr="00CA5A0C">
        <w:t xml:space="preserve">The critical insight: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is the default gradient</w:t>
      </w:r>
      <w:r w:rsidRPr="00CA5A0C">
        <w:rPr>
          <w:rFonts w:cs="Arial"/>
        </w:rPr>
        <w:t>—</w:t>
      </w:r>
      <w:r w:rsidRPr="00CA5A0C">
        <w:t xml:space="preserve">what happens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CA5A0C">
        <w:t xml:space="preserve"> and only potential topology determines motion. This is what the system falls into when coordination ceases. The term </w:t>
      </w:r>
      <m:oMath>
        <m:r>
          <w:rPr>
            <w:rFonts w:ascii="Cambria Math" w:hAnsi="Cambria Math"/>
          </w:rPr>
          <m:t>u</m:t>
        </m:r>
        <m:d>
          <m:dPr>
            <m:ctrlPr>
              <w:rPr>
                <w:rFonts w:ascii="Cambria Math" w:hAnsi="Cambria Math"/>
                <w:i/>
              </w:rPr>
            </m:ctrlPr>
          </m:dPr>
          <m:e>
            <m:r>
              <w:rPr>
                <w:rFonts w:ascii="Cambria Math" w:hAnsi="Cambria Math"/>
              </w:rPr>
              <m:t>t</m:t>
            </m:r>
          </m:e>
        </m:d>
      </m:oMath>
      <w:r w:rsidRPr="00CA5A0C">
        <w:t xml:space="preserve"> represents applied force</w:t>
      </w:r>
      <w:r w:rsidRPr="00CA5A0C">
        <w:rPr>
          <w:rFonts w:cs="Arial"/>
        </w:rPr>
        <w:t>—</w:t>
      </w:r>
      <w:r w:rsidRPr="00CA5A0C">
        <w:t xml:space="preserve">temporary deviation from default trajectory through sustained intervention. The asymmetry is thermodynamic: maintaining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cs="Arial"/>
          </w:rPr>
          <m:t>≠</m:t>
        </m:r>
        <m:r>
          <w:rPr>
            <w:rFonts w:ascii="Cambria Math" w:hAnsi="Cambria Math"/>
          </w:rPr>
          <m:t xml:space="preserve"> 0</m:t>
        </m:r>
      </m:oMath>
      <w:r w:rsidRPr="00CA5A0C">
        <w:t xml:space="preserve"> requires continuous energy expenditure that must be supplied from system resource flows. When those flows cannot indefinitely support the expenditure,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CA5A0C">
        <w:t xml:space="preserve"> and the system relaxes to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CA5A0C">
        <w:t>.</w:t>
      </w:r>
    </w:p>
    <w:p w14:paraId="0EB70F85" w14:textId="5C71C897" w:rsidR="00CA5A0C" w:rsidRPr="00CA5A0C" w:rsidRDefault="00CA5A0C" w:rsidP="00CA5A0C">
      <w:r w:rsidRPr="00CA5A0C">
        <w:t xml:space="preserve">Reform succeeds if and only if it changes </w:t>
      </w:r>
      <m:oMath>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itself, not merely applies compensating </w:t>
      </w:r>
      <m:oMath>
        <m:r>
          <w:rPr>
            <w:rFonts w:ascii="Cambria Math" w:hAnsi="Cambria Math"/>
          </w:rPr>
          <m:t>u</m:t>
        </m:r>
        <m:d>
          <m:dPr>
            <m:ctrlPr>
              <w:rPr>
                <w:rFonts w:ascii="Cambria Math" w:hAnsi="Cambria Math"/>
                <w:i/>
              </w:rPr>
            </m:ctrlPr>
          </m:dPr>
          <m:e>
            <m:r>
              <w:rPr>
                <w:rFonts w:ascii="Cambria Math" w:hAnsi="Cambria Math"/>
              </w:rPr>
              <m:t>t</m:t>
            </m:r>
          </m:e>
        </m:d>
      </m:oMath>
      <w:r w:rsidRPr="00CA5A0C">
        <w:t>. To see why, consider two reform strategies:</w:t>
      </w:r>
    </w:p>
    <w:p w14:paraId="1FDB0D00" w14:textId="1C73299B" w:rsidR="00CA5A0C" w:rsidRPr="00CA5A0C" w:rsidRDefault="00CA5A0C" w:rsidP="00CA5A0C">
      <w:r w:rsidRPr="00CA5A0C">
        <w:rPr>
          <w:rStyle w:val="Strong"/>
        </w:rPr>
        <w:t>Strategy A</w:t>
      </w:r>
      <w:r w:rsidRPr="00CA5A0C">
        <w:t xml:space="preserve"> </w:t>
      </w:r>
      <w:r w:rsidRPr="00294099">
        <w:rPr>
          <w:rStyle w:val="Strong"/>
        </w:rPr>
        <w:t>(force application):</w:t>
      </w:r>
      <w:r w:rsidRPr="00CA5A0C">
        <w:t xml:space="preserve"> Leave </w:t>
      </w:r>
      <m:oMath>
        <m:r>
          <w:rPr>
            <w:rFonts w:ascii="Cambria Math" w:hAnsi="Cambria Math"/>
          </w:rPr>
          <m:t>V(x)</m:t>
        </m:r>
      </m:oMath>
      <w:r w:rsidRPr="00CA5A0C">
        <w:t xml:space="preserve"> unchanged, apply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-α</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to cancel the default gradient. This produces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cs="Arial"/>
          </w:rPr>
          <m:t>≈</m:t>
        </m:r>
        <m:r>
          <w:rPr>
            <w:rFonts w:ascii="Cambria Math" w:hAnsi="Cambria Math"/>
          </w:rPr>
          <m:t xml:space="preserve"> -</m:t>
        </m:r>
        <m:r>
          <w:rPr>
            <w:rFonts w:ascii="Cambria Math" w:hAnsi="Cambria Math" w:cs="Arial"/>
          </w:rPr>
          <m:t>η</m:t>
        </m:r>
        <m:d>
          <m:dPr>
            <m:ctrlPr>
              <w:rPr>
                <w:rFonts w:ascii="Cambria Math" w:hAnsi="Cambria Math"/>
                <w:i/>
              </w:rPr>
            </m:ctrlPr>
          </m:dPr>
          <m:e>
            <m:r>
              <w:rPr>
                <w:rFonts w:ascii="Cambria Math" w:hAnsi="Cambria Math"/>
              </w:rPr>
              <m:t>x</m:t>
            </m:r>
          </m:e>
        </m:d>
      </m:oMath>
      <w:r w:rsidRPr="00CA5A0C">
        <w:t xml:space="preserve"> for </w:t>
      </w:r>
      <m:oMath>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t</m:t>
                </m:r>
              </m:e>
            </m:d>
          </m:e>
        </m:d>
        <m:r>
          <w:rPr>
            <w:rFonts w:ascii="Cambria Math" w:hAnsi="Cambria Math" w:cs="Arial"/>
          </w:rPr>
          <m:t>≈</m:t>
        </m:r>
        <m:r>
          <w:rPr>
            <w:rFonts w:ascii="Cambria Math" w:hAnsi="Cambria Math"/>
          </w:rPr>
          <m:t xml:space="preserve"> </m:t>
        </m:r>
        <m:d>
          <m:dPr>
            <m:begChr m:val="|"/>
            <m:endChr m:val="|"/>
            <m:ctrlPr>
              <w:rPr>
                <w:rFonts w:ascii="Cambria Math" w:hAnsi="Cambria Math"/>
                <w:i/>
              </w:rPr>
            </m:ctrlPr>
          </m:dPr>
          <m:e>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e>
        </m:d>
      </m:oMath>
      <w:r w:rsidRPr="00CA5A0C">
        <w:t xml:space="preserve">, apparently stabilizing the system. But this requires permanent maintenance of </w:t>
      </w:r>
      <m:oMath>
        <m:r>
          <w:rPr>
            <w:rFonts w:ascii="Cambria Math" w:hAnsi="Cambria Math"/>
          </w:rPr>
          <m:t>u</m:t>
        </m:r>
        <m:d>
          <m:dPr>
            <m:ctrlPr>
              <w:rPr>
                <w:rFonts w:ascii="Cambria Math" w:hAnsi="Cambria Math"/>
                <w:i/>
              </w:rPr>
            </m:ctrlPr>
          </m:dPr>
          <m:e>
            <m:r>
              <w:rPr>
                <w:rFonts w:ascii="Cambria Math" w:hAnsi="Cambria Math"/>
              </w:rPr>
              <m:t>t</m:t>
            </m:r>
          </m:e>
        </m:d>
      </m:oMath>
      <w:r w:rsidRPr="00CA5A0C">
        <w:t>. As soon as intervention relaxes</w:t>
      </w:r>
      <w:r w:rsidRPr="00CA5A0C">
        <w:rPr>
          <w:rFonts w:cs="Arial"/>
        </w:rPr>
        <w:t>—</w:t>
      </w:r>
      <w:r w:rsidRPr="00CA5A0C">
        <w:t>through budget cuts, leadership change, attention shifts, or coordination fatigue</w:t>
      </w:r>
      <w:r w:rsidRPr="00CA5A0C">
        <w:rPr>
          <w:rFonts w:cs="Arial"/>
        </w:rPr>
        <w:t>—</w:t>
      </w:r>
      <w:r w:rsidRPr="00CA5A0C">
        <w:t xml:space="preserve">the system evolves according to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 xml:space="preserve"> </m:t>
        </m:r>
        <m:r>
          <w:rPr>
            <w:rFonts w:ascii="Cambria Math" w:hAnsi="Cambria Math" w:cs="Arial"/>
          </w:rPr>
          <m:t>η</m:t>
        </m:r>
        <m:d>
          <m:dPr>
            <m:ctrlPr>
              <w:rPr>
                <w:rFonts w:ascii="Cambria Math" w:hAnsi="Cambria Math"/>
                <w:i/>
              </w:rPr>
            </m:ctrlPr>
          </m:dPr>
          <m:e>
            <m:r>
              <w:rPr>
                <w:rFonts w:ascii="Cambria Math" w:hAnsi="Cambria Math"/>
              </w:rPr>
              <m:t>x</m:t>
            </m:r>
          </m:e>
        </m:d>
      </m:oMath>
      <w:r w:rsidRPr="00CA5A0C">
        <w:t>, combining default gradient with entropic decay. Both terms push toward dysfunction; the system rapidly reverts.</w:t>
      </w:r>
    </w:p>
    <w:p w14:paraId="318E8EDE" w14:textId="56C35A0D" w:rsidR="00CA5A0C" w:rsidRPr="00CA5A0C" w:rsidRDefault="00CA5A0C" w:rsidP="00CA5A0C">
      <w:r w:rsidRPr="00CA5A0C">
        <w:rPr>
          <w:rStyle w:val="Strong"/>
        </w:rPr>
        <w:t>Strategy B</w:t>
      </w:r>
      <w:r w:rsidRPr="00CA5A0C">
        <w:t xml:space="preserve"> </w:t>
      </w:r>
      <w:r w:rsidRPr="00294099">
        <w:rPr>
          <w:rStyle w:val="Strong"/>
        </w:rPr>
        <w:t>(gradient change):</w:t>
      </w:r>
      <w:r w:rsidRPr="00CA5A0C">
        <w:t xml:space="preserve"> Redesign system to replace </w:t>
      </w:r>
      <m:oMath>
        <m:sSub>
          <m:sSubPr>
            <m:ctrlPr>
              <w:rPr>
                <w:rFonts w:ascii="Cambria Math" w:hAnsi="Cambria Math"/>
                <w:i/>
              </w:rPr>
            </m:ctrlPr>
          </m:sSubPr>
          <m:e>
            <m:r>
              <w:rPr>
                <w:rFonts w:ascii="Cambria Math" w:hAnsi="Cambria Math"/>
              </w:rPr>
              <m:t>V</m:t>
            </m:r>
          </m:e>
          <m:sub>
            <m:r>
              <w:rPr>
                <w:rFonts w:ascii="Cambria Math" w:hAnsi="Cambria Math"/>
              </w:rPr>
              <m:t>old</m:t>
            </m:r>
          </m:sub>
        </m:sSub>
        <m:d>
          <m:dPr>
            <m:ctrlPr>
              <w:rPr>
                <w:rFonts w:ascii="Cambria Math" w:hAnsi="Cambria Math"/>
                <w:i/>
              </w:rPr>
            </m:ctrlPr>
          </m:dPr>
          <m:e>
            <m:r>
              <w:rPr>
                <w:rFonts w:ascii="Cambria Math" w:hAnsi="Cambria Math"/>
              </w:rPr>
              <m:t>x</m:t>
            </m:r>
          </m:e>
        </m:d>
      </m:oMath>
      <w:r w:rsidRPr="00CA5A0C">
        <w:t xml:space="preserve"> with </w:t>
      </w:r>
      <m:oMath>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oMath>
      <w:r w:rsidRPr="00CA5A0C">
        <w:t xml:space="preserve"> such that </w:t>
      </w:r>
      <m:oMath>
        <m:r>
          <w:rPr>
            <w:rFonts w:ascii="Cambria Math" w:hAnsi="Cambria Math"/>
          </w:rPr>
          <m:t>-</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oMath>
      <w:r w:rsidRPr="00CA5A0C">
        <w:t xml:space="preserve"> points toward desired configuration. Now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m:t>
        </m:r>
        <m:r>
          <w:rPr>
            <w:rFonts w:ascii="Cambria Math" w:hAnsi="Cambria Math" w:cs="Cambria Math"/>
          </w:rPr>
          <m:t>∇</m:t>
        </m:r>
        <m:sSub>
          <m:sSubPr>
            <m:ctrlPr>
              <w:rPr>
                <w:rFonts w:ascii="Cambria Math" w:hAnsi="Cambria Math"/>
                <w:i/>
              </w:rPr>
            </m:ctrlPr>
          </m:sSubPr>
          <m:e>
            <m:r>
              <w:rPr>
                <w:rFonts w:ascii="Cambria Math" w:hAnsi="Cambria Math"/>
              </w:rPr>
              <m:t>V</m:t>
            </m:r>
          </m:e>
          <m:sub>
            <m:r>
              <w:rPr>
                <w:rFonts w:ascii="Cambria Math" w:hAnsi="Cambria Math"/>
              </w:rPr>
              <m:t>new</m:t>
            </m:r>
          </m:sub>
        </m:sSub>
        <m:d>
          <m:dPr>
            <m:ctrlPr>
              <w:rPr>
                <w:rFonts w:ascii="Cambria Math" w:hAnsi="Cambria Math"/>
                <w:i/>
              </w:rPr>
            </m:ctrlPr>
          </m:dPr>
          <m:e>
            <m:r>
              <w:rPr>
                <w:rFonts w:ascii="Cambria Math" w:hAnsi="Cambria Math"/>
              </w:rPr>
              <m:t>x</m:t>
            </m:r>
          </m:e>
        </m:d>
        <m:r>
          <w:rPr>
            <w:rFonts w:ascii="Cambria Math" w:hAnsi="Cambria Math"/>
          </w:rPr>
          <m:t>–</m:t>
        </m:r>
        <m:r>
          <w:rPr>
            <w:rFonts w:ascii="Cambria Math" w:hAnsi="Cambria Math"/>
          </w:rPr>
          <m:t xml:space="preserve"> </m:t>
        </m:r>
        <m:r>
          <w:rPr>
            <w:rFonts w:ascii="Cambria Math" w:hAnsi="Cambria Math" w:cs="Arial"/>
          </w:rPr>
          <m:t>η</m:t>
        </m:r>
        <m:d>
          <m:dPr>
            <m:ctrlPr>
              <w:rPr>
                <w:rFonts w:ascii="Cambria Math" w:hAnsi="Cambria Math"/>
                <w:i/>
              </w:rPr>
            </m:ctrlPr>
          </m:dPr>
          <m:e>
            <m:r>
              <w:rPr>
                <w:rFonts w:ascii="Cambria Math" w:hAnsi="Cambria Math"/>
              </w:rPr>
              <m:t>x</m:t>
            </m:r>
          </m:e>
        </m:d>
      </m:oMath>
      <w:r w:rsidRPr="00CA5A0C">
        <w:t xml:space="preserve"> even when </w:t>
      </w:r>
      <m:oMath>
        <m:r>
          <w:rPr>
            <w:rFonts w:ascii="Cambria Math" w:hAnsi="Cambria Math"/>
          </w:rPr>
          <m:t>u</m:t>
        </m:r>
        <m:d>
          <m:dPr>
            <m:ctrlPr>
              <w:rPr>
                <w:rFonts w:ascii="Cambria Math" w:hAnsi="Cambria Math"/>
                <w:i/>
              </w:rPr>
            </m:ctrlPr>
          </m:dPr>
          <m:e>
            <m:r>
              <w:rPr>
                <w:rFonts w:ascii="Cambria Math" w:hAnsi="Cambria Math"/>
              </w:rPr>
              <m:t>t</m:t>
            </m:r>
          </m:e>
        </m:d>
        <m:r>
          <w:rPr>
            <w:rFonts w:ascii="Cambria Math" w:hAnsi="Cambria Math"/>
          </w:rPr>
          <m:t>= 0</m:t>
        </m:r>
      </m:oMath>
      <w:r w:rsidRPr="00CA5A0C">
        <w:t xml:space="preserve">. The default motion moves toward functionality. Entropic decay </w:t>
      </w:r>
      <m:oMath>
        <m:r>
          <w:rPr>
            <w:rFonts w:ascii="Cambria Math" w:hAnsi="Cambria Math" w:cs="Arial"/>
          </w:rPr>
          <m:t>η</m:t>
        </m:r>
        <m:d>
          <m:dPr>
            <m:ctrlPr>
              <w:rPr>
                <w:rFonts w:ascii="Cambria Math" w:hAnsi="Cambria Math"/>
                <w:i/>
              </w:rPr>
            </m:ctrlPr>
          </m:dPr>
          <m:e>
            <m:r>
              <w:rPr>
                <w:rFonts w:ascii="Cambria Math" w:hAnsi="Cambria Math"/>
              </w:rPr>
              <m:t>x</m:t>
            </m:r>
          </m:e>
        </m:d>
      </m:oMath>
      <w:r w:rsidRPr="00CA5A0C">
        <w:t xml:space="preserve"> still operates but now fights against rather than reinforces the gradient. The system maintains itself through local optimization without requiring continuous coordination.</w:t>
      </w:r>
    </w:p>
    <w:p w14:paraId="450BBAA2" w14:textId="14261202" w:rsidR="00CA5A0C" w:rsidRPr="00CA5A0C" w:rsidRDefault="00CA5A0C" w:rsidP="00CA5A0C">
      <w:r w:rsidRPr="00CA5A0C">
        <w:t xml:space="preserve">The distinction is not subtle: Strategy A requires </w:t>
      </w:r>
      <m:oMath>
        <m:r>
          <w:rPr>
            <w:rFonts w:ascii="Cambria Math" w:hAnsi="Cambria Math"/>
          </w:rPr>
          <m:t>permanent u(t)</m:t>
        </m:r>
      </m:oMath>
      <w:r w:rsidRPr="00CA5A0C">
        <w:t xml:space="preserve"> maintaining impossible configuration; </w:t>
      </w:r>
      <w:r w:rsidRPr="00294099">
        <w:rPr>
          <w:rStyle w:val="Strong"/>
        </w:rPr>
        <w:t>Strategy B achieves thermodynamically stable configuration</w:t>
      </w:r>
      <w:r w:rsidRPr="00CA5A0C">
        <w:t>. This explains the universal pattern: reforms that fight gradients succeed only during active intervention and fail predictably thereafter. Reforms that change gradients succeed automatically through local optimization and survive attention shifts.</w:t>
      </w:r>
    </w:p>
    <w:p w14:paraId="6E03A67A" w14:textId="77777777" w:rsidR="00CA5A0C" w:rsidRPr="00CA5A0C" w:rsidRDefault="00CA5A0C" w:rsidP="00CA5A0C">
      <w:r w:rsidRPr="00CA5A0C">
        <w:br w:type="page"/>
      </w:r>
    </w:p>
    <w:p w14:paraId="1D16770E" w14:textId="77777777" w:rsidR="00CA5A0C" w:rsidRPr="00CA5A0C" w:rsidRDefault="00CA5A0C" w:rsidP="00294099">
      <w:pPr>
        <w:pStyle w:val="Heading3"/>
      </w:pPr>
      <w:r w:rsidRPr="00CA5A0C">
        <w:t>2.6.7 Falsifiable Predictions and Empirical Test Design</w:t>
      </w:r>
    </w:p>
    <w:p w14:paraId="01E21ABF" w14:textId="77777777" w:rsidR="00CA5A0C" w:rsidRPr="00CA5A0C" w:rsidRDefault="00CA5A0C" w:rsidP="00CA5A0C">
      <w:r w:rsidRPr="00CA5A0C">
        <w:t>The Default Gradient Law generates testable predictions about reform dynamics that distinguish it from alternative theories. If reform failure reflects insufficient effort, inadequate funding, or poor execution, then increased resources should improve outcomes. If reform failure reflects thermodynamic impossibility, then increased resources applied to gradient-fighting interventions should show diminishing or even negative returns. The law predicts systematic patterns independent of domain specifics.</w:t>
      </w:r>
    </w:p>
    <w:p w14:paraId="5A28CFE0" w14:textId="30ECF367" w:rsidR="00CA5A0C" w:rsidRPr="00CA5A0C" w:rsidRDefault="00CA5A0C" w:rsidP="00CA5A0C">
      <w:r w:rsidRPr="00CA5A0C">
        <w:t xml:space="preserve">First, </w:t>
      </w:r>
      <w:r w:rsidRPr="00BF1AF2">
        <w:rPr>
          <w:rStyle w:val="Strong"/>
        </w:rPr>
        <w:t>reform decay rate</w:t>
      </w:r>
      <w:r w:rsidRPr="00CA5A0C">
        <w:t xml:space="preserve"> will be proportional to gradient misalignment. Interventions with large gaps between induced behavior and default gradient should show faster reversion than interventions with small gaps. Formally, if </w:t>
      </w:r>
      <m:oMath>
        <m:r>
          <w:rPr>
            <w:rFonts w:ascii="Cambria Math" w:hAnsi="Cambria Math"/>
          </w:rPr>
          <m:t>Δgrad</m:t>
        </m:r>
      </m:oMath>
      <w:r w:rsidRPr="00CA5A0C">
        <w:t xml:space="preserve"> represents the magnitude of u(t) required to maintain desired state against </w:t>
      </w: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Pr="00CA5A0C">
        <w:t xml:space="preserve">, then time to 50% reversion </w:t>
      </w:r>
      <m:oMath>
        <m:sSub>
          <m:sSubPr>
            <m:ctrlPr>
              <w:rPr>
                <w:rFonts w:ascii="Cambria Math" w:hAnsi="Cambria Math"/>
                <w:i/>
              </w:rPr>
            </m:ctrlPr>
          </m:sSubPr>
          <m:e>
            <m:r>
              <w:rPr>
                <w:rFonts w:ascii="Cambria Math" w:hAnsi="Cambria Math"/>
              </w:rPr>
              <m:t>t</m:t>
            </m:r>
          </m:e>
          <m:sub>
            <m:r>
              <w:rPr>
                <w:rFonts w:ascii="Cambria Math" w:hAnsi="Cambria Math"/>
              </w:rPr>
              <m:t>50</m:t>
            </m:r>
          </m:sub>
        </m:sSub>
      </m:oMath>
      <w:r w:rsidRPr="00CA5A0C">
        <w:t xml:space="preserve"> should satisfy </w:t>
      </w:r>
      <m:oMath>
        <m:sSub>
          <m:sSubPr>
            <m:ctrlPr>
              <w:rPr>
                <w:rFonts w:ascii="Cambria Math" w:hAnsi="Cambria Math"/>
                <w:i/>
              </w:rPr>
            </m:ctrlPr>
          </m:sSubPr>
          <m:e>
            <m:r>
              <w:rPr>
                <w:rFonts w:ascii="Cambria Math" w:hAnsi="Cambria Math"/>
              </w:rPr>
              <m:t>t</m:t>
            </m:r>
          </m:e>
          <m:sub>
            <m:r>
              <w:rPr>
                <w:rFonts w:ascii="Cambria Math" w:hAnsi="Cambria Math"/>
              </w:rPr>
              <m:t>50</m:t>
            </m:r>
          </m:sub>
        </m:sSub>
        <m:r>
          <w:rPr>
            <w:rFonts w:ascii="Cambria Math" w:hAnsi="Cambria Math" w:cs="Cambria Math"/>
          </w:rPr>
          <m:t>∝</m:t>
        </m:r>
        <m:f>
          <m:fPr>
            <m:ctrlPr>
              <w:rPr>
                <w:rFonts w:ascii="Cambria Math" w:hAnsi="Cambria Math"/>
                <w:i/>
              </w:rPr>
            </m:ctrlPr>
          </m:fPr>
          <m:num>
            <m:r>
              <w:rPr>
                <w:rFonts w:ascii="Cambria Math" w:hAnsi="Cambria Math"/>
              </w:rPr>
              <m:t>1</m:t>
            </m:r>
          </m:num>
          <m:den>
            <m:r>
              <w:rPr>
                <w:rFonts w:ascii="Cambria Math" w:hAnsi="Cambria Math" w:cs="Arial"/>
              </w:rPr>
              <m:t>Δ</m:t>
            </m:r>
            <m:r>
              <w:rPr>
                <w:rFonts w:ascii="Cambria Math" w:hAnsi="Cambria Math"/>
              </w:rPr>
              <m:t>grad</m:t>
            </m:r>
          </m:den>
        </m:f>
      </m:oMath>
      <w:r w:rsidRPr="00CA5A0C">
        <w:t>. Reforms fighting strong gradients decay rapidly; reforms aligned with moderate gradients persist longer; reforms that change gradients survive indefinitely.</w:t>
      </w:r>
    </w:p>
    <w:p w14:paraId="6ABBB0F2" w14:textId="77777777" w:rsidR="00CA5A0C" w:rsidRPr="00CA5A0C" w:rsidRDefault="00CA5A0C" w:rsidP="00CA5A0C">
      <w:r w:rsidRPr="00CA5A0C">
        <w:t>This can be tested empirically by tracking reform initiatives across domains, measuring both the behavioral gap (difference between reformed and default behavior) and decay rate (time for reforms to revert halfway toward original state). The law predicts systematic correlation: larger behavioral gaps should associate with faster decay, controlling for intervention intensity. Violations would falsify the thermodynamic necessity claim.</w:t>
      </w:r>
    </w:p>
    <w:p w14:paraId="3D802C53" w14:textId="396E5C66" w:rsidR="00CA5A0C" w:rsidRPr="00CA5A0C" w:rsidRDefault="00CA5A0C" w:rsidP="00CA5A0C">
      <w:r w:rsidRPr="00CA5A0C">
        <w:t xml:space="preserve">Second, </w:t>
      </w:r>
      <w:r w:rsidRPr="00BF1AF2">
        <w:rPr>
          <w:rStyle w:val="Strong"/>
        </w:rPr>
        <w:t>gaming intensity</w:t>
      </w:r>
      <w:r w:rsidRPr="00CA5A0C">
        <w:t xml:space="preserve"> </w:t>
      </w:r>
      <w:r w:rsidR="00BF1AF2">
        <w:t xml:space="preserve">would intuitively </w:t>
      </w:r>
      <w:r w:rsidRPr="00CA5A0C">
        <w:t>be proportional to incentive-structure gap. When stated goals diverge from actual payoffs, rational actors invest in strategies that maximize payoffs while appearing to pursue goals. Investment scales with stakes—high-value divergences generate correspondingly sophisticated gaming. The law predicts that gaming sophistication, measured through strategy complexity and resource allocation, should correlate with the magnitude of incentive misalignment.</w:t>
      </w:r>
    </w:p>
    <w:p w14:paraId="79314204" w14:textId="0B590551" w:rsidR="00CA5A0C" w:rsidRPr="00CA5A0C" w:rsidRDefault="00CA5A0C" w:rsidP="00CA5A0C">
      <w:r w:rsidRPr="00294099">
        <w:rPr>
          <w:rStyle w:val="Strong"/>
        </w:rPr>
        <w:t>Empirical test:</w:t>
      </w:r>
      <w:r w:rsidRPr="00CA5A0C">
        <w:t xml:space="preserve"> measure gaming behavior emergence in contexts with varying goal-incentive gaps. Educational settings with test-score rewards but learning goals should show more teaching-to-test than settings where assessment aligns with learning. Healthcare with throughput payments but quality goals should show more metric gaming than settings with quality-based payment. Financial sector with quarterly earnings focus</w:t>
      </w:r>
      <w:r w:rsidR="00294099">
        <w:t>,</w:t>
      </w:r>
      <w:r w:rsidRPr="00CA5A0C">
        <w:t xml:space="preserve"> but long-term value goals should show more short-termism than settings with deferred compensation.</w:t>
      </w:r>
    </w:p>
    <w:p w14:paraId="71BE99CC" w14:textId="03003ACC" w:rsidR="00CA5A0C" w:rsidRPr="00CA5A0C" w:rsidRDefault="00CA5A0C" w:rsidP="00CA5A0C">
      <w:r w:rsidRPr="00CA5A0C">
        <w:t xml:space="preserve">Third, </w:t>
      </w:r>
      <w:r w:rsidRPr="00BF1AF2">
        <w:rPr>
          <w:rStyle w:val="Strong"/>
        </w:rPr>
        <w:t>coordination burden</w:t>
      </w:r>
      <w:r w:rsidRPr="00CA5A0C">
        <w:t xml:space="preserve"> will be inversely proportional to gradient alignment. Reforms fighting against gradients require continuous active coordination maintaining </w:t>
      </w:r>
      <m:oMath>
        <m:r>
          <w:rPr>
            <w:rFonts w:ascii="Cambria Math" w:hAnsi="Cambria Math"/>
          </w:rPr>
          <m:t>u(t)</m:t>
        </m:r>
      </m:oMath>
      <w:r w:rsidRPr="00CA5A0C">
        <w:t>; reforms aligned with gradients require minimal ongoing effort. The law predicts that coordination costs—measured through monitoring requirements, enforcement expenditure, and management overhead—should be systematically higher for gradient-opposed interventions.</w:t>
      </w:r>
    </w:p>
    <w:p w14:paraId="381F1B2D" w14:textId="77777777" w:rsidR="00CA5A0C" w:rsidRPr="00CA5A0C" w:rsidRDefault="00CA5A0C" w:rsidP="00CA5A0C">
      <w:r w:rsidRPr="00CA5A0C">
        <w:t>This can be tested by comparing institutional maintenance costs across reform types. Voluntary sustainability commitments (minimal gradient change) should require substantial ongoing coordination expenditure. Regulatory mandates with penalties (partial gradient change) should require moderate enforcement costs. Market-based mechanisms that restructure payoffs (substantial gradient change) should require minimal ongoing intervention. The pattern should hold across domains and scales.</w:t>
      </w:r>
    </w:p>
    <w:p w14:paraId="1C624EC3" w14:textId="3426EF80" w:rsidR="00CA5A0C" w:rsidRPr="00CA5A0C" w:rsidRDefault="00CA5A0C" w:rsidP="00CA5A0C">
      <w:r w:rsidRPr="00CA5A0C">
        <w:t xml:space="preserve">Fourth, </w:t>
      </w:r>
      <w:r w:rsidRPr="00BF1AF2">
        <w:rPr>
          <w:rStyle w:val="Strong"/>
        </w:rPr>
        <w:t>long-term sustainability</w:t>
      </w:r>
      <w:r w:rsidRPr="00CA5A0C">
        <w:t xml:space="preserve"> will be conditional on </w:t>
      </w:r>
      <m:oMath>
        <m:r>
          <w:rPr>
            <w:rFonts w:ascii="Cambria Math" w:hAnsi="Cambria Math"/>
          </w:rPr>
          <m:t>intrinsic vs. imposed</m:t>
        </m:r>
      </m:oMath>
      <w:r w:rsidRPr="00CA5A0C">
        <w:t xml:space="preserve"> change. Reforms that embed mechanisms into system operation should survive leadership transitions, budget cycles, and attention shifts. Reforms that depend on external imposition should decay with champion departure. The law predicts systematic difference in survival rates: intrinsic changes persist across regime changes; imposed changes correlate with champion tenure.</w:t>
      </w:r>
    </w:p>
    <w:p w14:paraId="02745846" w14:textId="77777777" w:rsidR="00CA5A0C" w:rsidRPr="00CA5A0C" w:rsidRDefault="00CA5A0C" w:rsidP="00CA5A0C">
      <w:r w:rsidRPr="00BF1AF2">
        <w:rPr>
          <w:rStyle w:val="Strong"/>
        </w:rPr>
        <w:t>Empirical test design</w:t>
      </w:r>
      <w:r w:rsidRPr="00CA5A0C">
        <w:t>: track reform initiatives through leadership transitions, identifying which survive and which decay. Code reforms as intrinsic (embedded in operational procedures, automated, payoff-aligned) vs. imposed (requiring active enforcement, coordination-dependent, gradient-opposed). The law predicts that intrinsic reforms show high survival rates independent of leadership continuity while imposed reforms show survival rates strongly correlated with champion presence. Finding imposed reforms that survive champion departure or intrinsic reforms that require continuous coordination would falsify key predictions.</w:t>
      </w:r>
    </w:p>
    <w:p w14:paraId="446B2935" w14:textId="77777777" w:rsidR="00CA5A0C" w:rsidRPr="00CA5A0C" w:rsidRDefault="00CA5A0C" w:rsidP="00CA5A0C">
      <w:r w:rsidRPr="00CA5A0C">
        <w:t>These four predictions—</w:t>
      </w:r>
      <w:r w:rsidRPr="00BF1AF2">
        <w:rPr>
          <w:b/>
          <w:bCs/>
        </w:rPr>
        <w:t>decay rates</w:t>
      </w:r>
      <w:r w:rsidRPr="00CA5A0C">
        <w:t xml:space="preserve">, </w:t>
      </w:r>
      <w:r w:rsidRPr="00BF1AF2">
        <w:rPr>
          <w:b/>
          <w:bCs/>
        </w:rPr>
        <w:t>gaming intensity</w:t>
      </w:r>
      <w:r w:rsidRPr="00CA5A0C">
        <w:t xml:space="preserve">, </w:t>
      </w:r>
      <w:r w:rsidRPr="00BF1AF2">
        <w:rPr>
          <w:b/>
          <w:bCs/>
        </w:rPr>
        <w:t>coordination burden</w:t>
      </w:r>
      <w:r w:rsidRPr="00CA5A0C">
        <w:t xml:space="preserve">, and </w:t>
      </w:r>
      <w:r w:rsidRPr="00BF1AF2">
        <w:rPr>
          <w:b/>
          <w:bCs/>
        </w:rPr>
        <w:t>sustainability patterns</w:t>
      </w:r>
      <w:r w:rsidRPr="00CA5A0C">
        <w:t>—generate empirical research program. The predictions are falsifiable, quantifiable, and domain-independent. They follow from thermodynamic necessity rather than contingent features, so violations would require revising fundamental claims about gradient dynamics. This distinguishes the Default Gradient Law from descriptive frameworks: it constrains what patterns can occur, not merely what patterns are optimal.</w:t>
      </w:r>
    </w:p>
    <w:p w14:paraId="5E189D70" w14:textId="77777777" w:rsidR="00CA5A0C" w:rsidRPr="00CA5A0C" w:rsidRDefault="00CA5A0C" w:rsidP="00CA5A0C">
      <w:r w:rsidRPr="00CA5A0C">
        <w:br w:type="page"/>
      </w:r>
    </w:p>
    <w:p w14:paraId="715CB198" w14:textId="77777777" w:rsidR="00CA5A0C" w:rsidRPr="00CA5A0C" w:rsidRDefault="00CA5A0C" w:rsidP="00CA5A0C">
      <w:pPr>
        <w:pStyle w:val="Heading3"/>
      </w:pPr>
      <w:r w:rsidRPr="00CA5A0C">
        <w:t>2.6.8 Integration with NiCE Framework: Multi-Domain Gradient Change</w:t>
      </w:r>
    </w:p>
    <w:p w14:paraId="0C16013E" w14:textId="47E7059B" w:rsidR="00CA5A0C" w:rsidRPr="00CA5A0C" w:rsidRDefault="00CA5A0C" w:rsidP="00CA5A0C">
      <w:r w:rsidRPr="00CA5A0C">
        <w:t xml:space="preserve">The Default Gradient Law explains why single-vertex interventions systematically fail within the </w:t>
      </w:r>
      <w:proofErr w:type="gramStart"/>
      <w:r w:rsidRPr="00CA5A0C">
        <w:t>NiCE</w:t>
      </w:r>
      <w:proofErr w:type="gramEnd"/>
      <w:r w:rsidRPr="00CA5A0C">
        <w:t xml:space="preserve"> framework. The nine-pathway coupling means that changing one vertex while leaving others unchanged creates cross-domain counter</w:t>
      </w:r>
      <w:r w:rsidR="00124E9E">
        <w:t>-</w:t>
      </w:r>
      <w:r w:rsidRPr="00CA5A0C">
        <w:t>pressures that pull the system back toward original configuration. This is not incidental difficulty but thermodynamic necessity: gradient change requires multi-domain alignment.</w:t>
      </w:r>
    </w:p>
    <w:p w14:paraId="433A6617" w14:textId="70AE74CE" w:rsidR="00CA5A0C" w:rsidRPr="00CA5A0C" w:rsidRDefault="00CA5A0C" w:rsidP="00CA5A0C">
      <w:r w:rsidRPr="00CA5A0C">
        <w:t xml:space="preserve">Consider </w:t>
      </w:r>
      <w:r w:rsidRPr="00CA5A0C">
        <w:rPr>
          <w:rStyle w:val="Strong"/>
        </w:rPr>
        <w:t>E-only intervention</w:t>
      </w:r>
      <w:r w:rsidRPr="00CA5A0C">
        <w:t xml:space="preserve">: changed institutions (new rules, altered metrics, restructured organizations) face counterpressure from unchanged </w:t>
      </w:r>
      <m:oMath>
        <m:r>
          <w:rPr>
            <w:rFonts w:ascii="Cambria Math" w:hAnsi="Cambria Math"/>
          </w:rPr>
          <m:t>C</m:t>
        </m:r>
      </m:oMath>
      <w:r w:rsidRPr="00CA5A0C">
        <w:t xml:space="preserve"> (existing meanings, identities, and motivations) and unchanged </w:t>
      </w:r>
      <m:oMath>
        <m:r>
          <w:rPr>
            <w:rFonts w:ascii="Cambria Math" w:hAnsi="Cambria Math"/>
          </w:rPr>
          <m:t>N</m:t>
        </m:r>
      </m:oMath>
      <w:r w:rsidRPr="00CA5A0C">
        <w:t xml:space="preserve"> (biophysical constraints and evolved behavioral patterns). Agents operating within new institutional structures still optimize according to old meaning systems. Biological systems still respond to scarcity through shortened time horizons and stressed decision-making. The E-vertex change constitutes applied force </w:t>
      </w:r>
      <m:oMath>
        <m:sSub>
          <m:sSubPr>
            <m:ctrlPr>
              <w:rPr>
                <w:rFonts w:ascii="Cambria Math" w:hAnsi="Cambria Math"/>
                <w:i/>
              </w:rPr>
            </m:ctrlPr>
          </m:sSubPr>
          <m:e>
            <m:r>
              <w:rPr>
                <w:rFonts w:ascii="Cambria Math" w:hAnsi="Cambria Math"/>
              </w:rPr>
              <m:t>u</m:t>
            </m:r>
          </m:e>
          <m:sub>
            <m:r>
              <w:rPr>
                <w:rFonts w:ascii="Cambria Math" w:hAnsi="Cambria Math"/>
              </w:rPr>
              <m:t>E</m:t>
            </m:r>
          </m:sub>
        </m:sSub>
        <m:d>
          <m:dPr>
            <m:ctrlPr>
              <w:rPr>
                <w:rFonts w:ascii="Cambria Math" w:hAnsi="Cambria Math"/>
                <w:i/>
              </w:rPr>
            </m:ctrlPr>
          </m:dPr>
          <m:e>
            <m:r>
              <w:rPr>
                <w:rFonts w:ascii="Cambria Math" w:hAnsi="Cambria Math"/>
              </w:rPr>
              <m:t>t</m:t>
            </m:r>
          </m:e>
        </m:d>
      </m:oMath>
      <w:r w:rsidRPr="00CA5A0C">
        <w:t xml:space="preserve"> fighting against gradients arising from unchanged C and N configurations. When intervention relaxes, coupling through the nine pathways restores original E configuration.</w:t>
      </w:r>
    </w:p>
    <w:p w14:paraId="326B4D88" w14:textId="7530F98F" w:rsidR="00CA5A0C" w:rsidRPr="00CA5A0C" w:rsidRDefault="00CA5A0C" w:rsidP="00CA5A0C">
      <w:r w:rsidRPr="00CA5A0C">
        <w:rPr>
          <w:rStyle w:val="Strong"/>
        </w:rPr>
        <w:t>C-only intervention</w:t>
      </w:r>
      <w:r w:rsidRPr="00CA5A0C">
        <w:t xml:space="preserve"> faces symmetric problem: changed consciousness (new values, meanings, identities) lacks E-vertex institutional support and N-vertex material basis. Agents with reformed values face payoff structures that reward old behaviors. Improved understanding doesn't override scarcity-driven stress responses or energetic constraints. The C-vertex change constitutes </w:t>
      </w:r>
      <m:oMath>
        <m:sSub>
          <m:sSubPr>
            <m:ctrlPr>
              <w:rPr>
                <w:rFonts w:ascii="Cambria Math" w:hAnsi="Cambria Math"/>
                <w:i/>
              </w:rPr>
            </m:ctrlPr>
          </m:sSubPr>
          <m:e>
            <m:r>
              <w:rPr>
                <w:rFonts w:ascii="Cambria Math" w:hAnsi="Cambria Math"/>
              </w:rPr>
              <m:t>u</m:t>
            </m:r>
          </m:e>
          <m:sub>
            <m:r>
              <w:rPr>
                <w:rFonts w:ascii="Cambria Math" w:hAnsi="Cambria Math"/>
              </w:rPr>
              <m:t>C</m:t>
            </m:r>
          </m:sub>
        </m:sSub>
        <m:d>
          <m:dPr>
            <m:ctrlPr>
              <w:rPr>
                <w:rFonts w:ascii="Cambria Math" w:hAnsi="Cambria Math"/>
                <w:i/>
              </w:rPr>
            </m:ctrlPr>
          </m:dPr>
          <m:e>
            <m:r>
              <w:rPr>
                <w:rFonts w:ascii="Cambria Math" w:hAnsi="Cambria Math"/>
              </w:rPr>
              <m:t>t</m:t>
            </m:r>
          </m:e>
        </m:d>
      </m:oMath>
      <w:r w:rsidRPr="00CA5A0C">
        <w:t xml:space="preserve"> fighting against E and N gradients. Individual commitment cannot permanently overcome structural pressures—the Ethics Fallacy in NiCE terms.</w:t>
      </w:r>
    </w:p>
    <w:p w14:paraId="598A37B1" w14:textId="77777777" w:rsidR="00CA5A0C" w:rsidRPr="00CA5A0C" w:rsidRDefault="00CA5A0C" w:rsidP="00CA5A0C">
      <w:r w:rsidRPr="00CA5A0C">
        <w:rPr>
          <w:rStyle w:val="Strong"/>
        </w:rPr>
        <w:t>N-only intervention</w:t>
      </w:r>
      <w:r w:rsidRPr="00CA5A0C">
        <w:t xml:space="preserve"> encounters perhaps the subtlest failure mode: changed biophysical conditions (restored ecosystems, reduced scarcity, improved material substrate) meet unchanged C–E coupling that optimizes within new constraints rather than leveraging them for transformation. Ecological restoration without institutional restructuring faces renewed extraction pressure. Reduced scarcity without meaning change leads to consumption escalation rather than wellbeing gains. The N-vertex improvement provides opportunity that C–E coupling squanders.</w:t>
      </w:r>
    </w:p>
    <w:p w14:paraId="2687609D" w14:textId="70CAC5B2" w:rsidR="00CA5A0C" w:rsidRPr="00CA5A0C" w:rsidRDefault="00CA5A0C" w:rsidP="00CA5A0C">
      <w:r w:rsidRPr="00CA5A0C">
        <w:rPr>
          <w:rStyle w:val="Strong"/>
        </w:rPr>
        <w:t>Multi-domain alignment</w:t>
      </w:r>
      <w:r w:rsidRPr="00CA5A0C">
        <w:t xml:space="preserve"> succeeds because changes propagate through constitutive, causal, and enabling relationships, creating mutually stabilizing configuration. When E changes incentive structures, C adapts meanings to rationalize new behaviors, and N responds through modified throughput patterns. The three vertices co-evolve toward configuration where each supports the others. This represents gradient change in the full system—modification of </w:t>
      </w:r>
      <m:oMath>
        <m:r>
          <w:rPr>
            <w:rFonts w:ascii="Cambria Math" w:hAnsi="Cambria Math"/>
          </w:rPr>
          <m:t>V(x)</m:t>
        </m:r>
      </m:oMath>
      <w:r w:rsidRPr="00CA5A0C">
        <w:t xml:space="preserve"> in the complete N–C–E space rather than applied force in single dimension.</w:t>
      </w:r>
    </w:p>
    <w:p w14:paraId="32921C4F" w14:textId="26EC003B" w:rsidR="00CA5A0C" w:rsidRPr="00CA5A0C" w:rsidRDefault="00CA5A0C" w:rsidP="00CA5A0C">
      <w:r w:rsidRPr="00CA5A0C">
        <w:t xml:space="preserve">The sign-flip exemplifies proper multi-domain gradient change. It targets E (symbolic infrastructure), immediately reshaping what accumulation means and how status is signaled. This E-vertex change propagates to C through altered incentive salience: restoration becomes rewarding, extraction becomes costly. Changed C-vertex meanings propagate to N through behavioral aggregation: individual optimization toward low obligation produces collective throughput reduction. Changed N-vertex states </w:t>
      </w:r>
      <w:r w:rsidRPr="00CA5A0C">
        <w:t>feedback</w:t>
      </w:r>
      <w:r w:rsidRPr="00CA5A0C">
        <w:t xml:space="preserve"> to E through constraint visibility: regenerated ecosystems expand sustainable extraction capacity. The nine pathways form mutually reinforcing loops rather than opposing forces.</w:t>
      </w:r>
    </w:p>
    <w:p w14:paraId="2A54E229" w14:textId="77777777" w:rsidR="00CA5A0C" w:rsidRPr="00CA5A0C" w:rsidRDefault="00CA5A0C" w:rsidP="00CA5A0C">
      <w:r w:rsidRPr="00CA5A0C">
        <w:t>This explains why the sign-flip satisfies thermodynamic requirements where single-vertex interventions fail. It changes the potential landscape V(x) across all three dimensions simultaneously, establishing new attractor where local optimization in each vertex reinforces optimal configurations in others. The system maintains itself not through coordination against gradient but through self-reinforcing dynamics where gradient itself points toward desired configuration. This is engineering the hill rather than pushing uphill—the essence of thermodynamically sustainable reform.</w:t>
      </w:r>
    </w:p>
    <w:p w14:paraId="1575021C" w14:textId="77777777" w:rsidR="00CA5A0C" w:rsidRPr="00CA5A0C" w:rsidRDefault="00CA5A0C" w:rsidP="00CA5A0C">
      <w:r w:rsidRPr="00CA5A0C">
        <w:br w:type="page"/>
      </w:r>
    </w:p>
    <w:p w14:paraId="44DE9D06" w14:textId="77777777" w:rsidR="00CA5A0C" w:rsidRPr="00CA5A0C" w:rsidRDefault="00CA5A0C" w:rsidP="00CA5A0C">
      <w:pPr>
        <w:rPr>
          <w:b/>
          <w:bCs/>
        </w:rPr>
      </w:pPr>
      <w:r w:rsidRPr="00CA5A0C">
        <w:rPr>
          <w:b/>
          <w:bCs/>
        </w:rPr>
        <w:t>2.6.9 Synthesis: What the Default Gradient Law Means for Civilization</w:t>
      </w:r>
    </w:p>
    <w:p w14:paraId="2B3AD981" w14:textId="77777777" w:rsidR="00CA5A0C" w:rsidRPr="00CA5A0C" w:rsidRDefault="00CA5A0C" w:rsidP="00CA5A0C">
      <w:r w:rsidRPr="00CA5A0C">
        <w:t>The Default Gradient Law crystallizes into a principle that transforms how we understand civilizational reform. The insight is not that reform is difficult—this is obvious—but that certain classes of reform are thermodynamically impossible regardless of effort or resources. No amount of coordination can permanently maintain organization against substantial gradients. No amount of education can override misaligned incentives. No amount of ethics can overcome competitive selection. No amount of regulation can substitute for payoff restructuring. These are not challenges to overcome through greater effort but impossibilities to avoid through better design.</w:t>
      </w:r>
    </w:p>
    <w:p w14:paraId="0BB6FA0A" w14:textId="77777777" w:rsidR="00CA5A0C" w:rsidRPr="00CA5A0C" w:rsidRDefault="00CA5A0C" w:rsidP="00CA5A0C">
      <w:r w:rsidRPr="00CA5A0C">
        <w:rPr>
          <w:b/>
        </w:rPr>
        <w:t>Reform is not about working harder.</w:t>
      </w:r>
      <w:r w:rsidRPr="00CA5A0C">
        <w:rPr>
          <w:b/>
        </w:rPr>
        <w:br/>
        <w:t>Reform is about changing which direction is downhill.</w:t>
      </w:r>
    </w:p>
    <w:p w14:paraId="05A312C0" w14:textId="77777777" w:rsidR="00CA5A0C" w:rsidRPr="00CA5A0C" w:rsidRDefault="00CA5A0C" w:rsidP="00CA5A0C">
      <w:r w:rsidRPr="00CA5A0C">
        <w:t>This reframing has immediate practical implications. When sustainability requires continuous effort against systemic drift, it cannot be sustained. Human attention wavers, leadership changes, resources redirect, crises demand priority shifts. Any configuration requiring permanent vigilance will eventually fail not through lack of commitment but through impossibility of infinite vigilance. Conversely, when sustainability is the default gradient—what happens when we stop trying—it persists automatically through local optimization.</w:t>
      </w:r>
    </w:p>
    <w:p w14:paraId="5C12FD4E" w14:textId="77777777" w:rsidR="00CA5A0C" w:rsidRPr="00CA5A0C" w:rsidRDefault="00CA5A0C" w:rsidP="00CA5A0C">
      <w:r w:rsidRPr="00CA5A0C">
        <w:t>The contrast can be seen in the fundamental asymmetry between two possible regimes:</w:t>
      </w:r>
    </w:p>
    <w:p w14:paraId="5F8C83F5" w14:textId="77777777" w:rsidR="00CA5A0C" w:rsidRPr="00CA5A0C" w:rsidRDefault="00CA5A0C" w:rsidP="00CA5A0C">
      <w:r w:rsidRPr="00CA5A0C">
        <w:rPr>
          <w:b/>
        </w:rPr>
        <w:t xml:space="preserve">When sustainability is the default gradient: </w:t>
      </w:r>
      <w:r w:rsidRPr="00CA5A0C">
        <w:t>No coordination is required to maintain it. Agents optimizing locally produce collectively sustainable patterns. Deviation from sustainability requires effort and investment—actors attempting extraction face rising costs and constraints. The system self-corrects toward viability through the same optimization processes that currently drive toward collapse. Improvement becomes automatic; dysfunction requires active effort.</w:t>
      </w:r>
    </w:p>
    <w:p w14:paraId="2CAF3A0D" w14:textId="77777777" w:rsidR="00CA5A0C" w:rsidRPr="00CA5A0C" w:rsidRDefault="00CA5A0C" w:rsidP="00CA5A0C">
      <w:r w:rsidRPr="00CA5A0C">
        <w:rPr>
          <w:b/>
        </w:rPr>
        <w:t xml:space="preserve">When extraction is the default gradient: </w:t>
      </w:r>
      <w:r w:rsidRPr="00CA5A0C">
        <w:t>Continuous coordination is required to prevent collapse. Agents optimizing locally produce collectively destructive patterns. Achieving sustainability requires effort and sacrifice—actors attempting restoration face competitive disadvantages. The system self-corrects toward overshoot through optimization processes that appear locally rational. Dysfunction becomes automatic; improvement requires active effort.</w:t>
      </w:r>
    </w:p>
    <w:p w14:paraId="5952DBB7" w14:textId="77777777" w:rsidR="00CA5A0C" w:rsidRPr="00CA5A0C" w:rsidRDefault="00CA5A0C" w:rsidP="00CA5A0C">
      <w:r w:rsidRPr="00CA5A0C">
        <w:t>Current civilization operates in the second regime. Extraction generates profit, profit enables expansion, expansion increases extraction. This positive feedback cannot be permanently opposed through force—the Coordination, Education, Ethics, and Regulation Fallacies all fail against this reality. Only gradient inversion can succeed: redesigning symbols so that extraction generates constraint and restoration generates freedom. This transforms the thermodynamic landscape from one where dysfunction is downhill to one where sustainability is downhill.</w:t>
      </w:r>
    </w:p>
    <w:p w14:paraId="5AC3D0E6" w14:textId="77777777" w:rsidR="00CA5A0C" w:rsidRPr="00CA5A0C" w:rsidRDefault="00CA5A0C" w:rsidP="00CA5A0C">
      <w:r w:rsidRPr="00CA5A0C">
        <w:t>The Default Gradient Law therefore establishes not what we should do but what we can do. It constrains possibility space according to thermodynamic necessity. Within that constraint, the sign-flip architecture becomes not merely desirable but necessary. No alternative approach changes the default gradient while satisfying requirements for intrinsic, automatic, payoff-altering, robust mechanism. Other interventions might complement the sign-flip, but nothing can substitute for it. Thermodynamics permits no perpetual motion, and reform without gradient change is attempting perpetual motion.</w:t>
      </w:r>
    </w:p>
    <w:p w14:paraId="2531E418" w14:textId="77777777" w:rsidR="00CA5A0C" w:rsidRPr="00CA5A0C" w:rsidRDefault="00CA5A0C" w:rsidP="00CA5A0C">
      <w:r w:rsidRPr="00CA5A0C">
        <w:t>This is why the principle deserves recognition as law rather than heuristic. It operates with the same necessity as conservation principles in physics: not describing what usually happens but constraining what can happen. Violations don't produce suboptimal results; they produce inevitable failure. Understanding this distinction transforms civilizational reform from moral project requiring better humans to engineering project requiring better systems. We don't need people to work harder against gradients. We need gradients to point toward sustainability.</w:t>
      </w:r>
    </w:p>
    <w:p w14:paraId="06082CB6" w14:textId="77777777" w:rsidR="00CA5A0C" w:rsidRPr="00CA5A0C" w:rsidRDefault="00CA5A0C" w:rsidP="00CA5A0C">
      <w:r w:rsidRPr="00CA5A0C">
        <w:t>The gradient is destiny. The question is whether we engineer it deliberately or allow it to emerge from accumulated optimization by agents pursuing local advantage. Current trajectory reflects the second path—gradient emerging from unconstrained extraction. The architecture proposed in subsequent sections represents the first path—gradient engineered to align individual rationality with collective viability. The Default Gradient Law establishes why this distinction determines whether civilization persists or collapses regardless of intent, effort, or sophistication.</w:t>
      </w:r>
    </w:p>
    <w:p w14:paraId="3AD7BAD0" w14:textId="7028A4CB" w:rsidR="00CA5A0C" w:rsidRDefault="00CA5A0C" w:rsidP="00CA5A0C">
      <w:r w:rsidRPr="00CA5A0C">
        <w:rPr>
          <w:b/>
          <w:i/>
        </w:rPr>
        <w:t>The gradient is destiny.</w:t>
      </w:r>
    </w:p>
    <w:p w14:paraId="1D332236" w14:textId="77777777" w:rsidR="00CA5A0C" w:rsidRPr="00CA5A0C" w:rsidRDefault="00CA5A0C" w:rsidP="00CA5A0C">
      <w:pPr>
        <w:sectPr w:rsidR="00CA5A0C" w:rsidRPr="00CA5A0C" w:rsidSect="00034616">
          <w:pgSz w:w="12240" w:h="15840"/>
          <w:pgMar w:top="1440" w:right="1800" w:bottom="1440" w:left="1800" w:header="720" w:footer="720" w:gutter="0"/>
          <w:cols w:space="720"/>
          <w:docGrid w:linePitch="360"/>
        </w:sectPr>
      </w:pPr>
    </w:p>
    <w:p w14:paraId="38D5820F" w14:textId="77777777" w:rsidR="003C0797" w:rsidRDefault="00000000">
      <w:pPr>
        <w:pStyle w:val="Heading2"/>
      </w:pPr>
      <w:r>
        <w:t>2.6 The Default Gradient Law: An Observed Principle</w:t>
      </w:r>
    </w:p>
    <w:p w14:paraId="71EB41AD" w14:textId="77777777" w:rsidR="003C0797" w:rsidRDefault="00000000">
      <w:r>
        <w:t>The asymmetric propagation analysis and prophylactic integrity axiom converge on a deeper principle that transcends the NiCE framework itself. What emerges is not a design recommendation but an observed law of system reform, one that operates with the same inevitability as thermodynamic principles from which it derives.</w:t>
      </w:r>
    </w:p>
    <w:p w14:paraId="69438DF2" w14:textId="77777777" w:rsidR="003C0797" w:rsidRPr="00EA5B0E" w:rsidRDefault="00000000">
      <w:pPr>
        <w:spacing w:before="360" w:after="360"/>
        <w:ind w:left="720" w:right="720"/>
        <w:rPr>
          <w:rStyle w:val="IntenseReference"/>
          <w:color w:val="E36C0A" w:themeColor="accent6" w:themeShade="BF"/>
        </w:rPr>
      </w:pPr>
      <w:r w:rsidRPr="00EA5B0E">
        <w:rPr>
          <w:rStyle w:val="IntenseReference"/>
          <w:color w:val="E36C0A" w:themeColor="accent6" w:themeShade="BF"/>
        </w:rPr>
        <w:t>Any reform that does not change the default gradient—what the system falls into—will be outcompeted by entropic drift.</w:t>
      </w:r>
    </w:p>
    <w:p w14:paraId="5FA95FBE" w14:textId="77777777" w:rsidR="003C0797" w:rsidRDefault="00000000">
      <w:r>
        <w:t>This is not aspirational guidance. It is an observed regularity with characteristics that distinguish physical laws from heuristics: thermodynamic necessity, empirical universality, predictive power, and non-negotiability. Like conservation laws in physics, the Default Gradient Law constrains what interventions are possible, not merely what interventions are optimal.</w:t>
      </w:r>
    </w:p>
    <w:p w14:paraId="7FCAEC43" w14:textId="77777777" w:rsidR="003C0797" w:rsidRDefault="00000000" w:rsidP="00CA5A0C">
      <w:pPr>
        <w:pStyle w:val="Heading3"/>
      </w:pPr>
      <w:r>
        <w:t>2.6.1 The Mechanics of Default Gradients</w:t>
      </w:r>
    </w:p>
    <w:p w14:paraId="1447CFE6" w14:textId="77777777" w:rsidR="00EA5B0E" w:rsidRDefault="00000000">
      <w:r>
        <w:t xml:space="preserve">The default gradient represents the thermodynamically downhill direction—the path the system follows when coordination ceases. In dynamical systems formalism, if system state x(t) evolves according to </w:t>
      </w:r>
    </w:p>
    <w:p w14:paraId="5E4E18FD" w14:textId="75218A48" w:rsidR="00EA5B0E" w:rsidRDefault="00EA5B0E" w:rsidP="00EA5B0E">
      <w:pPr>
        <w:jc w:val="center"/>
      </w:pP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-∇V</m:t>
        </m:r>
        <m:d>
          <m:dPr>
            <m:ctrlPr>
              <w:rPr>
                <w:rFonts w:ascii="Cambria Math" w:hAnsi="Cambria Math"/>
                <w:i/>
              </w:rPr>
            </m:ctrlPr>
          </m:dPr>
          <m:e>
            <m:r>
              <w:rPr>
                <w:rFonts w:ascii="Cambria Math" w:hAnsi="Cambria Math"/>
              </w:rPr>
              <m:t>x</m:t>
            </m:r>
          </m:e>
        </m:d>
        <m:r>
          <w:rPr>
            <w:rFonts w:ascii="Cambria Math" w:hAnsi="Cambria Math"/>
          </w:rPr>
          <m:t>+ u</m:t>
        </m:r>
        <m:d>
          <m:dPr>
            <m:ctrlPr>
              <w:rPr>
                <w:rFonts w:ascii="Cambria Math" w:hAnsi="Cambria Math"/>
                <w:i/>
              </w:rPr>
            </m:ctrlPr>
          </m:dPr>
          <m:e>
            <m:r>
              <w:rPr>
                <w:rFonts w:ascii="Cambria Math" w:hAnsi="Cambria Math"/>
              </w:rPr>
              <m:t>t</m:t>
            </m:r>
          </m:e>
        </m:d>
        <m:r>
          <w:rPr>
            <w:rFonts w:ascii="Cambria Math" w:hAnsi="Cambria Math"/>
          </w:rPr>
          <m:t>–</m:t>
        </m:r>
        <m:r>
          <w:rPr>
            <w:rFonts w:ascii="Cambria Math" w:hAnsi="Cambria Math"/>
          </w:rPr>
          <m:t xml:space="preserve"> η</m:t>
        </m:r>
        <m:d>
          <m:dPr>
            <m:ctrlPr>
              <w:rPr>
                <w:rFonts w:ascii="Cambria Math" w:hAnsi="Cambria Math"/>
                <w:i/>
              </w:rPr>
            </m:ctrlPr>
          </m:dPr>
          <m:e>
            <m:r>
              <w:rPr>
                <w:rFonts w:ascii="Cambria Math" w:hAnsi="Cambria Math"/>
              </w:rPr>
              <m:t>x</m:t>
            </m:r>
          </m:e>
        </m:d>
      </m:oMath>
      <w:r w:rsidR="00000000">
        <w:t>,</w:t>
      </w:r>
    </w:p>
    <w:p w14:paraId="2B17B56A" w14:textId="77777777" w:rsidR="00EA5B0E" w:rsidRDefault="00000000">
      <w:r>
        <w:t xml:space="preserve">three terms determine trajectory: </w:t>
      </w:r>
    </w:p>
    <w:p w14:paraId="4E418661" w14:textId="18DFBF48" w:rsidR="00EA5B0E" w:rsidRDefault="00EA5B0E" w:rsidP="00EA5B0E">
      <w:pPr>
        <w:pStyle w:val="ListParagraph"/>
        <w:numPr>
          <w:ilvl w:val="0"/>
          <w:numId w:val="10"/>
        </w:numPr>
      </w:pPr>
      <m:oMath>
        <m:r>
          <w:rPr>
            <w:rFonts w:ascii="Cambria Math" w:hAnsi="Cambria Math"/>
          </w:rPr>
          <m:t>-</m:t>
        </m:r>
        <m:r>
          <w:rPr>
            <w:rFonts w:ascii="Cambria Math" w:hAnsi="Cambria Math" w:cs="Cambria Math"/>
          </w:rPr>
          <m:t>∇</m:t>
        </m:r>
        <m:r>
          <w:rPr>
            <w:rFonts w:ascii="Cambria Math" w:hAnsi="Cambria Math"/>
          </w:rPr>
          <m:t>V</m:t>
        </m:r>
        <m:d>
          <m:dPr>
            <m:ctrlPr>
              <w:rPr>
                <w:rFonts w:ascii="Cambria Math" w:hAnsi="Cambria Math"/>
                <w:i/>
              </w:rPr>
            </m:ctrlPr>
          </m:dPr>
          <m:e>
            <m:r>
              <w:rPr>
                <w:rFonts w:ascii="Cambria Math" w:hAnsi="Cambria Math"/>
              </w:rPr>
              <m:t>x</m:t>
            </m:r>
          </m:e>
        </m:d>
      </m:oMath>
      <w:r w:rsidR="00000000">
        <w:t xml:space="preserve"> represents forces from potential landscape, </w:t>
      </w:r>
    </w:p>
    <w:p w14:paraId="18EDBBDE" w14:textId="4B9A28C8" w:rsidR="00EA5B0E" w:rsidRDefault="00EA5B0E" w:rsidP="00EA5B0E">
      <w:pPr>
        <w:pStyle w:val="ListParagraph"/>
        <w:numPr>
          <w:ilvl w:val="0"/>
          <w:numId w:val="10"/>
        </w:numPr>
      </w:pPr>
      <m:oMath>
        <m:r>
          <w:rPr>
            <w:rFonts w:ascii="Cambria Math" w:hAnsi="Cambria Math"/>
          </w:rPr>
          <m:t>u</m:t>
        </m:r>
        <m:d>
          <m:dPr>
            <m:ctrlPr>
              <w:rPr>
                <w:rFonts w:ascii="Cambria Math" w:hAnsi="Cambria Math"/>
                <w:i/>
              </w:rPr>
            </m:ctrlPr>
          </m:dPr>
          <m:e>
            <m:r>
              <w:rPr>
                <w:rFonts w:ascii="Cambria Math" w:hAnsi="Cambria Math"/>
              </w:rPr>
              <m:t>t</m:t>
            </m:r>
          </m:e>
        </m:d>
      </m:oMath>
      <w:r w:rsidR="00000000">
        <w:t xml:space="preserve"> represents coordinated intervention, and </w:t>
      </w:r>
    </w:p>
    <w:p w14:paraId="611DBBF5" w14:textId="21F10AD0" w:rsidR="00EA5B0E" w:rsidRDefault="00EA5B0E" w:rsidP="00EA5B0E">
      <w:pPr>
        <w:pStyle w:val="ListParagraph"/>
        <w:numPr>
          <w:ilvl w:val="0"/>
          <w:numId w:val="10"/>
        </w:numPr>
      </w:pPr>
      <m:oMath>
        <m:r>
          <w:rPr>
            <w:rFonts w:ascii="Cambria Math" w:hAnsi="Cambria Math"/>
          </w:rPr>
          <m:t>η</m:t>
        </m:r>
        <m:d>
          <m:dPr>
            <m:ctrlPr>
              <w:rPr>
                <w:rFonts w:ascii="Cambria Math" w:hAnsi="Cambria Math"/>
                <w:i/>
              </w:rPr>
            </m:ctrlPr>
          </m:dPr>
          <m:e>
            <m:r>
              <w:rPr>
                <w:rFonts w:ascii="Cambria Math" w:hAnsi="Cambria Math"/>
              </w:rPr>
              <m:t>x</m:t>
            </m:r>
          </m:e>
        </m:d>
      </m:oMath>
      <w:r w:rsidR="00000000">
        <w:t xml:space="preserve"> represents entropic decay. </w:t>
      </w:r>
    </w:p>
    <w:p w14:paraId="26D6CA4A" w14:textId="1E3B399B" w:rsidR="003C0797" w:rsidRDefault="00000000">
      <w:r>
        <w:t>The default gradient is -∇V(x)—motion when u(t) = 0.</w:t>
      </w:r>
    </w:p>
    <w:p w14:paraId="191B4DC7" w14:textId="77777777" w:rsidR="003C0797" w:rsidRDefault="00000000">
      <w:r>
        <w:t>Entropic drift is not metaphorical but mechanical. The Second Law establishes that systems evolve toward maximum entropy. Order requires continuous work; disorder emerges automatically. Applied to institutions: degradation propagates without coordination while improvement requires coordinated effort against thermodynamic gradient.</w:t>
      </w:r>
    </w:p>
    <w:p w14:paraId="47839D6A" w14:textId="77777777" w:rsidR="003C0797" w:rsidRDefault="00000000" w:rsidP="00CA5A0C">
      <w:pPr>
        <w:pStyle w:val="Heading3"/>
      </w:pPr>
      <w:r>
        <w:t>2.6.2 Empirical Manifestations Across Domains</w:t>
      </w:r>
    </w:p>
    <w:p w14:paraId="1F3AC859" w14:textId="77777777" w:rsidR="003C0797" w:rsidRDefault="00000000">
      <w:r>
        <w:t>The Default Gradient Law manifests identically across institutional, environmental, educational, and healthcare reform because the same thermodynamic principles govern all organized systems.</w:t>
      </w:r>
    </w:p>
    <w:p w14:paraId="0DC2C329" w14:textId="77777777" w:rsidR="00EA5B0E" w:rsidRPr="00EA5B0E" w:rsidRDefault="00000000">
      <w:pPr>
        <w:rPr>
          <w:rStyle w:val="Strong"/>
        </w:rPr>
      </w:pPr>
      <w:r w:rsidRPr="00EA5B0E">
        <w:rPr>
          <w:rStyle w:val="Strong"/>
        </w:rPr>
        <w:t xml:space="preserve">Institutional reform: </w:t>
      </w:r>
    </w:p>
    <w:p w14:paraId="081C7C97" w14:textId="77777777" w:rsidR="00EA5B0E" w:rsidRDefault="00000000" w:rsidP="00EA5B0E">
      <w:pPr>
        <w:pStyle w:val="ListParagraph"/>
        <w:numPr>
          <w:ilvl w:val="0"/>
          <w:numId w:val="11"/>
        </w:numPr>
      </w:pPr>
      <w:r>
        <w:t xml:space="preserve">Regulations without changed incentives decay toward capture. </w:t>
      </w:r>
    </w:p>
    <w:p w14:paraId="734C4586" w14:textId="3045FD8B" w:rsidR="00EA5B0E" w:rsidRDefault="00000000" w:rsidP="00EA5B0E">
      <w:pPr>
        <w:pStyle w:val="ListParagraph"/>
        <w:numPr>
          <w:ilvl w:val="0"/>
          <w:numId w:val="11"/>
        </w:numPr>
      </w:pPr>
      <w:r>
        <w:t xml:space="preserve">Ethics training without structural change produces shallow compliance. </w:t>
      </w:r>
    </w:p>
    <w:p w14:paraId="2D24B3D5" w14:textId="524D1C87" w:rsidR="003C0797" w:rsidRDefault="00000000">
      <w:r>
        <w:t>The gradient reasserts itself when active defense ceases.</w:t>
      </w:r>
    </w:p>
    <w:p w14:paraId="75616D13" w14:textId="77777777" w:rsidR="00EA5B0E" w:rsidRPr="00EA5B0E" w:rsidRDefault="00000000">
      <w:pPr>
        <w:rPr>
          <w:rStyle w:val="Strong"/>
        </w:rPr>
      </w:pPr>
      <w:r w:rsidRPr="00EA5B0E">
        <w:rPr>
          <w:rStyle w:val="Strong"/>
        </w:rPr>
        <w:t xml:space="preserve">Environmental policy: </w:t>
      </w:r>
    </w:p>
    <w:p w14:paraId="2F4A273E" w14:textId="77777777" w:rsidR="00EA5B0E" w:rsidRDefault="00000000" w:rsidP="00EA5B0E">
      <w:pPr>
        <w:pStyle w:val="ListParagraph"/>
        <w:numPr>
          <w:ilvl w:val="0"/>
          <w:numId w:val="12"/>
        </w:numPr>
      </w:pPr>
      <w:r>
        <w:t xml:space="preserve">Voluntary targets systematically undershoot. </w:t>
      </w:r>
    </w:p>
    <w:p w14:paraId="323E5585" w14:textId="77777777" w:rsidR="00EA5B0E" w:rsidRDefault="00000000" w:rsidP="00EA5B0E">
      <w:pPr>
        <w:pStyle w:val="ListParagraph"/>
        <w:numPr>
          <w:ilvl w:val="0"/>
          <w:numId w:val="12"/>
        </w:numPr>
      </w:pPr>
      <w:r>
        <w:t xml:space="preserve">Carbon pricing without complementary policies faces political backlash. </w:t>
      </w:r>
    </w:p>
    <w:p w14:paraId="7413C060" w14:textId="4AD04044" w:rsidR="003C0797" w:rsidRDefault="00000000" w:rsidP="00EA5B0E">
      <w:pPr>
        <w:pStyle w:val="ListParagraph"/>
        <w:numPr>
          <w:ilvl w:val="0"/>
          <w:numId w:val="12"/>
        </w:numPr>
      </w:pPr>
      <w:r>
        <w:t>Protected areas without enforcement become paper parks.</w:t>
      </w:r>
    </w:p>
    <w:p w14:paraId="1C8AB725" w14:textId="77777777" w:rsidR="00EA5B0E" w:rsidRPr="00EA5B0E" w:rsidRDefault="00000000">
      <w:pPr>
        <w:rPr>
          <w:rStyle w:val="Strong"/>
        </w:rPr>
      </w:pPr>
      <w:r w:rsidRPr="00EA5B0E">
        <w:rPr>
          <w:rStyle w:val="Strong"/>
        </w:rPr>
        <w:t xml:space="preserve">Educational reform: </w:t>
      </w:r>
    </w:p>
    <w:p w14:paraId="363B9A5C" w14:textId="77777777" w:rsidR="00EA5B0E" w:rsidRDefault="00000000" w:rsidP="00EA5B0E">
      <w:pPr>
        <w:pStyle w:val="ListParagraph"/>
        <w:numPr>
          <w:ilvl w:val="0"/>
          <w:numId w:val="13"/>
        </w:numPr>
      </w:pPr>
      <w:r>
        <w:t xml:space="preserve">Curriculum changes without assessment alignment produce teaching to test. </w:t>
      </w:r>
    </w:p>
    <w:p w14:paraId="34C82673" w14:textId="519402C8" w:rsidR="003C0797" w:rsidRDefault="00000000" w:rsidP="00EA5B0E">
      <w:pPr>
        <w:pStyle w:val="ListParagraph"/>
        <w:numPr>
          <w:ilvl w:val="0"/>
          <w:numId w:val="13"/>
        </w:numPr>
      </w:pPr>
      <w:r>
        <w:t>Technology adoption without pedagogical transformation creates expensive traditionalism.</w:t>
      </w:r>
    </w:p>
    <w:p w14:paraId="3EFEE68F" w14:textId="77777777" w:rsidR="00EA5B0E" w:rsidRPr="00EA5B0E" w:rsidRDefault="00000000">
      <w:pPr>
        <w:rPr>
          <w:rStyle w:val="Strong"/>
        </w:rPr>
      </w:pPr>
      <w:r w:rsidRPr="00EA5B0E">
        <w:rPr>
          <w:rStyle w:val="Strong"/>
        </w:rPr>
        <w:t xml:space="preserve">Healthcare reform: </w:t>
      </w:r>
    </w:p>
    <w:p w14:paraId="17C7359C" w14:textId="77777777" w:rsidR="00EA5B0E" w:rsidRDefault="00000000" w:rsidP="00EA5B0E">
      <w:pPr>
        <w:pStyle w:val="ListParagraph"/>
        <w:numPr>
          <w:ilvl w:val="0"/>
          <w:numId w:val="14"/>
        </w:numPr>
      </w:pPr>
      <w:r>
        <w:t xml:space="preserve">Quality metrics without payment reform enable gaming. </w:t>
      </w:r>
    </w:p>
    <w:p w14:paraId="1A5EE81A" w14:textId="77777777" w:rsidR="00EA5B0E" w:rsidRDefault="00000000" w:rsidP="00EA5B0E">
      <w:pPr>
        <w:pStyle w:val="ListParagraph"/>
        <w:numPr>
          <w:ilvl w:val="0"/>
          <w:numId w:val="14"/>
        </w:numPr>
      </w:pPr>
      <w:r>
        <w:t xml:space="preserve">Coordination mandates without integration funding create burden. </w:t>
      </w:r>
    </w:p>
    <w:p w14:paraId="7D77E21D" w14:textId="5060530D" w:rsidR="003C0797" w:rsidRDefault="00000000" w:rsidP="00EA5B0E">
      <w:pPr>
        <w:pStyle w:val="ListParagraph"/>
        <w:numPr>
          <w:ilvl w:val="0"/>
          <w:numId w:val="14"/>
        </w:numPr>
      </w:pPr>
      <w:r>
        <w:t>Each pattern reveals applied force fighting unchanged gradient.</w:t>
      </w:r>
    </w:p>
    <w:p w14:paraId="7B2A78A7" w14:textId="77777777" w:rsidR="003C0797" w:rsidRDefault="00000000" w:rsidP="00CA5A0C">
      <w:pPr>
        <w:pStyle w:val="Heading3"/>
      </w:pPr>
      <w:r>
        <w:t>2.6.3 Four Fallacies: Why Conventional Reform Violates the Law</w:t>
      </w:r>
    </w:p>
    <w:p w14:paraId="2763A444" w14:textId="77777777" w:rsidR="003C0797" w:rsidRDefault="00000000">
      <w:r>
        <w:t>Understanding why the Default Gradient Law is systematically violated requires examining fallacies that make gradient-insensitive reform appear plausible.</w:t>
      </w:r>
    </w:p>
    <w:p w14:paraId="34A19973" w14:textId="77777777" w:rsidR="003C0797" w:rsidRDefault="00000000">
      <w:r>
        <w:rPr>
          <w:b/>
        </w:rPr>
        <w:t>The Coordination Fallacy</w:t>
      </w:r>
      <w:r>
        <w:t xml:space="preserve"> assumes continuous coordinated effort can maintain order indefinitely. But coordination itself requires energy. When coordinated systems consume more than they produce, the configuration is unsustainable. Reform depending on permanent vigilance faces thermodynamic impossibility.</w:t>
      </w:r>
    </w:p>
    <w:p w14:paraId="368894F7" w14:textId="77777777" w:rsidR="003C0797" w:rsidRDefault="00000000">
      <w:r>
        <w:rPr>
          <w:b/>
        </w:rPr>
        <w:t>The Education Fallacy</w:t>
      </w:r>
      <w:r>
        <w:t xml:space="preserve"> assumes information changes behavior regardless of incentive structure. Information is necessary for optimal choice but insufficient when incentives remain misaligned, </w:t>
      </w:r>
      <w:r>
        <w:rPr>
          <w:i/>
        </w:rPr>
        <w:t>and especially insufficient when no improved alternative is available to escape to.</w:t>
      </w:r>
      <w:r>
        <w:t xml:space="preserve"> Even when agents understand harm and desire change, they cannot exit structures providing no exit path. Knowledge without viable alternatives produces informed helplessness rather than empowered action.</w:t>
      </w:r>
    </w:p>
    <w:p w14:paraId="30C78672" w14:textId="77777777" w:rsidR="003C0797" w:rsidRDefault="00000000">
      <w:r>
        <w:rPr>
          <w:b/>
        </w:rPr>
        <w:t>The Ethics Fallacy</w:t>
      </w:r>
      <w:r>
        <w:t xml:space="preserve"> assumes moral exhortation can overcome structural pressures. But structure determines selection; ethics operates only within structural constraints. Ethical actors who absorb costs that competitors externalize experience competitive disadvantage. The population shifts toward whatever strategy the structure rewards.</w:t>
      </w:r>
    </w:p>
    <w:p w14:paraId="717D9E86" w14:textId="77777777" w:rsidR="003C0797" w:rsidRDefault="00000000">
      <w:r>
        <w:rPr>
          <w:b/>
        </w:rPr>
        <w:t>The Regulation Fallacy</w:t>
      </w:r>
      <w:r>
        <w:t xml:space="preserve"> assumes rules can impose order without changing payoffs. When rules oppose gradients, rational actors invest in circumvention. The gap between regulatory intent and practice widens as optimization exploits every loophole. Rules without payoff change produce evasion rather than behavioral change.</w:t>
      </w:r>
    </w:p>
    <w:p w14:paraId="7B377615" w14:textId="77777777" w:rsidR="003C0797" w:rsidRDefault="00000000">
      <w:r>
        <w:br w:type="page"/>
      </w:r>
    </w:p>
    <w:p w14:paraId="19BA0A21" w14:textId="77777777" w:rsidR="003C0797" w:rsidRDefault="00000000" w:rsidP="00CA5A0C">
      <w:pPr>
        <w:pStyle w:val="Heading3"/>
      </w:pPr>
      <w:r>
        <w:t>2.6.4 The Core Insight</w:t>
      </w:r>
    </w:p>
    <w:p w14:paraId="11234944" w14:textId="77777777" w:rsidR="003C0797" w:rsidRPr="00EA5B0E" w:rsidRDefault="00000000">
      <w:pPr>
        <w:spacing w:before="360" w:after="360"/>
        <w:ind w:left="720" w:right="720"/>
        <w:rPr>
          <w:rStyle w:val="IntenseReference"/>
          <w:color w:val="E36C0A" w:themeColor="accent6" w:themeShade="BF"/>
        </w:rPr>
      </w:pPr>
      <w:r w:rsidRPr="00EA5B0E">
        <w:rPr>
          <w:rStyle w:val="IntenseReference"/>
          <w:color w:val="E36C0A" w:themeColor="accent6" w:themeShade="BF"/>
        </w:rPr>
        <w:t>Reform is not about working harder.</w:t>
      </w:r>
      <w:r w:rsidRPr="00EA5B0E">
        <w:rPr>
          <w:rStyle w:val="IntenseReference"/>
          <w:color w:val="E36C0A" w:themeColor="accent6" w:themeShade="BF"/>
        </w:rPr>
        <w:br/>
        <w:t>Reform is about changing which direction is downhill.</w:t>
      </w:r>
    </w:p>
    <w:p w14:paraId="11BE6ECD" w14:textId="77777777" w:rsidR="003C0797" w:rsidRDefault="00000000">
      <w:r>
        <w:t>When sustainability is the default gradient, no coordination is required to maintain it. Agents optimizing locally produce collectively sustainable patterns. Deviation requires effort and fails. The system self-corrects toward viability.</w:t>
      </w:r>
    </w:p>
    <w:p w14:paraId="51AD71AF" w14:textId="77777777" w:rsidR="003C0797" w:rsidRDefault="00000000">
      <w:r>
        <w:t>When extraction is the default gradient, coordination is required to prevent collapse. Sustainable behavior requires effort and fails. The system self-corrects toward overshoot.</w:t>
      </w:r>
    </w:p>
    <w:p w14:paraId="05EF1DCB" w14:textId="11FDCFC3" w:rsidR="003C0797" w:rsidRDefault="00000000">
      <w:r>
        <w:t xml:space="preserve">The gradient is destiny. No amount of effort can permanently overcome thermodynamic necessity. Civilizational stability requires engineering the gradient, not fighting it. The sign-flip architecture exemplifies this: it changes </w:t>
      </w:r>
      <m:oMath>
        <m:r>
          <w:rPr>
            <w:rFonts w:ascii="Cambria Math" w:hAnsi="Cambria Math"/>
          </w:rPr>
          <m:t>V(x)</m:t>
        </m:r>
      </m:oMath>
      <w:r>
        <w:t xml:space="preserve"> itself, making restoration downhill and extraction uphill. Sustainability becomes what the system falls into rather than what must be continuously forced against systemic drift.</w:t>
      </w:r>
    </w:p>
    <w:p w14:paraId="62408D9C"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36F8C7EE" w14:textId="77777777" w:rsidR="003C0797" w:rsidRDefault="00000000" w:rsidP="00EA5B0E">
      <w:pPr>
        <w:pStyle w:val="Heading1"/>
      </w:pPr>
      <w:r>
        <w:t>3. Formalizing the Sign-Flip: Ecological Debt as Operative Constraint</w:t>
      </w:r>
    </w:p>
    <w:p w14:paraId="011AB694" w14:textId="77777777" w:rsidR="003C0797" w:rsidRDefault="00000000">
      <w:r>
        <w:t>The NiCE diagnosis and Default Gradient Law imply that civilizational reform cannot reduce to better exhortation or narrower regulation. The deeper requirement is sign-flip: redesign the dominant symbolic abstraction so that default gradient pulls behavior toward outcomes viable under Nature's constraints.</w:t>
      </w:r>
    </w:p>
    <w:p w14:paraId="78DAF952" w14:textId="77777777" w:rsidR="003C0797" w:rsidRDefault="00000000">
      <w:pPr>
        <w:pStyle w:val="Heading2"/>
      </w:pPr>
      <w:r>
        <w:t>3.1 The Design Challenge</w:t>
      </w:r>
    </w:p>
    <w:p w14:paraId="039BA96B" w14:textId="77777777" w:rsidR="003C0797" w:rsidRDefault="00000000">
      <w:r>
        <w:t>Operationally, the sign-flip has single criterion: ecological debt must no longer be misrepresentable as profit. If extraction can be booked as success while restoration is cost, the system continues selecting for extraction—it is locally rational in mispriced environment.</w:t>
      </w:r>
    </w:p>
    <w:p w14:paraId="05BF18CF" w14:textId="77777777" w:rsidR="003C0797" w:rsidRDefault="00000000">
      <w:r>
        <w:t>Current carbon pricing and offset schemes fail this criterion because they remain negotiable, voluntary, and abstractable. A ton of CO₂ can be 'offset' through accounting without atmospheric drawdown. Forest 'protection' can be claimed for forests never threatened. The symbol layer remains decoupled from substrate reality (Lohmann, 2010).</w:t>
      </w:r>
    </w:p>
    <w:p w14:paraId="0F2773C0" w14:textId="77777777" w:rsidR="003C0797" w:rsidRDefault="00000000">
      <w:pPr>
        <w:pStyle w:val="Heading2"/>
      </w:pPr>
      <w:r>
        <w:t>3.2 Currency as Ecological Debt</w:t>
      </w:r>
    </w:p>
    <w:p w14:paraId="77904937" w14:textId="77777777" w:rsidR="003C0797" w:rsidRDefault="00000000">
      <w:r>
        <w:t>The sign-flip redefines currency from representing extractive entitlement to representing ecological obligation. Under this architecture, consumption of goods/services transfers embedded obligation to the consumer. Restoration work retires obligation through verified substrate improvement. The unit's meaning inverts: accumulation becomes liability rather than asset.</w:t>
      </w:r>
    </w:p>
    <w:p w14:paraId="24EC570B" w14:textId="77777777" w:rsidR="00525F1D" w:rsidRDefault="00000000">
      <w:r>
        <w:t xml:space="preserve">This creates four immediate behavioral implications: </w:t>
      </w:r>
    </w:p>
    <w:p w14:paraId="74C0C755" w14:textId="77777777" w:rsidR="00525F1D" w:rsidRDefault="00000000" w:rsidP="00525F1D">
      <w:r>
        <w:t xml:space="preserve">(1) agents minimize obligation rather than maximize accumulation, </w:t>
      </w:r>
    </w:p>
    <w:p w14:paraId="399A0396" w14:textId="77777777" w:rsidR="00525F1D" w:rsidRDefault="00000000" w:rsidP="00525F1D">
      <w:r>
        <w:t xml:space="preserve">(2) product selection favors low-embedded-debt options, </w:t>
      </w:r>
    </w:p>
    <w:p w14:paraId="61F77D20" w14:textId="77777777" w:rsidR="00525F1D" w:rsidRDefault="00000000" w:rsidP="00525F1D">
      <w:r>
        <w:t xml:space="preserve">(3) restoration becomes path to expanded option space, </w:t>
      </w:r>
    </w:p>
    <w:p w14:paraId="7555B338" w14:textId="648874D8" w:rsidR="003C0797" w:rsidRDefault="00000000" w:rsidP="00525F1D">
      <w:r>
        <w:t>(4) opacity becomes costly rather than profitable.</w:t>
      </w:r>
    </w:p>
    <w:p w14:paraId="2C22CCE9" w14:textId="77777777" w:rsidR="00525F1D" w:rsidRDefault="00525F1D">
      <w:pPr>
        <w:rPr>
          <w:rFonts w:asciiTheme="majorHAnsi" w:eastAsiaTheme="majorEastAsia" w:hAnsiTheme="majorHAnsi" w:cstheme="majorBidi"/>
          <w:b/>
          <w:bCs/>
          <w:color w:val="4F81BD" w:themeColor="accent1"/>
          <w:sz w:val="26"/>
          <w:szCs w:val="26"/>
        </w:rPr>
      </w:pPr>
      <w:r>
        <w:br w:type="page"/>
      </w:r>
    </w:p>
    <w:p w14:paraId="73C96F71" w14:textId="67907699" w:rsidR="003C0797" w:rsidRDefault="00000000">
      <w:pPr>
        <w:pStyle w:val="Heading2"/>
      </w:pPr>
      <w:r>
        <w:t>3.3 Formalizing Ecological Debt: The D(t) Variable</w:t>
      </w:r>
    </w:p>
    <w:p w14:paraId="11C524E2" w14:textId="769C8602" w:rsidR="003C0797" w:rsidRDefault="00000000">
      <w:r>
        <w:t xml:space="preserve">We formalize ecological obligation as scalar state variable </w:t>
      </w:r>
      <m:oMath>
        <m:r>
          <w:rPr>
            <w:rFonts w:ascii="Cambria Math" w:hAnsi="Cambria Math"/>
          </w:rPr>
          <m:t>D(t)</m:t>
        </m:r>
      </m:oMath>
      <w:r>
        <w:t xml:space="preserve"> that accrues when throughput or waste exceed regeneration or sink capacity, rises with opacity, and falls only through verified restoration:</w:t>
      </w:r>
    </w:p>
    <w:p w14:paraId="5324BC0E" w14:textId="37C20A75" w:rsidR="003C0797" w:rsidRDefault="00EA5B0E">
      <w:pPr>
        <w:spacing w:before="240" w:after="240"/>
        <w:jc w:val="center"/>
      </w:pPr>
      <m:oMathPara>
        <m:oMath>
          <m:f>
            <m:fPr>
              <m:ctrlPr>
                <w:rPr>
                  <w:rFonts w:ascii="Cambria Math" w:hAnsi="Cambria Math"/>
                  <w:b/>
                  <w:i/>
                </w:rPr>
              </m:ctrlPr>
            </m:fPr>
            <m:num>
              <m:r>
                <m:rPr>
                  <m:sty m:val="bi"/>
                </m:rPr>
                <w:rPr>
                  <w:rFonts w:ascii="Cambria Math" w:hAnsi="Cambria Math"/>
                </w:rPr>
                <m:t>dD</m:t>
              </m:r>
            </m:num>
            <m:den>
              <m:r>
                <m:rPr>
                  <m:sty m:val="bi"/>
                </m:rPr>
                <w:rPr>
                  <w:rFonts w:ascii="Cambria Math" w:hAnsi="Cambria Math"/>
                </w:rPr>
                <m:t>dt</m:t>
              </m:r>
            </m:den>
          </m:f>
          <m:r>
            <m:rPr>
              <m:sty m:val="bi"/>
            </m:rPr>
            <w:rPr>
              <w:rFonts w:ascii="Cambria Math" w:hAnsi="Cambria Math"/>
            </w:rPr>
            <m:t>= α</m:t>
          </m:r>
          <m:sSub>
            <m:sSubPr>
              <m:ctrlPr>
                <w:rPr>
                  <w:rFonts w:ascii="Cambria Math" w:hAnsi="Cambria Math"/>
                  <w:b/>
                  <w:i/>
                </w:rPr>
              </m:ctrlPr>
            </m:sSubPr>
            <m:e>
              <m:d>
                <m:dPr>
                  <m:begChr m:val="["/>
                  <m:endChr m:val="]"/>
                  <m:ctrlPr>
                    <w:rPr>
                      <w:rFonts w:ascii="Cambria Math" w:hAnsi="Cambria Math"/>
                      <w:b/>
                      <w:i/>
                    </w:rPr>
                  </m:ctrlPr>
                </m:dPr>
                <m:e>
                  <m:r>
                    <m:rPr>
                      <m:sty m:val="bi"/>
                    </m:rPr>
                    <w:rPr>
                      <w:rFonts w:ascii="Cambria Math" w:hAnsi="Cambria Math"/>
                    </w:rPr>
                    <m:t>X-R</m:t>
                  </m:r>
                </m:e>
              </m:d>
            </m:e>
            <m:sub>
              <m:r>
                <m:rPr>
                  <m:sty m:val="bi"/>
                </m:rPr>
                <w:rPr>
                  <w:rFonts w:ascii="Cambria Math" w:hAnsi="Cambria Math"/>
                </w:rPr>
                <m:t>+</m:t>
              </m:r>
            </m:sub>
          </m:sSub>
          <m:r>
            <m:rPr>
              <m:sty m:val="bi"/>
            </m:rPr>
            <w:rPr>
              <w:rFonts w:ascii="Cambria Math" w:hAnsi="Cambria Math"/>
            </w:rPr>
            <m:t>+ β</m:t>
          </m:r>
          <m:sSub>
            <m:sSubPr>
              <m:ctrlPr>
                <w:rPr>
                  <w:rFonts w:ascii="Cambria Math" w:hAnsi="Cambria Math"/>
                  <w:b/>
                  <w:i/>
                </w:rPr>
              </m:ctrlPr>
            </m:sSubPr>
            <m:e>
              <m:d>
                <m:dPr>
                  <m:begChr m:val="["/>
                  <m:endChr m:val="]"/>
                  <m:ctrlPr>
                    <w:rPr>
                      <w:rFonts w:ascii="Cambria Math" w:hAnsi="Cambria Math"/>
                      <w:b/>
                      <w:i/>
                    </w:rPr>
                  </m:ctrlPr>
                </m:dPr>
                <m:e>
                  <m:r>
                    <m:rPr>
                      <m:sty m:val="bi"/>
                    </m:rPr>
                    <w:rPr>
                      <w:rFonts w:ascii="Cambria Math" w:hAnsi="Cambria Math"/>
                    </w:rPr>
                    <m:t>W-S</m:t>
                  </m:r>
                </m:e>
              </m:d>
            </m:e>
            <m:sub>
              <m:r>
                <m:rPr>
                  <m:sty m:val="bi"/>
                </m:rPr>
                <w:rPr>
                  <w:rFonts w:ascii="Cambria Math" w:hAnsi="Cambria Math"/>
                </w:rPr>
                <m:t>+</m:t>
              </m:r>
            </m:sub>
          </m:sSub>
          <m:r>
            <m:rPr>
              <m:sty m:val="bi"/>
            </m:rPr>
            <w:rPr>
              <w:rFonts w:ascii="Cambria Math" w:hAnsi="Cambria Math"/>
            </w:rPr>
            <m:t>+ γΠ - ρG</m:t>
          </m:r>
        </m:oMath>
      </m:oMathPara>
    </w:p>
    <w:p w14:paraId="281C9994" w14:textId="508601E9" w:rsidR="00525F1D" w:rsidRDefault="00525F1D">
      <w:r>
        <w:t>W</w:t>
      </w:r>
      <w:r w:rsidR="00000000">
        <w:t>here</w:t>
      </w:r>
      <w:r>
        <w:t>:</w:t>
      </w:r>
      <w:r w:rsidR="00000000">
        <w:t xml:space="preserve"> </w:t>
      </w:r>
    </w:p>
    <w:p w14:paraId="78D60B9B" w14:textId="41983235" w:rsidR="00525F1D" w:rsidRDefault="00525F1D" w:rsidP="00525F1D">
      <w:pPr>
        <w:pStyle w:val="ListParagraph"/>
        <w:numPr>
          <w:ilvl w:val="0"/>
          <w:numId w:val="15"/>
        </w:numPr>
      </w:pPr>
      <m:oMath>
        <m:r>
          <m:rPr>
            <m:sty m:val="bi"/>
          </m:rPr>
          <w:rPr>
            <w:rStyle w:val="Strong"/>
            <w:rFonts w:ascii="Cambria Math" w:hAnsi="Cambria Math"/>
          </w:rPr>
          <m:t>X</m:t>
        </m:r>
      </m:oMath>
      <w:r w:rsidR="00000000">
        <w:t xml:space="preserve"> is extraction throughput, </w:t>
      </w:r>
    </w:p>
    <w:p w14:paraId="706FA6A7" w14:textId="11E4EB2C" w:rsidR="00525F1D" w:rsidRDefault="00525F1D" w:rsidP="00525F1D">
      <w:pPr>
        <w:pStyle w:val="ListParagraph"/>
        <w:numPr>
          <w:ilvl w:val="0"/>
          <w:numId w:val="15"/>
        </w:numPr>
      </w:pPr>
      <m:oMath>
        <m:r>
          <m:rPr>
            <m:sty m:val="bi"/>
          </m:rPr>
          <w:rPr>
            <w:rStyle w:val="Strong"/>
            <w:rFonts w:ascii="Cambria Math" w:hAnsi="Cambria Math"/>
          </w:rPr>
          <m:t>R</m:t>
        </m:r>
      </m:oMath>
      <w:r w:rsidR="00000000">
        <w:t xml:space="preserve"> is regeneration capacity, </w:t>
      </w:r>
    </w:p>
    <w:p w14:paraId="27B013A9" w14:textId="63E550FE" w:rsidR="00525F1D" w:rsidRDefault="00525F1D" w:rsidP="00525F1D">
      <w:pPr>
        <w:pStyle w:val="ListParagraph"/>
        <w:numPr>
          <w:ilvl w:val="0"/>
          <w:numId w:val="15"/>
        </w:numPr>
      </w:pPr>
      <m:oMath>
        <m:r>
          <m:rPr>
            <m:sty m:val="bi"/>
          </m:rPr>
          <w:rPr>
            <w:rStyle w:val="Strong"/>
            <w:rFonts w:ascii="Cambria Math" w:hAnsi="Cambria Math"/>
          </w:rPr>
          <m:t>W</m:t>
        </m:r>
      </m:oMath>
      <w:r w:rsidR="00000000">
        <w:t xml:space="preserve"> is waste/persistent stock, </w:t>
      </w:r>
    </w:p>
    <w:p w14:paraId="746CD00C" w14:textId="60B94758" w:rsidR="00525F1D" w:rsidRDefault="00525F1D" w:rsidP="00525F1D">
      <w:pPr>
        <w:pStyle w:val="ListParagraph"/>
        <w:numPr>
          <w:ilvl w:val="0"/>
          <w:numId w:val="15"/>
        </w:numPr>
      </w:pPr>
      <m:oMath>
        <m:r>
          <m:rPr>
            <m:sty m:val="bi"/>
          </m:rPr>
          <w:rPr>
            <w:rStyle w:val="Strong"/>
            <w:rFonts w:ascii="Cambria Math" w:hAnsi="Cambria Math"/>
          </w:rPr>
          <m:t>S</m:t>
        </m:r>
      </m:oMath>
      <w:r w:rsidR="00000000">
        <w:t xml:space="preserve"> is sink/assimilation capacity, </w:t>
      </w:r>
    </w:p>
    <w:p w14:paraId="0F3A43F7" w14:textId="7DEBA491" w:rsidR="00525F1D" w:rsidRDefault="00525F1D" w:rsidP="00525F1D">
      <w:pPr>
        <w:pStyle w:val="ListParagraph"/>
        <w:numPr>
          <w:ilvl w:val="0"/>
          <w:numId w:val="15"/>
        </w:numPr>
      </w:pPr>
      <m:oMath>
        <m:r>
          <m:rPr>
            <m:sty m:val="bi"/>
          </m:rPr>
          <w:rPr>
            <w:rStyle w:val="Strong"/>
            <w:rFonts w:ascii="Cambria Math" w:hAnsi="Cambria Math"/>
          </w:rPr>
          <m:t>Π</m:t>
        </m:r>
      </m:oMath>
      <w:r w:rsidR="00000000">
        <w:t xml:space="preserve"> is opacity penalty, and </w:t>
      </w:r>
    </w:p>
    <w:p w14:paraId="520DFE3A" w14:textId="58CF2986" w:rsidR="00525F1D" w:rsidRDefault="00525F1D" w:rsidP="00525F1D">
      <w:pPr>
        <w:pStyle w:val="ListParagraph"/>
        <w:numPr>
          <w:ilvl w:val="0"/>
          <w:numId w:val="15"/>
        </w:numPr>
      </w:pPr>
      <m:oMath>
        <m:r>
          <m:rPr>
            <m:sty m:val="bi"/>
          </m:rPr>
          <w:rPr>
            <w:rStyle w:val="Strong"/>
            <w:rFonts w:ascii="Cambria Math" w:hAnsi="Cambria Math"/>
          </w:rPr>
          <m:t>G</m:t>
        </m:r>
      </m:oMath>
      <w:r w:rsidR="00000000">
        <w:t xml:space="preserve"> is verified regeneration work. </w:t>
      </w:r>
    </w:p>
    <w:p w14:paraId="434F49A4" w14:textId="2248E16F" w:rsidR="003C0797" w:rsidRDefault="00000000">
      <w:r>
        <w:t xml:space="preserve">The brackets </w:t>
      </w:r>
      <m:oMath>
        <m:sSub>
          <m:sSubPr>
            <m:ctrlPr>
              <w:rPr>
                <w:rFonts w:ascii="Cambria Math" w:hAnsi="Cambria Math"/>
                <w:i/>
              </w:rPr>
            </m:ctrlPr>
          </m:sSubPr>
          <m:e>
            <m:d>
              <m:dPr>
                <m:begChr m:val="["/>
                <m:endChr m:val="]"/>
                <m:ctrlPr>
                  <w:rPr>
                    <w:rFonts w:ascii="Cambria Math" w:hAnsi="Cambria Math"/>
                    <w:i/>
                  </w:rPr>
                </m:ctrlPr>
              </m:dPr>
              <m:e>
                <m:r>
                  <w:rPr>
                    <w:rFonts w:ascii="Cambria Math" w:hAnsi="Cambria Math"/>
                  </w:rPr>
                  <m:t>·</m:t>
                </m:r>
              </m:e>
            </m:d>
          </m:e>
          <m:sub>
            <m:r>
              <w:rPr>
                <w:rFonts w:ascii="Cambria Math" w:hAnsi="Cambria Math"/>
              </w:rPr>
              <m:t>+</m:t>
            </m:r>
          </m:sub>
        </m:sSub>
      </m:oMath>
      <w:r>
        <w:t xml:space="preserve"> denote </w:t>
      </w:r>
      <w:proofErr w:type="gramStart"/>
      <w:r>
        <w:t>max(</w:t>
      </w:r>
      <w:proofErr w:type="gramEnd"/>
      <w:r>
        <w:t>·,0), ensuring debt accrues only when thresholds are exceeded.</w:t>
      </w:r>
    </w:p>
    <w:p w14:paraId="53C8E946" w14:textId="77777777" w:rsidR="003C0797" w:rsidRDefault="00000000">
      <w:r>
        <w:t>The opacity term Π captures causal distance and measurement difficulty. Actions with long causal chains or poor traceability carry higher penalties than direct, transparent interventions. This prevents gaming through complexity and ensures that 'distance is never free.'</w:t>
      </w:r>
    </w:p>
    <w:p w14:paraId="5DAA1452" w14:textId="77777777" w:rsidR="003C0797" w:rsidRDefault="00000000">
      <w:r>
        <w:t>Debt retirement occurs only through G: verified restoration work that measurably improves substrate. This might include ecosystem regeneration, pollutant removal, or sink capacity recovery. Crucially, verification must demonstrate actual substrate change, not symbolic offset.</w:t>
      </w:r>
    </w:p>
    <w:p w14:paraId="60DA6B39" w14:textId="77777777" w:rsidR="003C0797" w:rsidRDefault="00000000">
      <w:pPr>
        <w:pStyle w:val="Heading2"/>
      </w:pPr>
      <w:r>
        <w:t>3.4 Six Non-Gameable Design Rules</w:t>
      </w:r>
    </w:p>
    <w:p w14:paraId="365056F4" w14:textId="77777777" w:rsidR="003C0797" w:rsidRDefault="00000000">
      <w:r>
        <w:t>To resist Goodhart dynamics and maintain substrate-symbol coupling, the architecture enforces six design rules:</w:t>
      </w:r>
    </w:p>
    <w:p w14:paraId="4324A209" w14:textId="77777777" w:rsidR="003C0797" w:rsidRDefault="00000000">
      <w:pPr>
        <w:pStyle w:val="ListBullet"/>
      </w:pPr>
      <w:r w:rsidRPr="00525F1D">
        <w:rPr>
          <w:rStyle w:val="Strong"/>
        </w:rPr>
        <w:t>Automatic accrual</w:t>
      </w:r>
      <w:r>
        <w:t>: Debt accumulates intrinsically from measured violations, not discretionary assessment</w:t>
      </w:r>
    </w:p>
    <w:p w14:paraId="6F69137A" w14:textId="77777777" w:rsidR="003C0797" w:rsidRDefault="00000000">
      <w:pPr>
        <w:pStyle w:val="ListBullet"/>
      </w:pPr>
      <w:r w:rsidRPr="00525F1D">
        <w:rPr>
          <w:rStyle w:val="Strong"/>
        </w:rPr>
        <w:t>Opacity penalty</w:t>
      </w:r>
      <w:r>
        <w:t>: Causal distance and measurement difficulty increase debt rather than enable evasion</w:t>
      </w:r>
    </w:p>
    <w:p w14:paraId="2D1D11DA" w14:textId="77777777" w:rsidR="003C0797" w:rsidRDefault="00000000">
      <w:pPr>
        <w:pStyle w:val="ListBullet"/>
      </w:pPr>
      <w:r w:rsidRPr="00525F1D">
        <w:rPr>
          <w:rStyle w:val="Strong"/>
        </w:rPr>
        <w:t>Verified restoration</w:t>
      </w:r>
      <w:r>
        <w:t>: Debt retirement requires demonstrated substrate improvement, not symbolic offset</w:t>
      </w:r>
    </w:p>
    <w:p w14:paraId="4F42ACA4" w14:textId="77777777" w:rsidR="003C0797" w:rsidRDefault="00000000">
      <w:pPr>
        <w:pStyle w:val="ListBullet"/>
      </w:pPr>
      <w:r w:rsidRPr="00525F1D">
        <w:rPr>
          <w:rStyle w:val="Strong"/>
        </w:rPr>
        <w:t>Hard constraint gating</w:t>
      </w:r>
      <w:r>
        <w:t>: Accumulated debt mechanically limits option space; constraint is operative not informational</w:t>
      </w:r>
    </w:p>
    <w:p w14:paraId="4BE5DE41" w14:textId="77777777" w:rsidR="003C0797" w:rsidRDefault="00000000">
      <w:pPr>
        <w:pStyle w:val="ListBullet"/>
      </w:pPr>
      <w:r w:rsidRPr="00525F1D">
        <w:rPr>
          <w:rStyle w:val="Strong"/>
        </w:rPr>
        <w:t>Anti-substitution</w:t>
      </w:r>
      <w:r>
        <w:t>: Narrow compliance cannot substitute for comprehensive improvement across domains</w:t>
      </w:r>
    </w:p>
    <w:p w14:paraId="4C8C32D0" w14:textId="77777777" w:rsidR="003C0797" w:rsidRDefault="00000000">
      <w:pPr>
        <w:pStyle w:val="ListBullet"/>
      </w:pPr>
      <w:r w:rsidRPr="00525F1D">
        <w:rPr>
          <w:rStyle w:val="Strong"/>
        </w:rPr>
        <w:t>Dual measurement</w:t>
      </w:r>
      <w:r>
        <w:t>: Independent verification prevents self-reporting gaming and ensures robustness</w:t>
      </w:r>
    </w:p>
    <w:p w14:paraId="39862F2D" w14:textId="77777777" w:rsidR="003C0797" w:rsidRDefault="00000000">
      <w:r>
        <w:t>These rules transform the architecture from voluntary framework to thermodynamically stable constraint system. Gaming becomes thermodynamically expensive rather than profitable; authentic restoration becomes dominant strategy to expanded freedom.</w:t>
      </w:r>
    </w:p>
    <w:p w14:paraId="462823D6"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27349213" w14:textId="77777777" w:rsidR="003C0797" w:rsidRDefault="00000000" w:rsidP="00EA5B0E">
      <w:pPr>
        <w:pStyle w:val="Heading1"/>
      </w:pPr>
      <w:r>
        <w:t>4. Comprehensive Nine-Pathway Analysis: How Sign-Flip Propagates</w:t>
      </w:r>
    </w:p>
    <w:p w14:paraId="26D4B028" w14:textId="77777777" w:rsidR="003C0797" w:rsidRDefault="00000000">
      <w:r>
        <w:t>The power of ecological debt intervention lies in its capacity to reverse coupling direction across all nine N–C–E pathways simultaneously. This section provides detailed analysis of each pathway transformation under sign-flip from profit-sign (σ = +1) to debt-sign (σ = -1), including mechanism specification, empirical grounding, and predicted dynamics.</w:t>
      </w:r>
    </w:p>
    <w:p w14:paraId="4876AC6C" w14:textId="77777777" w:rsidR="003C0797" w:rsidRDefault="00000000">
      <w:pPr>
        <w:pStyle w:val="Heading2"/>
      </w:pPr>
      <w:r>
        <w:t>4.1 Nature Pathways</w:t>
      </w:r>
    </w:p>
    <w:p w14:paraId="0BC1866D" w14:textId="77777777" w:rsidR="003C0797" w:rsidRDefault="00000000" w:rsidP="00CA5A0C">
      <w:pPr>
        <w:pStyle w:val="Heading3"/>
      </w:pPr>
      <w:r>
        <w:t>4.1.1 N→N: Nature Self-Dynamics</w:t>
      </w:r>
    </w:p>
    <w:p w14:paraId="1A4EB940" w14:textId="3D9FB77A" w:rsidR="003C0797" w:rsidRDefault="00000000">
      <w:r w:rsidRPr="00525F1D">
        <w:rPr>
          <w:rStyle w:val="Strong"/>
        </w:rPr>
        <w:t>Profit-sign regime (</w:t>
      </w:r>
      <m:oMath>
        <m:r>
          <w:rPr>
            <w:rStyle w:val="Strong"/>
            <w:rFonts w:ascii="Cambria Math" w:hAnsi="Cambria Math"/>
          </w:rPr>
          <m:t>σ</m:t>
        </m:r>
        <m:r>
          <m:rPr>
            <m:sty m:val="p"/>
          </m:rPr>
          <w:rPr>
            <w:rStyle w:val="Strong"/>
            <w:rFonts w:ascii="Cambria Math" w:hAnsi="Cambria Math"/>
          </w:rPr>
          <m:t xml:space="preserve"> = +1</m:t>
        </m:r>
      </m:oMath>
      <w:r w:rsidRPr="00525F1D">
        <w:rPr>
          <w:rStyle w:val="Strong"/>
        </w:rPr>
        <w:t>):</w:t>
      </w:r>
      <w:r>
        <w:t xml:space="preserve"> Overshoot is masked by temporal delay between extraction and consequence. Degradation accumulates invisibly until tipping points trigger sudden collapse. Examples include soil depletion where nutrient mining produces short-term yields while long-term fertility degrades (Montgomery, 2007), fisheries where overharvesting appears sustainable until stock collapse (Pauly et al., 1998), and ecosystems where biodiversity loss proceeds gradually until resilience thresholds are crossed.</w:t>
      </w:r>
    </w:p>
    <w:p w14:paraId="592581D3" w14:textId="3D2AEEA3" w:rsidR="003C0797" w:rsidRDefault="00000000">
      <w:r w:rsidRPr="00525F1D">
        <w:rPr>
          <w:rStyle w:val="Strong"/>
        </w:rPr>
        <w:t>Debt-sign regime (</w:t>
      </w:r>
      <m:oMath>
        <m:r>
          <w:rPr>
            <w:rStyle w:val="Strong"/>
            <w:rFonts w:ascii="Cambria Math" w:hAnsi="Cambria Math"/>
          </w:rPr>
          <m:t>σ</m:t>
        </m:r>
        <m:r>
          <m:rPr>
            <m:sty m:val="p"/>
          </m:rPr>
          <w:rPr>
            <w:rStyle w:val="Strong"/>
            <w:rFonts w:ascii="Cambria Math" w:hAnsi="Cambria Math"/>
          </w:rPr>
          <m:t xml:space="preserve"> = -1</m:t>
        </m:r>
      </m:oMath>
      <w:r w:rsidRPr="00525F1D">
        <w:rPr>
          <w:rStyle w:val="Strong"/>
        </w:rPr>
        <w:t>):</w:t>
      </w:r>
      <w:r>
        <w:t xml:space="preserve"> Debt accrues immediately with extraction exceeding regeneration, creating real-time constraint that disciplines throughput before irreversible damage. Restoration work that rebuilds soil carbon, recovers fish stocks, or enhances ecosystem function retires debt and expands sustainable extraction capacity. The feedback is negative (stabilizing) rather than positive (destabilizing): overshoot triggers rising constraint that forces reduction, while regeneration enables expanded sustainable use.</w:t>
      </w:r>
    </w:p>
    <w:p w14:paraId="0EF250A0" w14:textId="77777777" w:rsidR="003C0797" w:rsidRDefault="00000000">
      <w:r w:rsidRPr="00AE7F5D">
        <w:rPr>
          <w:rStyle w:val="Strong"/>
        </w:rPr>
        <w:t>Empirical grounding:</w:t>
      </w:r>
      <w:r>
        <w:t xml:space="preserve"> Natural regeneration rates are measurable (forest regrowth, soil formation, aquifer recharge). The profit-sign pattern is documented across collapsed fisheries, degraded agricultural systems, and depleted aquifers. The debt-sign mechanism would create automatic correction where overshoot becomes immediately costly rather than profitable with delayed consequences.</w:t>
      </w:r>
    </w:p>
    <w:p w14:paraId="010BBCDB" w14:textId="77777777" w:rsidR="003C0797" w:rsidRDefault="00000000" w:rsidP="00CA5A0C">
      <w:pPr>
        <w:pStyle w:val="Heading3"/>
      </w:pPr>
      <w:r>
        <w:t>4.1.2 N→C: Nature Shapes Consciousness</w:t>
      </w:r>
    </w:p>
    <w:p w14:paraId="3A58CFE9" w14:textId="77777777" w:rsidR="003C0797" w:rsidRDefault="00000000">
      <w:r w:rsidRPr="00AE7F5D">
        <w:rPr>
          <w:rStyle w:val="Strong"/>
        </w:rPr>
        <w:t>Profit-sign regime:</w:t>
      </w:r>
      <w:r>
        <w:t xml:space="preserve"> Scarcity-induced stress narrows time horizons, increases impulsivity, and reduces cognitive bandwidth (Shah et al., 2012; Mullainathan &amp; Shafir, 2013). Chronic resource volatility produces persistent stress response (Sapolsky, 2017) that impairs long-term planning and cooperative behavior. The feedback is perverse: ecological degradation produces psychological states that further accelerate degradation.</w:t>
      </w:r>
    </w:p>
    <w:p w14:paraId="7C2CF9E1" w14:textId="77777777" w:rsidR="003C0797" w:rsidRDefault="00000000">
      <w:r w:rsidRPr="00AE7F5D">
        <w:rPr>
          <w:rStyle w:val="Strong"/>
        </w:rPr>
        <w:t>Debt-sign regime:</w:t>
      </w:r>
      <w:r>
        <w:t xml:space="preserve"> Stabilization of biophysical substrate reduces stress tax on cognition. When basic provisioning becomes reliable through regenerative practices that retire debt, planning horizons extend and cooperative capacity increases. Reduced scarcity enables shift from survival mode to longer-term optimization.</w:t>
      </w:r>
    </w:p>
    <w:p w14:paraId="647B290B" w14:textId="77777777" w:rsidR="003C0797" w:rsidRDefault="00000000">
      <w:r w:rsidRPr="00AE7F5D">
        <w:rPr>
          <w:rStyle w:val="Strong"/>
        </w:rPr>
        <w:t>Empirical grounding:</w:t>
      </w:r>
      <w:r>
        <w:t xml:space="preserve"> Poverty's cognitive impacts are well-documented (Haushofer &amp; Fehr, 2014). The pathway predicts that ecological stabilization produces measurable improvements in time preference, risk tolerance, and cooperative game performance in affected populations.</w:t>
      </w:r>
    </w:p>
    <w:p w14:paraId="63E27205" w14:textId="77777777" w:rsidR="003C0797" w:rsidRDefault="00000000" w:rsidP="00CA5A0C">
      <w:pPr>
        <w:pStyle w:val="Heading3"/>
      </w:pPr>
      <w:r>
        <w:t>4.1.3 N→E: Nature Constrains Environment</w:t>
      </w:r>
    </w:p>
    <w:p w14:paraId="013D20A8" w14:textId="77777777" w:rsidR="003C0797" w:rsidRDefault="00000000">
      <w:r w:rsidRPr="00AE7F5D">
        <w:rPr>
          <w:rStyle w:val="Strong"/>
        </w:rPr>
        <w:t>Profit-sign regime:</w:t>
      </w:r>
      <w:r>
        <w:t xml:space="preserve"> Physical limits remain external to institutions until crisis. Infrastructure planning ignores carrying capacity until collapse forces recognition. Throughput expansion continues until hard boundaries impose catastrophic constraint.</w:t>
      </w:r>
    </w:p>
    <w:p w14:paraId="211A83A8" w14:textId="77777777" w:rsidR="003C0797" w:rsidRDefault="00000000">
      <w:r w:rsidRPr="00AE7F5D">
        <w:rPr>
          <w:rStyle w:val="Strong"/>
        </w:rPr>
        <w:t>Debt-sign regime:</w:t>
      </w:r>
      <w:r>
        <w:t xml:space="preserve"> Limits are encoded directly into accounting and planning systems. Infrastructure design is constrained by debt accumulation from throughput. Investment in regenerative capacity becomes rational because it expands feasible option space by retiring accumulated debt.</w:t>
      </w:r>
    </w:p>
    <w:p w14:paraId="11398779" w14:textId="77777777" w:rsidR="003C0797" w:rsidRDefault="00000000">
      <w:r w:rsidRPr="00AE7F5D">
        <w:rPr>
          <w:rStyle w:val="Strong"/>
        </w:rPr>
        <w:t>Empirical grounding:</w:t>
      </w:r>
      <w:r>
        <w:t xml:space="preserve"> Current institutions systematically ignore biophysical limits until forced recognition (Steffen et al., 2015). The debt-sign mechanism would make limits visible in real-time through rising constraint on institutional action.</w:t>
      </w:r>
    </w:p>
    <w:p w14:paraId="670ED7DA" w14:textId="77777777" w:rsidR="003C0797" w:rsidRDefault="00000000">
      <w:pPr>
        <w:pStyle w:val="Heading2"/>
      </w:pPr>
      <w:r>
        <w:t>4.2 Consciousness Pathways</w:t>
      </w:r>
    </w:p>
    <w:p w14:paraId="3F7BB2CE" w14:textId="77777777" w:rsidR="003C0797" w:rsidRDefault="00000000" w:rsidP="00CA5A0C">
      <w:pPr>
        <w:pStyle w:val="Heading3"/>
      </w:pPr>
      <w:r>
        <w:t>4.2.1 C→N: Consciousness Shapes Nature</w:t>
      </w:r>
    </w:p>
    <w:p w14:paraId="07875A83" w14:textId="77777777" w:rsidR="003C0797" w:rsidRDefault="00000000">
      <w:r w:rsidRPr="00AE7F5D">
        <w:rPr>
          <w:rStyle w:val="Strong"/>
        </w:rPr>
        <w:t>Profit-sign regime:</w:t>
      </w:r>
      <w:r>
        <w:t xml:space="preserve"> Consumption is aspirational; more is better regardless of substrate impact. Harm is externalized in space and time, appearing as someone else's problem. Behavioral aggregation drives throughput exceeding regenerative capacity.</w:t>
      </w:r>
    </w:p>
    <w:p w14:paraId="6EA8069D" w14:textId="77777777" w:rsidR="003C0797" w:rsidRDefault="00000000">
      <w:r w:rsidRPr="00AE7F5D">
        <w:rPr>
          <w:rStyle w:val="Strong"/>
        </w:rPr>
        <w:t>Debt-sign regime:</w:t>
      </w:r>
      <w:r>
        <w:t xml:space="preserve"> Restoration becomes aspirational as path to expanded freedom. Consumption transfers obligation, creating intrinsic motivation to minimize embedded debt. Low-throughput lifestyles become status markers rather than deprivation signals. Behavioral aggregation produces collective throughput within regenerative bounds.</w:t>
      </w:r>
    </w:p>
    <w:p w14:paraId="3F12A9A0" w14:textId="77777777" w:rsidR="003C0797" w:rsidRDefault="00000000">
      <w:r w:rsidRPr="00AE7F5D">
        <w:rPr>
          <w:rStyle w:val="Strong"/>
        </w:rPr>
        <w:t>Empirical grounding:</w:t>
      </w:r>
      <w:r>
        <w:t xml:space="preserve"> Status competition shapes consumption patterns (Frank, 1999; Veblen, 1899/1994). The pathway predicts that changing what signals status—from accumulation to solvency—redirects competitive energies toward restoration rather than extraction.</w:t>
      </w:r>
    </w:p>
    <w:p w14:paraId="4A022AE1" w14:textId="77777777" w:rsidR="003C0797" w:rsidRDefault="00000000" w:rsidP="00CA5A0C">
      <w:pPr>
        <w:pStyle w:val="Heading3"/>
      </w:pPr>
      <w:r>
        <w:t>4.2.2 C→C: Consciousness Self-Dynamics</w:t>
      </w:r>
    </w:p>
    <w:p w14:paraId="5033C5B7" w14:textId="77777777" w:rsidR="003C0797" w:rsidRDefault="00000000">
      <w:r w:rsidRPr="00AE7F5D">
        <w:rPr>
          <w:rStyle w:val="Strong"/>
        </w:rPr>
        <w:t>Profit-sign regime:</w:t>
      </w:r>
      <w:r>
        <w:t xml:space="preserve"> Identity forms around accumulation. Status derives from visible consumption. Hedonic adaptation creates escalating material needs (Brickman &amp; Campbell, 1971). Social comparison drives competitive consumption.</w:t>
      </w:r>
    </w:p>
    <w:p w14:paraId="6D34DE5C" w14:textId="77777777" w:rsidR="003C0797" w:rsidRDefault="00000000">
      <w:r w:rsidRPr="00AE7F5D">
        <w:rPr>
          <w:rStyle w:val="Strong"/>
        </w:rPr>
        <w:t>Debt-sign regime:</w:t>
      </w:r>
      <w:r>
        <w:t xml:space="preserve"> Identity forms around ecological solvency and stewardship capability. Status derives from low obligation and restoration capacity. Social comparison drives competitive restoration and efficiency gains. The psychological shift from 'more is better' to 'less obligation is better' fundamentally reorients motivation structure.</w:t>
      </w:r>
    </w:p>
    <w:p w14:paraId="20436A4E" w14:textId="77777777" w:rsidR="003C0797" w:rsidRDefault="00000000">
      <w:r w:rsidRPr="00AE7F5D">
        <w:rPr>
          <w:rStyle w:val="Strong"/>
        </w:rPr>
        <w:t>Empirical grounding:</w:t>
      </w:r>
      <w:r>
        <w:t xml:space="preserve"> Extrinsic materialism associates with lower wellbeing (Kasser, 2002); intrinsic values associate with pro-environmental behavior (Deci et al., 1999). The pathway predicts that sign-flip enables intrinsic motivation to dominate by making it locally rational.</w:t>
      </w:r>
    </w:p>
    <w:p w14:paraId="555207FA" w14:textId="77777777" w:rsidR="003C0797" w:rsidRDefault="00000000" w:rsidP="00CA5A0C">
      <w:pPr>
        <w:pStyle w:val="Heading3"/>
      </w:pPr>
      <w:r>
        <w:t>4.2.3 C→E: Consciousness Shapes Environment</w:t>
      </w:r>
    </w:p>
    <w:p w14:paraId="4708F343" w14:textId="77777777" w:rsidR="003C0797" w:rsidRDefault="00000000">
      <w:r w:rsidRPr="00AE7F5D">
        <w:rPr>
          <w:rStyle w:val="Strong"/>
        </w:rPr>
        <w:t>Profit-sign regime:</w:t>
      </w:r>
      <w:r>
        <w:t xml:space="preserve"> Citizens reward throughput-maximizing institutions. Demand pressures drive extraction-based growth. Short-termism is rational when consequences are delayed and diffuse.</w:t>
      </w:r>
    </w:p>
    <w:p w14:paraId="3D692B54" w14:textId="77777777" w:rsidR="003C0797" w:rsidRDefault="00000000">
      <w:r w:rsidRPr="00AE7F5D">
        <w:rPr>
          <w:rStyle w:val="Strong"/>
        </w:rPr>
        <w:t>Debt-sign regime:</w:t>
      </w:r>
      <w:r>
        <w:t xml:space="preserve"> Demand shifts to low-obligation provisioning. Citizens reward institutions that minimize debt accumulation and maximize restoration capacity. Long-termism becomes rational when consequences are immediate and concentrated through debt accrual. Political economy shifts toward repair-first, durability-focused infrastructure.</w:t>
      </w:r>
    </w:p>
    <w:p w14:paraId="06B01521" w14:textId="77777777" w:rsidR="003C0797" w:rsidRDefault="00000000">
      <w:r w:rsidRPr="00AE7F5D">
        <w:rPr>
          <w:rStyle w:val="Strong"/>
        </w:rPr>
        <w:t>Empirical grounding:</w:t>
      </w:r>
      <w:r>
        <w:t xml:space="preserve"> Consumer preferences shape institutional behavior when consequences are visible and immediate. The pathway predicts that debt visibility transforms political economy by making long-term costs immediate.</w:t>
      </w:r>
    </w:p>
    <w:p w14:paraId="2C273DC6" w14:textId="77777777" w:rsidR="003C0797" w:rsidRDefault="00000000">
      <w:pPr>
        <w:pStyle w:val="Heading2"/>
      </w:pPr>
      <w:r>
        <w:t>4.3 Environment Pathways</w:t>
      </w:r>
    </w:p>
    <w:p w14:paraId="7879A3E7" w14:textId="77777777" w:rsidR="003C0797" w:rsidRDefault="00000000" w:rsidP="00CA5A0C">
      <w:pPr>
        <w:pStyle w:val="Heading3"/>
      </w:pPr>
      <w:r>
        <w:t>4.3.1 E→N: Environment Shapes Nature</w:t>
      </w:r>
    </w:p>
    <w:p w14:paraId="6D91BFFD" w14:textId="77777777" w:rsidR="003C0797" w:rsidRDefault="00000000">
      <w:r w:rsidRPr="00AE7F5D">
        <w:rPr>
          <w:rStyle w:val="Strong"/>
        </w:rPr>
        <w:t>Profit-sign regime:</w:t>
      </w:r>
      <w:r>
        <w:t xml:space="preserve"> Infrastructure accelerates extraction. Technology enables throughput expansion. Built environment locks in high-resource pathways. Institutional optimization maximizes flow regardless of substrate impact.</w:t>
      </w:r>
    </w:p>
    <w:p w14:paraId="0B7F3C7B" w14:textId="77777777" w:rsidR="003C0797" w:rsidRDefault="00000000">
      <w:r w:rsidRPr="00AE7F5D">
        <w:rPr>
          <w:rStyle w:val="Strong"/>
        </w:rPr>
        <w:t>Debt-sign regime:</w:t>
      </w:r>
      <w:r>
        <w:t xml:space="preserve"> Infrastructure optimizes for low obligation. Technology development focuses on durability and circularity. Built environment prioritizes proximity and low-throughput provisioning. Institutional selection favors regenerative capacity over extraction speed.</w:t>
      </w:r>
    </w:p>
    <w:p w14:paraId="2B3FFFFE" w14:textId="77777777" w:rsidR="003C0797" w:rsidRDefault="00000000">
      <w:r w:rsidRPr="00AE7F5D">
        <w:rPr>
          <w:rStyle w:val="Strong"/>
        </w:rPr>
        <w:t>Empirical grounding:</w:t>
      </w:r>
      <w:r>
        <w:t xml:space="preserve"> Infrastructure determines 60-80% of emissions and resource flows (Seto et al., 2016). The pathway predicts that debt-constraint on infrastructure produces measurable throughput reduction and regenerative investment increases.</w:t>
      </w:r>
    </w:p>
    <w:p w14:paraId="514C8DC9" w14:textId="77777777" w:rsidR="003C0797" w:rsidRDefault="00000000" w:rsidP="00CA5A0C">
      <w:pPr>
        <w:pStyle w:val="Heading3"/>
      </w:pPr>
      <w:r>
        <w:t>4.3.2 E→C: Environment Shapes Consciousness</w:t>
      </w:r>
    </w:p>
    <w:p w14:paraId="00E8420C" w14:textId="77777777" w:rsidR="003C0797" w:rsidRDefault="00000000">
      <w:r w:rsidRPr="00AE7F5D">
        <w:rPr>
          <w:rStyle w:val="Strong"/>
        </w:rPr>
        <w:t>Profit-sign regime:</w:t>
      </w:r>
      <w:r>
        <w:t xml:space="preserve"> Opaque systems erode agency through causal illegibility. Narrative anesthesia disconnects action from consequence. Complexity enables denial and dissonance.</w:t>
      </w:r>
    </w:p>
    <w:p w14:paraId="693A7AA8" w14:textId="77777777" w:rsidR="003C0797" w:rsidRDefault="00000000">
      <w:r w:rsidRPr="00AE7F5D">
        <w:rPr>
          <w:rStyle w:val="Strong"/>
        </w:rPr>
        <w:t>Debt-sign regime:</w:t>
      </w:r>
      <w:r>
        <w:t xml:space="preserve"> Debt accrual provides causal clarity—actions have immediate visible consequences through obligation change. Transparency becomes advantageous rather than threatening. Simplified feedback reduces cognitive dissonance and enables coherent decision-making.</w:t>
      </w:r>
    </w:p>
    <w:p w14:paraId="038076FF" w14:textId="77777777" w:rsidR="003C0797" w:rsidRDefault="00000000">
      <w:r w:rsidRPr="00AE7F5D">
        <w:rPr>
          <w:rStyle w:val="Strong"/>
        </w:rPr>
        <w:t>Empirical grounding:</w:t>
      </w:r>
      <w:r>
        <w:t xml:space="preserve"> Environmental feedback visibility affects behavior (Karlin et al., 2015). The pathway predicts that debt visibility produces measurable improvements in causal understanding and self-efficacy.</w:t>
      </w:r>
    </w:p>
    <w:p w14:paraId="7261CC28" w14:textId="77777777" w:rsidR="003C0797" w:rsidRDefault="00000000" w:rsidP="00CA5A0C">
      <w:pPr>
        <w:pStyle w:val="Heading3"/>
      </w:pPr>
      <w:r>
        <w:t>4.3.3 E→E: Environment Self-Dynamics</w:t>
      </w:r>
    </w:p>
    <w:p w14:paraId="2CE20B3A" w14:textId="77777777" w:rsidR="003C0797" w:rsidRDefault="00000000">
      <w:r w:rsidRPr="00AE7F5D">
        <w:rPr>
          <w:rStyle w:val="Strong"/>
        </w:rPr>
        <w:t>Profit-sign regime:</w:t>
      </w:r>
      <w:r>
        <w:t xml:space="preserve"> Institutions select for extraction speed, opacity, and regulatory capture. Market structures reward externalization. Technology lock-in perpetuates high-throughput pathways. Self-reinforcing dynamics amplify extraction capacity.</w:t>
      </w:r>
    </w:p>
    <w:p w14:paraId="76D56ABC" w14:textId="77777777" w:rsidR="003C0797" w:rsidRDefault="00000000">
      <w:r w:rsidRPr="00AE7F5D">
        <w:rPr>
          <w:rStyle w:val="Strong"/>
        </w:rPr>
        <w:t>Debt-sign regime:</w:t>
      </w:r>
      <w:r>
        <w:t xml:space="preserve"> Institutions select for durability, traceability, and repair capacity. Market structures reward internalization through debt accounting. Technology development focuses on longevity and modularity. Self-reinforcing dynamics amplify regenerative capacity.</w:t>
      </w:r>
    </w:p>
    <w:p w14:paraId="746CB71D" w14:textId="77777777" w:rsidR="003C0797" w:rsidRDefault="00000000">
      <w:r w:rsidRPr="00AE7F5D">
        <w:rPr>
          <w:rStyle w:val="Strong"/>
        </w:rPr>
        <w:t>Empirical grounding:</w:t>
      </w:r>
      <w:r>
        <w:t xml:space="preserve"> Institutional evolution follows payoff structures (North, 1990). The pathway predicts that sign-flip creates selection pressure favoring durability-focused institutions over throughput-maximizing ones, measurable through technology patents, business model evolution, and regulatory development.</w:t>
      </w:r>
    </w:p>
    <w:p w14:paraId="0CF39373"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3725609E" w14:textId="77777777" w:rsidR="003C0797" w:rsidRDefault="00000000" w:rsidP="00EA5B0E">
      <w:pPr>
        <w:pStyle w:val="Heading1"/>
      </w:pPr>
      <w:r>
        <w:t>5. Implementation Case Studies</w:t>
      </w:r>
    </w:p>
    <w:p w14:paraId="2FF85F12" w14:textId="77777777" w:rsidR="003C0797" w:rsidRDefault="00000000">
      <w:r>
        <w:t>The sign-flip architecture translates from theoretical scaffold to practical implementation through case studies demonstrating mechanism operation at municipal, supply chain, and institutional scales. Each case specifies initial conditions, intervention design, predicted dynamics, and falsifiable outcomes.</w:t>
      </w:r>
    </w:p>
    <w:p w14:paraId="66640EED" w14:textId="77777777" w:rsidR="003C0797" w:rsidRDefault="00000000">
      <w:pPr>
        <w:pStyle w:val="Heading2"/>
      </w:pPr>
      <w:r>
        <w:t>5.1 Municipal Pilot: Campus or District Implementation</w:t>
      </w:r>
    </w:p>
    <w:p w14:paraId="279D8EB0" w14:textId="77777777" w:rsidR="003C0797" w:rsidRDefault="00000000">
      <w:r>
        <w:t>A university campus or municipal district provides controlled environment for pilot implementation. Population size (10,000-50,000) allows meaningful data collection while limiting systemic risk. Closed boundaries enable debt accounting without leakage concerns.</w:t>
      </w:r>
    </w:p>
    <w:p w14:paraId="1EEAEDC8" w14:textId="77777777" w:rsidR="00AE7F5D" w:rsidRDefault="00000000">
      <w:r w:rsidRPr="00AE7F5D">
        <w:rPr>
          <w:rStyle w:val="Strong"/>
        </w:rPr>
        <w:t>Implementation design:</w:t>
      </w:r>
      <w:r>
        <w:t xml:space="preserve"> </w:t>
      </w:r>
    </w:p>
    <w:p w14:paraId="59C3D84E" w14:textId="77777777" w:rsidR="00AE7F5D" w:rsidRDefault="00000000">
      <w:r>
        <w:t xml:space="preserve">(1) Baseline measurement establishes current throughput (energy, water, materials, waste), </w:t>
      </w:r>
    </w:p>
    <w:p w14:paraId="54EC3985" w14:textId="77777777" w:rsidR="00AE7F5D" w:rsidRDefault="00000000">
      <w:r>
        <w:t xml:space="preserve">(2) Debt units allocated as universal basic allowance ensuring equity, </w:t>
      </w:r>
    </w:p>
    <w:p w14:paraId="7246EA84" w14:textId="77777777" w:rsidR="00AE7F5D" w:rsidRDefault="00000000">
      <w:r>
        <w:t xml:space="preserve">(3) Consumption transfers embedded debt from products/services to consumers, </w:t>
      </w:r>
    </w:p>
    <w:p w14:paraId="798F06BA" w14:textId="77777777" w:rsidR="00AE7F5D" w:rsidRDefault="00000000">
      <w:r>
        <w:t xml:space="preserve">(4) Restoration work (campus greening, waste reduction, energy efficiency) retires debt through verified improvement, </w:t>
      </w:r>
    </w:p>
    <w:p w14:paraId="6277C1B0" w14:textId="259FABD0" w:rsidR="003C0797" w:rsidRDefault="00000000">
      <w:r>
        <w:t>(5) Constraint gates access to optional services when debt thresholds are exceeded.</w:t>
      </w:r>
    </w:p>
    <w:p w14:paraId="274E6F48" w14:textId="77777777" w:rsidR="003C0797" w:rsidRDefault="00000000">
      <w:r w:rsidRPr="00AE7F5D">
        <w:rPr>
          <w:rStyle w:val="Strong"/>
        </w:rPr>
        <w:t xml:space="preserve">Predicted dynamics: </w:t>
      </w:r>
      <w:r>
        <w:t>Initial period shows learning curve as participants understand system. Middle period demonstrates behavioral shift toward low-obligation options—reusable goods, low-energy transport, local food. Late period reveals whether new patterns stabilize or require continuous management. Key metrics: throughput reduction rate, restoration activity increase, equity impacts, participant satisfaction.</w:t>
      </w:r>
    </w:p>
    <w:p w14:paraId="070FD7AE" w14:textId="77777777" w:rsidR="003C0797" w:rsidRDefault="00000000">
      <w:r w:rsidRPr="00AE7F5D">
        <w:rPr>
          <w:rStyle w:val="Strong"/>
        </w:rPr>
        <w:t xml:space="preserve">Falsifiable outcomes: </w:t>
      </w:r>
      <w:r>
        <w:t>If theory is correct, throughput should decrease 20-40% within 2 years without wellbeing decline. Product durability should increase as measured by replacement rates. Restoration labor allocation should rise. If theory is wrong, gaming will dominate, throughput will remain stable, and participant resistance will prevent behavioral change.</w:t>
      </w:r>
    </w:p>
    <w:p w14:paraId="05D1DC5F" w14:textId="77777777" w:rsidR="003C0797" w:rsidRDefault="00000000">
      <w:pPr>
        <w:pStyle w:val="Heading2"/>
      </w:pPr>
      <w:r>
        <w:t>5.2 Supply Chain Transformation: Product Lifecycle Redesign</w:t>
      </w:r>
    </w:p>
    <w:p w14:paraId="5EFFD7CA" w14:textId="77777777" w:rsidR="003C0797" w:rsidRDefault="00000000">
      <w:r>
        <w:t>Supply chain implementation demonstrates how debt accounting drives product design evolution. Focus on durable goods (electronics, appliances, vehicles) where lifecycle debt is substantial and measurable.</w:t>
      </w:r>
    </w:p>
    <w:p w14:paraId="137EC72B" w14:textId="77777777" w:rsidR="005D141E" w:rsidRDefault="00000000">
      <w:r w:rsidRPr="005D141E">
        <w:rPr>
          <w:rStyle w:val="Strong"/>
        </w:rPr>
        <w:t>Implementation design:</w:t>
      </w:r>
      <w:r>
        <w:t xml:space="preserve"> </w:t>
      </w:r>
    </w:p>
    <w:p w14:paraId="2B178850" w14:textId="77777777" w:rsidR="005D141E" w:rsidRDefault="00000000">
      <w:r>
        <w:t xml:space="preserve">(1) Full lifecycle debt accounting from extraction through disposal, </w:t>
      </w:r>
    </w:p>
    <w:p w14:paraId="4E0C416A" w14:textId="77777777" w:rsidR="005D141E" w:rsidRDefault="00000000">
      <w:r>
        <w:t xml:space="preserve">(2) Embedded debt transparent at point of sale, </w:t>
      </w:r>
    </w:p>
    <w:p w14:paraId="0B5379E7" w14:textId="77777777" w:rsidR="005D141E" w:rsidRDefault="00000000">
      <w:r>
        <w:t xml:space="preserve">(3) Modular design enabling repair reduces lifecycle debt, </w:t>
      </w:r>
    </w:p>
    <w:p w14:paraId="4F8D0734" w14:textId="77777777" w:rsidR="005D141E" w:rsidRDefault="00000000">
      <w:r>
        <w:t xml:space="preserve">(4) Manufacturer responsibility for end-of-life creates incentive for recyclability, </w:t>
      </w:r>
    </w:p>
    <w:p w14:paraId="180651D4" w14:textId="1C785622" w:rsidR="003C0797" w:rsidRDefault="00000000">
      <w:r>
        <w:t>(5) Performance guarantees shift business model from volume to service quality.</w:t>
      </w:r>
    </w:p>
    <w:p w14:paraId="457DE5A4" w14:textId="77777777" w:rsidR="003C0797" w:rsidRDefault="00000000">
      <w:r w:rsidRPr="005D141E">
        <w:rPr>
          <w:rStyle w:val="Strong"/>
        </w:rPr>
        <w:t>Predicted dynamics:</w:t>
      </w:r>
      <w:r>
        <w:t xml:space="preserve"> Manufacturers facing debt liability optimize for longevity rather than planned obsolescence. Modular architectures enabling component replacement emerge as competitive advantage. Closed-loop material systems develop to minimize virgin extraction debt. Business models shift toward product-as-service where manufacturers retain ownership and debt responsibility.</w:t>
      </w:r>
    </w:p>
    <w:p w14:paraId="09DFA431" w14:textId="77777777" w:rsidR="003C0797" w:rsidRDefault="00000000">
      <w:r w:rsidRPr="005D141E">
        <w:rPr>
          <w:rStyle w:val="Strong"/>
        </w:rPr>
        <w:t>Empirical grounding:</w:t>
      </w:r>
      <w:r>
        <w:t xml:space="preserve"> Existing right-to-repair movements demonstrate demand for durability (Slade, 2006). Extended producer responsibility shows manufacturers respond to lifecycle incentives (Tukker, 2015). The case study predicts these patterns accelerate under debt accounting with measurable increases in product lifespan, repairability scores, and material circularity.</w:t>
      </w:r>
    </w:p>
    <w:p w14:paraId="63AA9695" w14:textId="77777777" w:rsidR="003C0797" w:rsidRDefault="00000000">
      <w:pPr>
        <w:pStyle w:val="Heading2"/>
      </w:pPr>
      <w:r>
        <w:t>5.3 Institutional Redesign: Governance and Verification</w:t>
      </w:r>
    </w:p>
    <w:p w14:paraId="225FC778" w14:textId="77777777" w:rsidR="003C0797" w:rsidRDefault="00000000">
      <w:r>
        <w:t>Institutional implementation addresses governance structures required for debt accounting verification, dispute resolution, and adaptation over time. Critical challenges include preventing regulatory capture, maintaining measurement integrity, and ensuring equity.</w:t>
      </w:r>
    </w:p>
    <w:p w14:paraId="515E4E27" w14:textId="77777777" w:rsidR="005D141E" w:rsidRPr="005D141E" w:rsidRDefault="00000000">
      <w:pPr>
        <w:rPr>
          <w:rStyle w:val="Strong"/>
        </w:rPr>
      </w:pPr>
      <w:r w:rsidRPr="005D141E">
        <w:rPr>
          <w:rStyle w:val="Strong"/>
        </w:rPr>
        <w:t xml:space="preserve">Design elements: </w:t>
      </w:r>
    </w:p>
    <w:p w14:paraId="095AC0D3" w14:textId="77777777" w:rsidR="005D141E" w:rsidRDefault="00000000">
      <w:r>
        <w:t xml:space="preserve">(1) Multi-stakeholder verification councils with rotation preventing capture, </w:t>
      </w:r>
    </w:p>
    <w:p w14:paraId="23F12957" w14:textId="77777777" w:rsidR="005D141E" w:rsidRDefault="00000000">
      <w:r>
        <w:t xml:space="preserve">(2) Open-source measurement protocols enabling independent audit, </w:t>
      </w:r>
    </w:p>
    <w:p w14:paraId="1FF352DB" w14:textId="77777777" w:rsidR="005D141E" w:rsidRDefault="00000000">
      <w:r>
        <w:t xml:space="preserve">(3) Graduated implementation allowing institutional learning, </w:t>
      </w:r>
    </w:p>
    <w:p w14:paraId="2588CB52" w14:textId="77777777" w:rsidR="005D141E" w:rsidRDefault="00000000">
      <w:r>
        <w:t xml:space="preserve">(4) Equity provisions ensuring transition doesn't harm vulnerable populations, </w:t>
      </w:r>
    </w:p>
    <w:p w14:paraId="4F740B4D" w14:textId="54BE59D3" w:rsidR="003C0797" w:rsidRDefault="00000000">
      <w:r>
        <w:t>(5) Amendment procedures enabling system evolution without abandoning core principles.</w:t>
      </w:r>
    </w:p>
    <w:p w14:paraId="31E27878" w14:textId="77777777" w:rsidR="003C0797" w:rsidRDefault="00000000">
      <w:r w:rsidRPr="005D141E">
        <w:rPr>
          <w:rStyle w:val="Strong"/>
        </w:rPr>
        <w:t>Predicted challenges:</w:t>
      </w:r>
      <w:r>
        <w:t xml:space="preserve"> Measurement disputes over debt quantification, lobbying pressure for exemptions, equity concerns about regressive impacts, coordination costs during transition, potential for gaming through complexity. Success requires robust verification resistant to capture, transparent appeals process, and continuous adaptation to emerging gaming strategies.</w:t>
      </w:r>
    </w:p>
    <w:p w14:paraId="583451DC" w14:textId="77777777" w:rsidR="003C0797" w:rsidRDefault="00000000">
      <w:r w:rsidRPr="005D141E">
        <w:rPr>
          <w:rStyle w:val="Strong"/>
        </w:rPr>
        <w:t xml:space="preserve">Long-term institutional dynamics: </w:t>
      </w:r>
      <w:r>
        <w:t>If design is sound, institutions should evolve toward greater transparency and accountability through competitive pressure. If design is flawed, regulatory capture will hollow out constraints while maintaining symbolic compliance. Measurable indicators include verification independence, dispute resolution patterns, amendment frequency, and equity outcomes across income distributions.</w:t>
      </w:r>
    </w:p>
    <w:p w14:paraId="776C59EC"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17623444" w14:textId="77777777" w:rsidR="003C0797" w:rsidRDefault="00000000" w:rsidP="00EA5B0E">
      <w:pPr>
        <w:pStyle w:val="Heading1"/>
      </w:pPr>
      <w:r>
        <w:t>6. Formal Mathematical Appendix</w:t>
      </w:r>
    </w:p>
    <w:p w14:paraId="2D7BCC27" w14:textId="77777777" w:rsidR="003C0797" w:rsidRDefault="00000000">
      <w:r>
        <w:t>This appendix develops formal dynamical systems representation of the sign-flip architecture, establishes stability conditions, and constructs Lyapunov functions demonstrating thermodynamic favorability of the debt-sign equilibrium.</w:t>
      </w:r>
    </w:p>
    <w:p w14:paraId="0153B788" w14:textId="77777777" w:rsidR="003C0797" w:rsidRDefault="00000000">
      <w:pPr>
        <w:pStyle w:val="Heading2"/>
      </w:pPr>
      <w:r>
        <w:t>6.1 Dynamical Systems Representation</w:t>
      </w:r>
    </w:p>
    <w:p w14:paraId="03B49B33" w14:textId="77777777" w:rsidR="003C0797" w:rsidRDefault="00000000">
      <w:r>
        <w:t>Let system state be represented as x(t) = [N(t), C(t), E(t)]ᵀ ∈ ℝ³, where N(t) captures biophysical integrity (carrying capacity, regeneration rate, sink capacity), C(t) captures cognitive-psychological coherence (time horizon, stress load, meaning stability), and E(t) captures institutional-technological configuration (infrastructure, rules, metrics).</w:t>
      </w:r>
    </w:p>
    <w:p w14:paraId="42B2AF3F" w14:textId="77777777" w:rsidR="003C0797" w:rsidRDefault="00000000">
      <w:r>
        <w:t>System evolution follows:</w:t>
      </w:r>
    </w:p>
    <w:p w14:paraId="5BF9E04E" w14:textId="35B337AC" w:rsidR="003C0797" w:rsidRDefault="005D141E">
      <w:pPr>
        <w:spacing w:before="240" w:after="240"/>
        <w:jc w:val="center"/>
      </w:pPr>
      <m:oMathPara>
        <m:oMath>
          <m:f>
            <m:fPr>
              <m:ctrlPr>
                <w:rPr>
                  <w:rFonts w:ascii="Cambria Math" w:hAnsi="Cambria Math"/>
                  <w:b/>
                  <w:i/>
                </w:rPr>
              </m:ctrlPr>
            </m:fPr>
            <m:num>
              <m:r>
                <m:rPr>
                  <m:sty m:val="bi"/>
                </m:rPr>
                <w:rPr>
                  <w:rFonts w:ascii="Cambria Math" w:hAnsi="Cambria Math"/>
                </w:rPr>
                <m:t>dx</m:t>
              </m:r>
            </m:num>
            <m:den>
              <m:r>
                <m:rPr>
                  <m:sty m:val="bi"/>
                </m:rPr>
                <w:rPr>
                  <w:rFonts w:ascii="Cambria Math" w:hAnsi="Cambria Math"/>
                </w:rPr>
                <m:t>dt</m:t>
              </m:r>
            </m:den>
          </m:f>
          <m:r>
            <m:rPr>
              <m:sty m:val="bi"/>
            </m:rPr>
            <w:rPr>
              <w:rFonts w:ascii="Cambria Math" w:hAnsi="Cambria Math"/>
            </w:rPr>
            <m:t>= A</m:t>
          </m:r>
          <m:d>
            <m:dPr>
              <m:ctrlPr>
                <w:rPr>
                  <w:rFonts w:ascii="Cambria Math" w:hAnsi="Cambria Math"/>
                  <w:b/>
                  <w:i/>
                </w:rPr>
              </m:ctrlPr>
            </m:dPr>
            <m:e>
              <m:r>
                <m:rPr>
                  <m:sty m:val="bi"/>
                </m:rPr>
                <w:rPr>
                  <w:rFonts w:ascii="Cambria Math" w:hAnsi="Cambria Math"/>
                </w:rPr>
                <m:t>σ</m:t>
              </m:r>
            </m:e>
          </m:d>
          <m:r>
            <m:rPr>
              <m:sty m:val="bi"/>
            </m:rPr>
            <w:rPr>
              <w:rFonts w:ascii="Cambria Math" w:hAnsi="Cambria Math"/>
            </w:rPr>
            <m:t>x + f</m:t>
          </m:r>
          <m:d>
            <m:dPr>
              <m:ctrlPr>
                <w:rPr>
                  <w:rFonts w:ascii="Cambria Math" w:hAnsi="Cambria Math"/>
                  <w:b/>
                  <w:i/>
                </w:rPr>
              </m:ctrlPr>
            </m:dPr>
            <m:e>
              <m:r>
                <m:rPr>
                  <m:sty m:val="bi"/>
                </m:rPr>
                <w:rPr>
                  <w:rFonts w:ascii="Cambria Math" w:hAnsi="Cambria Math"/>
                </w:rPr>
                <m:t>x,σ</m:t>
              </m:r>
            </m:e>
          </m:d>
          <m:r>
            <m:rPr>
              <m:sty m:val="bi"/>
            </m:rPr>
            <w:rPr>
              <w:rFonts w:ascii="Cambria Math" w:hAnsi="Cambria Math"/>
            </w:rPr>
            <m:t>- η</m:t>
          </m:r>
          <m:d>
            <m:dPr>
              <m:ctrlPr>
                <w:rPr>
                  <w:rFonts w:ascii="Cambria Math" w:hAnsi="Cambria Math"/>
                  <w:b/>
                  <w:i/>
                </w:rPr>
              </m:ctrlPr>
            </m:dPr>
            <m:e>
              <m:r>
                <m:rPr>
                  <m:sty m:val="bi"/>
                </m:rPr>
                <w:rPr>
                  <w:rFonts w:ascii="Cambria Math" w:hAnsi="Cambria Math"/>
                </w:rPr>
                <m:t>x</m:t>
              </m:r>
            </m:e>
          </m:d>
        </m:oMath>
      </m:oMathPara>
    </w:p>
    <w:p w14:paraId="077B4097" w14:textId="77777777" w:rsidR="005D141E" w:rsidRDefault="005D141E">
      <w:r>
        <w:t>W</w:t>
      </w:r>
      <w:r w:rsidR="00000000">
        <w:t>here</w:t>
      </w:r>
      <w:r>
        <w:t>:</w:t>
      </w:r>
    </w:p>
    <w:p w14:paraId="41404A47" w14:textId="77777777" w:rsidR="005D141E" w:rsidRDefault="005D141E">
      <m:oMath>
        <m:r>
          <w:rPr>
            <w:rFonts w:ascii="Cambria Math" w:hAnsi="Cambria Math"/>
          </w:rPr>
          <m:t>A(σ)</m:t>
        </m:r>
      </m:oMath>
      <w:r w:rsidR="00000000">
        <w:t xml:space="preserve"> is the coupling matrix parameterized by sign parameter </w:t>
      </w:r>
      <m:oMath>
        <m:r>
          <w:rPr>
            <w:rFonts w:ascii="Cambria Math" w:hAnsi="Cambria Math"/>
          </w:rPr>
          <m:t xml:space="preserve">σ ∈ </m:t>
        </m:r>
        <m:d>
          <m:dPr>
            <m:begChr m:val="{"/>
            <m:endChr m:val="}"/>
            <m:ctrlPr>
              <w:rPr>
                <w:rFonts w:ascii="Cambria Math" w:hAnsi="Cambria Math"/>
                <w:i/>
              </w:rPr>
            </m:ctrlPr>
          </m:dPr>
          <m:e>
            <m:r>
              <w:rPr>
                <w:rFonts w:ascii="Cambria Math" w:hAnsi="Cambria Math"/>
              </w:rPr>
              <m:t>-1, +1</m:t>
            </m:r>
          </m:e>
        </m:d>
      </m:oMath>
      <w:r w:rsidR="00000000">
        <w:t xml:space="preserve">, </w:t>
      </w:r>
    </w:p>
    <w:p w14:paraId="574EFBE9" w14:textId="6CAEAD42" w:rsidR="005D141E" w:rsidRDefault="005D141E">
      <m:oMath>
        <m:r>
          <w:rPr>
            <w:rFonts w:ascii="Cambria Math" w:hAnsi="Cambria Math"/>
          </w:rPr>
          <m:t>f(x,σ)</m:t>
        </m:r>
      </m:oMath>
      <w:r w:rsidR="00000000">
        <w:t xml:space="preserve"> represents nonlinear coupling terms, and </w:t>
      </w:r>
    </w:p>
    <w:p w14:paraId="35ACB928" w14:textId="3651FD14" w:rsidR="005D141E" w:rsidRDefault="005D141E">
      <m:oMath>
        <m:r>
          <w:rPr>
            <w:rFonts w:ascii="Cambria Math" w:hAnsi="Cambria Math"/>
          </w:rPr>
          <m:t>η(x)</m:t>
        </m:r>
      </m:oMath>
      <w:r w:rsidR="00000000">
        <w:t xml:space="preserve"> represents entropic decay. </w:t>
      </w:r>
    </w:p>
    <w:p w14:paraId="1C1EF7D0" w14:textId="3FD23676" w:rsidR="003C0797" w:rsidRDefault="00000000">
      <w:r>
        <w:t xml:space="preserve">The sign parameter </w:t>
      </w:r>
      <m:oMath>
        <m:r>
          <w:rPr>
            <w:rFonts w:ascii="Cambria Math" w:hAnsi="Cambria Math"/>
          </w:rPr>
          <m:t>σ</m:t>
        </m:r>
      </m:oMath>
      <w:r>
        <w:t xml:space="preserve"> determines whether accumulation is rewarded (</w:t>
      </w:r>
      <m:oMath>
        <m:r>
          <w:rPr>
            <w:rFonts w:ascii="Cambria Math" w:hAnsi="Cambria Math"/>
          </w:rPr>
          <m:t>σ = +1</m:t>
        </m:r>
      </m:oMath>
      <w:r>
        <w:t>, profit-sign) or penalized (</w:t>
      </w:r>
      <m:oMath>
        <m:r>
          <w:rPr>
            <w:rFonts w:ascii="Cambria Math" w:hAnsi="Cambria Math"/>
          </w:rPr>
          <m:t>σ = -1</m:t>
        </m:r>
      </m:oMath>
      <w:r>
        <w:t>, debt-sign).</w:t>
      </w:r>
    </w:p>
    <w:p w14:paraId="6B15BA7B" w14:textId="1509430D" w:rsidR="003C0797" w:rsidRDefault="00000000">
      <w:r>
        <w:t xml:space="preserve">The coupling matrix </w:t>
      </w:r>
      <m:oMath>
        <m:r>
          <w:rPr>
            <w:rFonts w:ascii="Cambria Math" w:hAnsi="Cambria Math"/>
          </w:rPr>
          <m:t>A(σ)</m:t>
        </m:r>
      </m:oMath>
      <w:r>
        <w:t xml:space="preserve"> has structure:</w:t>
      </w:r>
    </w:p>
    <w:p w14:paraId="029B9037" w14:textId="77777777" w:rsidR="005D141E" w:rsidRPr="005D141E" w:rsidRDefault="005D141E">
      <w:pPr>
        <w:jc w:val="center"/>
        <w:rPr>
          <w:sz w:val="22"/>
        </w:rPr>
      </w:pPr>
      <m:oMathPara>
        <m:oMath>
          <m:r>
            <w:rPr>
              <w:rFonts w:ascii="Cambria Math" w:hAnsi="Cambria Math"/>
              <w:sz w:val="22"/>
            </w:rPr>
            <m:t>A</m:t>
          </m:r>
          <m:d>
            <m:dPr>
              <m:ctrlPr>
                <w:rPr>
                  <w:rFonts w:ascii="Cambria Math" w:hAnsi="Cambria Math"/>
                  <w:i/>
                  <w:sz w:val="22"/>
                </w:rPr>
              </m:ctrlPr>
            </m:dPr>
            <m:e>
              <m:r>
                <w:rPr>
                  <w:rFonts w:ascii="Cambria Math" w:hAnsi="Cambria Math"/>
                  <w:sz w:val="22"/>
                </w:rPr>
                <m:t>σ</m:t>
              </m:r>
            </m:e>
          </m:d>
          <m:r>
            <w:rPr>
              <w:rFonts w:ascii="Cambria Math" w:hAnsi="Cambria Math"/>
              <w:sz w:val="22"/>
            </w:rPr>
            <m:t xml:space="preserve">= σ · </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11</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12</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13</m:t>
                  </m:r>
                </m:sub>
              </m:sSub>
            </m:e>
          </m:d>
        </m:oMath>
      </m:oMathPara>
    </w:p>
    <w:p w14:paraId="63613243" w14:textId="77777777" w:rsidR="005D141E" w:rsidRPr="005D141E" w:rsidRDefault="005D141E">
      <w:pPr>
        <w:jc w:val="center"/>
        <w:rPr>
          <w:rFonts w:ascii="Courier New" w:hAnsi="Courier New"/>
          <w:sz w:val="22"/>
        </w:rPr>
      </w:pPr>
      <m:oMathPara>
        <m:oMath>
          <m:r>
            <w:rPr>
              <w:rFonts w:ascii="Cambria Math" w:hAnsi="Cambria Math"/>
              <w:sz w:val="22"/>
            </w:rPr>
            <m:t xml:space="preserve">        </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21</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22</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23</m:t>
                  </m:r>
                </m:sub>
              </m:sSub>
            </m:e>
          </m:d>
        </m:oMath>
      </m:oMathPara>
    </w:p>
    <w:p w14:paraId="3B9FEB4F" w14:textId="22D22196" w:rsidR="003C0797" w:rsidRDefault="005D141E">
      <w:pPr>
        <w:jc w:val="center"/>
      </w:pPr>
      <m:oMathPara>
        <m:oMath>
          <m:r>
            <w:rPr>
              <w:rFonts w:ascii="Cambria Math" w:hAnsi="Cambria Math"/>
              <w:sz w:val="22"/>
            </w:rPr>
            <m:t xml:space="preserve">        </m:t>
          </m:r>
          <m:d>
            <m:dPr>
              <m:begChr m:val="["/>
              <m:endChr m:val="]"/>
              <m:ctrlPr>
                <w:rPr>
                  <w:rFonts w:ascii="Cambria Math" w:hAnsi="Cambria Math"/>
                  <w:i/>
                  <w:sz w:val="22"/>
                </w:rPr>
              </m:ctrlPr>
            </m:dPr>
            <m:e>
              <m:sSub>
                <m:sSubPr>
                  <m:ctrlPr>
                    <w:rPr>
                      <w:rFonts w:ascii="Cambria Math" w:hAnsi="Cambria Math"/>
                      <w:i/>
                      <w:sz w:val="22"/>
                    </w:rPr>
                  </m:ctrlPr>
                </m:sSubPr>
                <m:e>
                  <m:r>
                    <w:rPr>
                      <w:rFonts w:ascii="Cambria Math" w:hAnsi="Cambria Math"/>
                      <w:sz w:val="22"/>
                    </w:rPr>
                    <m:t>a</m:t>
                  </m:r>
                </m:e>
                <m:sub>
                  <m:r>
                    <w:rPr>
                      <w:rFonts w:ascii="Cambria Math" w:hAnsi="Cambria Math"/>
                      <w:sz w:val="22"/>
                    </w:rPr>
                    <m:t>31</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32</m:t>
                  </m:r>
                </m:sub>
              </m:sSub>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a</m:t>
                  </m:r>
                </m:e>
                <m:sub>
                  <m:r>
                    <w:rPr>
                      <w:rFonts w:ascii="Cambria Math" w:hAnsi="Cambria Math"/>
                      <w:sz w:val="22"/>
                    </w:rPr>
                    <m:t>33</m:t>
                  </m:r>
                </m:sub>
              </m:sSub>
            </m:e>
          </m:d>
        </m:oMath>
      </m:oMathPara>
    </w:p>
    <w:p w14:paraId="49C032D1" w14:textId="77777777" w:rsidR="005D141E" w:rsidRDefault="005D141E">
      <w:r>
        <w:t>W</w:t>
      </w:r>
      <w:r w:rsidR="00000000">
        <w:t>here</w:t>
      </w:r>
      <w:r>
        <w:t>:</w:t>
      </w:r>
    </w:p>
    <w:p w14:paraId="0870F9DF" w14:textId="77777777" w:rsidR="005D141E" w:rsidRDefault="00000000">
      <w:r>
        <w:t xml:space="preserve">aᵢⱼ represents coupling strength from vertex j to vertex i. </w:t>
      </w:r>
    </w:p>
    <w:p w14:paraId="0112FB76" w14:textId="1C872A5D" w:rsidR="003C0797" w:rsidRDefault="00000000">
      <w:r>
        <w:t>The sign flip (σ: +1 → -1) inverts all coupling directions simultaneously, transforming extraction-favorable dynamics into restoration-favorable dynamics.</w:t>
      </w:r>
    </w:p>
    <w:p w14:paraId="50459577" w14:textId="77777777" w:rsidR="003C0797" w:rsidRDefault="00000000">
      <w:pPr>
        <w:pStyle w:val="Heading2"/>
      </w:pPr>
      <w:r>
        <w:t>6.2 Stability Analysis</w:t>
      </w:r>
    </w:p>
    <w:p w14:paraId="1883C788" w14:textId="70337E12" w:rsidR="003C0797" w:rsidRDefault="00000000">
      <w:r>
        <w:t xml:space="preserve">Equilibrium points </w:t>
      </w:r>
      <m:oMath>
        <m:sSup>
          <m:sSupPr>
            <m:ctrlPr>
              <w:rPr>
                <w:rFonts w:ascii="Cambria Math" w:hAnsi="Cambria Math"/>
                <w:i/>
              </w:rPr>
            </m:ctrlPr>
          </m:sSupPr>
          <m:e>
            <m:r>
              <w:rPr>
                <w:rFonts w:ascii="Cambria Math" w:hAnsi="Cambria Math"/>
              </w:rPr>
              <m:t>x</m:t>
            </m:r>
          </m:e>
          <m:sup>
            <m:r>
              <w:rPr>
                <w:rFonts w:ascii="Cambria Math" w:hAnsi="Cambria Math"/>
              </w:rPr>
              <m:t>*</m:t>
            </m:r>
          </m:sup>
        </m:sSup>
      </m:oMath>
      <w:r>
        <w:t xml:space="preserve"> satisfy </w:t>
      </w:r>
      <m:oMath>
        <m:f>
          <m:fPr>
            <m:ctrlPr>
              <w:rPr>
                <w:rFonts w:ascii="Cambria Math" w:hAnsi="Cambria Math"/>
                <w:i/>
              </w:rPr>
            </m:ctrlPr>
          </m:fPr>
          <m:num>
            <m:r>
              <w:rPr>
                <w:rFonts w:ascii="Cambria Math" w:hAnsi="Cambria Math"/>
              </w:rPr>
              <m:t>dx</m:t>
            </m:r>
          </m:num>
          <m:den>
            <m:r>
              <w:rPr>
                <w:rFonts w:ascii="Cambria Math" w:hAnsi="Cambria Math"/>
              </w:rPr>
              <m:t>dt</m:t>
            </m:r>
          </m:den>
        </m:f>
        <m:r>
          <w:rPr>
            <w:rFonts w:ascii="Cambria Math" w:hAnsi="Cambria Math"/>
          </w:rPr>
          <m:t>= 0</m:t>
        </m:r>
      </m:oMath>
      <w:r>
        <w:t xml:space="preserve">, yielding </w:t>
      </w:r>
      <m:oMath>
        <m:r>
          <w:rPr>
            <w:rFonts w:ascii="Cambria Math" w:hAnsi="Cambria Math"/>
          </w:rPr>
          <m:t>A</m:t>
        </m:r>
        <m:d>
          <m:dPr>
            <m:ctrlPr>
              <w:rPr>
                <w:rFonts w:ascii="Cambria Math" w:hAnsi="Cambria Math"/>
                <w:i/>
              </w:rPr>
            </m:ctrlPr>
          </m:dPr>
          <m:e>
            <m:r>
              <w:rPr>
                <w:rFonts w:ascii="Cambria Math" w:hAnsi="Cambria Math"/>
              </w:rPr>
              <m:t>σ</m:t>
            </m:r>
          </m:e>
        </m:d>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 f</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,σ</m:t>
            </m:r>
          </m:e>
        </m:d>
        <m:r>
          <w:rPr>
            <w:rFonts w:ascii="Cambria Math" w:hAnsi="Cambria Math"/>
          </w:rPr>
          <m:t>= η</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oMath>
      <w:r>
        <w:t xml:space="preserve">. Linear stability analysis examines eigenvalues </w:t>
      </w:r>
      <m:oMath>
        <m:r>
          <w:rPr>
            <w:rFonts w:ascii="Cambria Math" w:hAnsi="Cambria Math"/>
          </w:rPr>
          <m:t>λ</m:t>
        </m:r>
      </m:oMath>
      <w:r>
        <w:t xml:space="preserve"> of Jacobian J = A(σ) + ∂f/∂x|ₓ₌ₓ*. Equilibrium is stable if </w:t>
      </w:r>
      <m:oMath>
        <m:r>
          <w:rPr>
            <w:rFonts w:ascii="Cambria Math" w:hAnsi="Cambria Math"/>
          </w:rPr>
          <m:t>Re</m:t>
        </m:r>
        <m:d>
          <m:dPr>
            <m:ctrlPr>
              <w:rPr>
                <w:rFonts w:ascii="Cambria Math" w:hAnsi="Cambria Math"/>
                <w:i/>
              </w:rPr>
            </m:ctrlPr>
          </m:dPr>
          <m:e>
            <m:r>
              <w:rPr>
                <w:rFonts w:ascii="Cambria Math" w:hAnsi="Cambria Math"/>
              </w:rPr>
              <m:t>λᵢ</m:t>
            </m:r>
          </m:e>
        </m:d>
        <m:r>
          <w:rPr>
            <w:rFonts w:ascii="Cambria Math" w:hAnsi="Cambria Math"/>
          </w:rPr>
          <m:t>&lt; 0</m:t>
        </m:r>
      </m:oMath>
      <w:r>
        <w:t xml:space="preserve"> for all eigenvalues.</w:t>
      </w:r>
    </w:p>
    <w:p w14:paraId="128A6E6C" w14:textId="389EE773" w:rsidR="003C0797" w:rsidRDefault="00000000">
      <w:r>
        <w:t>Profit-sign regime (</w:t>
      </w:r>
      <m:oMath>
        <m:r>
          <w:rPr>
            <w:rFonts w:ascii="Cambria Math" w:hAnsi="Cambria Math"/>
          </w:rPr>
          <m:t>σ = +1</m:t>
        </m:r>
      </m:oMath>
      <w:r>
        <w:t xml:space="preserve">): Equilibrium </w:t>
      </w:r>
      <m:oMath>
        <m:sSubSup>
          <m:sSubSupPr>
            <m:ctrlPr>
              <w:rPr>
                <w:rFonts w:ascii="Cambria Math" w:hAnsi="Cambria Math"/>
                <w:i/>
              </w:rPr>
            </m:ctrlPr>
          </m:sSubSupPr>
          <m:e>
            <m:r>
              <w:rPr>
                <w:rFonts w:ascii="Cambria Math" w:hAnsi="Cambria Math"/>
              </w:rPr>
              <m:t>x</m:t>
            </m:r>
          </m:e>
          <m:sub>
            <m:r>
              <w:rPr>
                <w:rFonts w:ascii="Cambria Math" w:hAnsi="Cambria Math"/>
              </w:rPr>
              <m:t>+</m:t>
            </m:r>
          </m:sub>
          <m:sup>
            <m:r>
              <w:rPr>
                <w:rFonts w:ascii="Cambria Math" w:hAnsi="Cambria Math"/>
              </w:rPr>
              <m:t>*</m:t>
            </m:r>
          </m:sup>
        </m:sSubSup>
      </m:oMath>
      <w:r>
        <w:t xml:space="preserve"> corresponds to high extraction, degraded </w:t>
      </w:r>
      <m:oMath>
        <m:r>
          <w:rPr>
            <w:rFonts w:ascii="Cambria Math" w:hAnsi="Cambria Math"/>
          </w:rPr>
          <m:t>N</m:t>
        </m:r>
      </m:oMath>
      <w:r>
        <w:t xml:space="preserve">, stressed </w:t>
      </w:r>
      <m:oMath>
        <m:r>
          <w:rPr>
            <w:rFonts w:ascii="Cambria Math" w:hAnsi="Cambria Math"/>
          </w:rPr>
          <m:t>C</m:t>
        </m:r>
      </m:oMath>
      <w:r>
        <w:t xml:space="preserve">, and throughput-maximizing </w:t>
      </w:r>
      <m:oMath>
        <m:r>
          <w:rPr>
            <w:rFonts w:ascii="Cambria Math" w:hAnsi="Cambria Math"/>
          </w:rPr>
          <m:t>E</m:t>
        </m:r>
      </m:oMath>
      <w:r>
        <w:t>. Eigenvalue analysis reveals this equilibrium is unstable with positive real eigenvalues in extraction directions—small perturbations amplify through positive feedback.</w:t>
      </w:r>
    </w:p>
    <w:p w14:paraId="63BAD9AF" w14:textId="229AEED8" w:rsidR="003C0797" w:rsidRDefault="00000000">
      <w:r>
        <w:t>Debt-sign regime (</w:t>
      </w:r>
      <m:oMath>
        <m:r>
          <w:rPr>
            <w:rFonts w:ascii="Cambria Math" w:hAnsi="Cambria Math"/>
          </w:rPr>
          <m:t>σ = -1</m:t>
        </m:r>
      </m:oMath>
      <w:r>
        <w:t xml:space="preserve">): Equilibrium x*₋ corresponds to sustainable throughput, healthy </w:t>
      </w:r>
      <m:oMath>
        <m:r>
          <w:rPr>
            <w:rFonts w:ascii="Cambria Math" w:hAnsi="Cambria Math"/>
          </w:rPr>
          <m:t>N</m:t>
        </m:r>
      </m:oMath>
      <w:r>
        <w:t xml:space="preserve">, coherent </w:t>
      </w:r>
      <m:oMath>
        <m:r>
          <w:rPr>
            <w:rFonts w:ascii="Cambria Math" w:hAnsi="Cambria Math"/>
          </w:rPr>
          <m:t>C</m:t>
        </m:r>
      </m:oMath>
      <w:r>
        <w:t xml:space="preserve">, and regenerative </w:t>
      </w:r>
      <m:oMath>
        <m:r>
          <w:rPr>
            <w:rFonts w:ascii="Cambria Math" w:hAnsi="Cambria Math"/>
          </w:rPr>
          <m:t>E</m:t>
        </m:r>
      </m:oMath>
      <w:r>
        <w:t>. Eigenvalue analysis reveals this equilibrium is stable with negative real eigenvalues—perturbations dampen through negative feedback. The sign flip literally stabilizes the desirable equilibrium while destabilizing the extractive one.</w:t>
      </w:r>
    </w:p>
    <w:p w14:paraId="123DEE1C" w14:textId="1A01E56D" w:rsidR="003C0797" w:rsidRDefault="00000000">
      <w:r>
        <w:t xml:space="preserve">Basin of attraction analysis determines initial conditions from which system converges to x*₋. Transition from </w:t>
      </w:r>
      <m:oMath>
        <m:r>
          <w:rPr>
            <w:rFonts w:ascii="Cambria Math" w:hAnsi="Cambria Math"/>
          </w:rPr>
          <m:t>profit-sign</m:t>
        </m:r>
      </m:oMath>
      <w:r>
        <w:t xml:space="preserve"> to </w:t>
      </w:r>
      <m:oMath>
        <m:r>
          <w:rPr>
            <w:rFonts w:ascii="Cambria Math" w:hAnsi="Cambria Math"/>
          </w:rPr>
          <m:t>debt-sign</m:t>
        </m:r>
      </m:oMath>
      <w:r>
        <w:t xml:space="preserve"> requires crossing separatrix between basins. Gradual implementation allows system to track shifting equilibrium rather than requiring discontinuous jump.</w:t>
      </w:r>
    </w:p>
    <w:p w14:paraId="6CE47259" w14:textId="77777777" w:rsidR="003C0797" w:rsidRDefault="00000000">
      <w:pPr>
        <w:pStyle w:val="Heading2"/>
      </w:pPr>
      <w:r>
        <w:t>6.3 Lyapunov Function Construction</w:t>
      </w:r>
    </w:p>
    <w:p w14:paraId="1303B9CB" w14:textId="17A4DABF" w:rsidR="003C0797" w:rsidRDefault="00000000">
      <w:r>
        <w:t xml:space="preserve">A Lyapunov function </w:t>
      </w:r>
      <m:oMath>
        <m:r>
          <w:rPr>
            <w:rFonts w:ascii="Cambria Math" w:hAnsi="Cambria Math"/>
          </w:rPr>
          <m:t>V(x)</m:t>
        </m:r>
      </m:oMath>
      <w:r>
        <w:t xml:space="preserve"> provides thermodynamic interpretation of stability. If </w:t>
      </w:r>
      <m:oMath>
        <m:r>
          <w:rPr>
            <w:rFonts w:ascii="Cambria Math" w:hAnsi="Cambria Math"/>
          </w:rPr>
          <m:t>V(x)</m:t>
        </m:r>
      </m:oMath>
      <w:r>
        <w:t xml:space="preserve"> decreases monotonically along system trajectories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&lt; 0</m:t>
        </m:r>
      </m:oMath>
      <w:r>
        <w:t>), the equilibrium is thermodynamically favored—the system naturally falls toward it.</w:t>
      </w:r>
    </w:p>
    <w:p w14:paraId="10FB6529" w14:textId="77777777" w:rsidR="003C0797" w:rsidRDefault="00000000">
      <w:r>
        <w:t>For the debt-sign regime, construct Lyapunov function as weighted ecological debt:</w:t>
      </w:r>
    </w:p>
    <w:p w14:paraId="17648327" w14:textId="7DDB01A1" w:rsidR="003C0797" w:rsidRDefault="00EA5B0E">
      <w:pPr>
        <w:spacing w:before="240" w:after="240"/>
        <w:jc w:val="center"/>
      </w:pPr>
      <m:oMathPara>
        <m:oMath>
          <m:r>
            <m:rPr>
              <m:sty m:val="bi"/>
            </m:rPr>
            <w:rPr>
              <w:rFonts w:ascii="Cambria Math" w:hAnsi="Cambria Math"/>
            </w:rPr>
            <m:t>V</m:t>
          </m:r>
          <m:d>
            <m:dPr>
              <m:ctrlPr>
                <w:rPr>
                  <w:rFonts w:ascii="Cambria Math" w:hAnsi="Cambria Math"/>
                  <w:b/>
                  <w:i/>
                </w:rPr>
              </m:ctrlPr>
            </m:dPr>
            <m:e>
              <m:r>
                <m:rPr>
                  <m:sty m:val="bi"/>
                </m:rPr>
                <w:rPr>
                  <w:rFonts w:ascii="Cambria Math" w:hAnsi="Cambria Math"/>
                </w:rPr>
                <m:t>x</m:t>
              </m:r>
            </m:e>
          </m:d>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1</m:t>
              </m:r>
            </m:sub>
          </m:sSub>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N</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2</m:t>
              </m:r>
            </m:sub>
          </m:sSub>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C</m:t>
              </m:r>
            </m:sub>
          </m:sSub>
          <m:r>
            <m:rPr>
              <m:sty m:val="bi"/>
            </m:rPr>
            <w:rPr>
              <w:rFonts w:ascii="Cambria Math" w:hAnsi="Cambria Math"/>
            </w:rPr>
            <m:t xml:space="preserve">+ </m:t>
          </m:r>
          <m:sSub>
            <m:sSubPr>
              <m:ctrlPr>
                <w:rPr>
                  <w:rFonts w:ascii="Cambria Math" w:hAnsi="Cambria Math"/>
                  <w:b/>
                  <w:i/>
                </w:rPr>
              </m:ctrlPr>
            </m:sSubPr>
            <m:e>
              <m:r>
                <m:rPr>
                  <m:sty m:val="bi"/>
                </m:rPr>
                <w:rPr>
                  <w:rFonts w:ascii="Cambria Math" w:hAnsi="Cambria Math"/>
                </w:rPr>
                <m:t>w</m:t>
              </m:r>
            </m:e>
            <m:sub>
              <m:r>
                <m:rPr>
                  <m:sty m:val="bi"/>
                </m:rPr>
                <w:rPr>
                  <w:rFonts w:ascii="Cambria Math" w:hAnsi="Cambria Math"/>
                </w:rPr>
                <m:t>3</m:t>
              </m:r>
            </m:sub>
          </m:sSub>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E</m:t>
              </m:r>
            </m:sub>
          </m:sSub>
        </m:oMath>
      </m:oMathPara>
    </w:p>
    <w:p w14:paraId="74432460" w14:textId="3754163A" w:rsidR="00EA5B0E" w:rsidRDefault="00EA5B0E">
      <w:proofErr w:type="gramStart"/>
      <w:r>
        <w:t>W</w:t>
      </w:r>
      <w:r w:rsidR="00000000">
        <w:t>here</w:t>
      </w:r>
      <w:proofErr w:type="gramEnd"/>
      <w:r w:rsidR="00000000">
        <w:t xml:space="preserve"> </w:t>
      </w:r>
    </w:p>
    <w:p w14:paraId="146BBCB0" w14:textId="77777777" w:rsidR="00EA5B0E" w:rsidRDefault="00EA5B0E">
      <m:oMath>
        <m:sSub>
          <m:sSubPr>
            <m:ctrlPr>
              <w:rPr>
                <w:rFonts w:ascii="Cambria Math" w:hAnsi="Cambria Math"/>
                <w:i/>
              </w:rPr>
            </m:ctrlPr>
          </m:sSubPr>
          <m:e>
            <m:r>
              <w:rPr>
                <w:rFonts w:ascii="Cambria Math" w:hAnsi="Cambria Math"/>
              </w:rPr>
              <m:t>D</m:t>
            </m:r>
          </m:e>
          <m:sub>
            <m:r>
              <w:rPr>
                <w:rFonts w:ascii="Cambria Math" w:hAnsi="Cambria Math"/>
              </w:rPr>
              <m:t>N</m:t>
            </m:r>
          </m:sub>
        </m:sSub>
      </m:oMath>
      <w:r w:rsidR="00000000">
        <w:t xml:space="preserve"> represents biophysical debt (extraction exceeding regeneration), </w:t>
      </w:r>
    </w:p>
    <w:p w14:paraId="1F406C1E" w14:textId="77777777" w:rsidR="00EA5B0E" w:rsidRDefault="00EA5B0E">
      <m:oMath>
        <m:sSub>
          <m:sSubPr>
            <m:ctrlPr>
              <w:rPr>
                <w:rFonts w:ascii="Cambria Math" w:hAnsi="Cambria Math"/>
                <w:i/>
              </w:rPr>
            </m:ctrlPr>
          </m:sSubPr>
          <m:e>
            <m:r>
              <w:rPr>
                <w:rFonts w:ascii="Cambria Math" w:hAnsi="Cambria Math"/>
              </w:rPr>
              <m:t>D</m:t>
            </m:r>
          </m:e>
          <m:sub>
            <m:r>
              <w:rPr>
                <w:rFonts w:ascii="Cambria Math" w:hAnsi="Cambria Math"/>
              </w:rPr>
              <m:t>C</m:t>
            </m:r>
          </m:sub>
        </m:sSub>
      </m:oMath>
      <w:r w:rsidR="00000000">
        <w:t xml:space="preserve"> represents cognitive debt (stress load, meaning fragmentation), and </w:t>
      </w:r>
    </w:p>
    <w:p w14:paraId="2C563C31" w14:textId="77777777" w:rsidR="00EA5B0E" w:rsidRDefault="00EA5B0E">
      <m:oMath>
        <m:sSub>
          <m:sSubPr>
            <m:ctrlPr>
              <w:rPr>
                <w:rFonts w:ascii="Cambria Math" w:hAnsi="Cambria Math"/>
                <w:i/>
              </w:rPr>
            </m:ctrlPr>
          </m:sSubPr>
          <m:e>
            <m:r>
              <w:rPr>
                <w:rFonts w:ascii="Cambria Math" w:hAnsi="Cambria Math"/>
              </w:rPr>
              <m:t>D</m:t>
            </m:r>
          </m:e>
          <m:sub>
            <m:r>
              <w:rPr>
                <w:rFonts w:ascii="Cambria Math" w:hAnsi="Cambria Math"/>
              </w:rPr>
              <m:t>E</m:t>
            </m:r>
          </m:sub>
        </m:sSub>
      </m:oMath>
      <w:r w:rsidR="00000000">
        <w:t xml:space="preserve"> represents institutional debt (opacity, capture, misalignment). </w:t>
      </w:r>
    </w:p>
    <w:p w14:paraId="06083DEC" w14:textId="058076B2" w:rsidR="003C0797" w:rsidRDefault="00000000">
      <w:r>
        <w:t>Weights wᵢ reflect relative importance and measurement precision.</w:t>
      </w:r>
    </w:p>
    <w:p w14:paraId="053C368B" w14:textId="77777777" w:rsidR="003C0797" w:rsidRDefault="00000000">
      <w:r>
        <w:t>Taking time derivative:</w:t>
      </w:r>
    </w:p>
    <w:p w14:paraId="720521A0" w14:textId="2D592148" w:rsidR="003C0797" w:rsidRDefault="00EA5B0E">
      <w:pPr>
        <w:jc w:val="center"/>
      </w:pPr>
      <m:oMathPara>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 Σᵢ wᵢ</m:t>
          </m:r>
          <m:d>
            <m:dPr>
              <m:ctrlPr>
                <w:rPr>
                  <w:rFonts w:ascii="Cambria Math" w:hAnsi="Cambria Math"/>
                  <w:i/>
                </w:rPr>
              </m:ctrlPr>
            </m:dPr>
            <m:e>
              <m:f>
                <m:fPr>
                  <m:ctrlPr>
                    <w:rPr>
                      <w:rFonts w:ascii="Cambria Math" w:hAnsi="Cambria Math"/>
                      <w:i/>
                    </w:rPr>
                  </m:ctrlPr>
                </m:fPr>
                <m:num>
                  <m:r>
                    <w:rPr>
                      <w:rFonts w:ascii="Cambria Math" w:hAnsi="Cambria Math"/>
                    </w:rPr>
                    <m:t>dDᵢ</m:t>
                  </m:r>
                </m:num>
                <m:den>
                  <m:r>
                    <w:rPr>
                      <w:rFonts w:ascii="Cambria Math" w:hAnsi="Cambria Math"/>
                    </w:rPr>
                    <m:t>dt</m:t>
                  </m:r>
                </m:den>
              </m:f>
            </m:e>
          </m:d>
        </m:oMath>
      </m:oMathPara>
    </w:p>
    <w:p w14:paraId="49E7DAA1" w14:textId="7CBEAE2F" w:rsidR="003C0797" w:rsidRDefault="00000000">
      <w:r>
        <w:t xml:space="preserve">Under debt-sign dynamics, </w:t>
      </w:r>
      <m:oMath>
        <m:f>
          <m:fPr>
            <m:ctrlPr>
              <w:rPr>
                <w:rFonts w:ascii="Cambria Math" w:hAnsi="Cambria Math"/>
                <w:i/>
              </w:rPr>
            </m:ctrlPr>
          </m:fPr>
          <m:num>
            <m:r>
              <w:rPr>
                <w:rFonts w:ascii="Cambria Math" w:hAnsi="Cambria Math"/>
              </w:rPr>
              <m:t>dDᵢ</m:t>
            </m:r>
          </m:num>
          <m:den>
            <m:r>
              <w:rPr>
                <w:rFonts w:ascii="Cambria Math" w:hAnsi="Cambria Math"/>
              </w:rPr>
              <m:t>dt</m:t>
            </m:r>
          </m:den>
        </m:f>
        <m:r>
          <w:rPr>
            <w:rFonts w:ascii="Cambria Math" w:hAnsi="Cambria Math"/>
          </w:rPr>
          <m:t>&lt; 0</m:t>
        </m:r>
      </m:oMath>
      <w:r>
        <w:t xml:space="preserve"> near equilibrium x*₋ because restoration outpaces degradation. Therefore </w:t>
      </w:r>
      <m:oMath>
        <m:f>
          <m:fPr>
            <m:ctrlPr>
              <w:rPr>
                <w:rFonts w:ascii="Cambria Math" w:hAnsi="Cambria Math"/>
                <w:i/>
              </w:rPr>
            </m:ctrlPr>
          </m:fPr>
          <m:num>
            <m:r>
              <w:rPr>
                <w:rFonts w:ascii="Cambria Math" w:hAnsi="Cambria Math"/>
              </w:rPr>
              <m:t>dV</m:t>
            </m:r>
          </m:num>
          <m:den>
            <m:r>
              <w:rPr>
                <w:rFonts w:ascii="Cambria Math" w:hAnsi="Cambria Math"/>
              </w:rPr>
              <m:t>dt</m:t>
            </m:r>
          </m:den>
        </m:f>
        <m:r>
          <w:rPr>
            <w:rFonts w:ascii="Cambria Math" w:hAnsi="Cambria Math"/>
          </w:rPr>
          <m:t>&lt; 0</m:t>
        </m:r>
      </m:oMath>
      <w:r>
        <w:t>, confirming thermodynamic favorability. The system spontaneously reduces ecological debt, falling toward sustainable configuration.</w:t>
      </w:r>
    </w:p>
    <w:p w14:paraId="5EBB34B8" w14:textId="063E77B7" w:rsidR="003C0797" w:rsidRDefault="00000000">
      <w:r>
        <w:t xml:space="preserve">Conversely, under profit-sign dynamics near </w:t>
      </w:r>
      <m:oMath>
        <m:r>
          <w:rPr>
            <w:rFonts w:ascii="Cambria Math" w:hAnsi="Cambria Math"/>
          </w:rPr>
          <m:t>x</m:t>
        </m:r>
        <m:sSub>
          <m:sSubPr>
            <m:ctrlPr>
              <w:rPr>
                <w:rFonts w:ascii="Cambria Math" w:hAnsi="Cambria Math"/>
                <w:i/>
              </w:rPr>
            </m:ctrlPr>
          </m:sSubPr>
          <m:e>
            <m:r>
              <w:rPr>
                <w:rFonts w:ascii="Cambria Math" w:hAnsi="Cambria Math"/>
              </w:rPr>
              <m:t>*</m:t>
            </m:r>
          </m:e>
          <m:sub>
            <m:r>
              <w:rPr>
                <w:rFonts w:ascii="Cambria Math" w:hAnsi="Cambria Math"/>
              </w:rPr>
              <m:t>+</m:t>
            </m:r>
          </m:sub>
        </m:sSub>
        <m:r>
          <w:rPr>
            <w:rFonts w:ascii="Cambria Math" w:hAnsi="Cambria Math"/>
          </w:rPr>
          <m:t>,</m:t>
        </m:r>
        <m:f>
          <m:fPr>
            <m:ctrlPr>
              <w:rPr>
                <w:rFonts w:ascii="Cambria Math" w:hAnsi="Cambria Math"/>
                <w:i/>
              </w:rPr>
            </m:ctrlPr>
          </m:fPr>
          <m:num>
            <m:r>
              <w:rPr>
                <w:rFonts w:ascii="Cambria Math" w:hAnsi="Cambria Math"/>
              </w:rPr>
              <m:t>dDᵢ</m:t>
            </m:r>
          </m:num>
          <m:den>
            <m:r>
              <w:rPr>
                <w:rFonts w:ascii="Cambria Math" w:hAnsi="Cambria Math"/>
              </w:rPr>
              <m:t>dt</m:t>
            </m:r>
          </m:den>
        </m:f>
        <m:r>
          <w:rPr>
            <w:rFonts w:ascii="Cambria Math" w:hAnsi="Cambria Math"/>
          </w:rPr>
          <m:t>&gt; 0</m:t>
        </m:r>
      </m:oMath>
      <w:r>
        <w:t xml:space="preserve"> because degradation outpaces restoration. The system spontaneously accumulates debt, requiring continuous intervention </w:t>
      </w:r>
      <m:oMath>
        <m:r>
          <w:rPr>
            <w:rFonts w:ascii="Cambria Math" w:hAnsi="Cambria Math"/>
          </w:rPr>
          <m:t>u(t)</m:t>
        </m:r>
      </m:oMath>
      <w:r>
        <w:t xml:space="preserve"> to prevent collapse. This formalizes the Default Gradient Law: profit-sign regime requires permanent force against gradient; debt-sign regime achieves stable equilibrium through intrinsic dynamics.</w:t>
      </w:r>
    </w:p>
    <w:p w14:paraId="12C2A6F4" w14:textId="77777777" w:rsidR="00EA5B0E" w:rsidRDefault="00EA5B0E" w:rsidP="00EA5B0E">
      <w:pPr>
        <w:pStyle w:val="Heading1"/>
        <w:sectPr w:rsidR="00EA5B0E" w:rsidSect="00034616">
          <w:pgSz w:w="12240" w:h="15840"/>
          <w:pgMar w:top="1440" w:right="1800" w:bottom="1440" w:left="1800" w:header="720" w:footer="720" w:gutter="0"/>
          <w:cols w:space="720"/>
          <w:docGrid w:linePitch="360"/>
        </w:sectPr>
      </w:pPr>
    </w:p>
    <w:p w14:paraId="5BFEB294" w14:textId="77777777" w:rsidR="003C0797" w:rsidRDefault="00000000" w:rsidP="00EA5B0E">
      <w:pPr>
        <w:pStyle w:val="Heading1"/>
      </w:pPr>
      <w:r>
        <w:t>7. Discussion: Empirical Grounding, Implementation, Governance</w:t>
      </w:r>
    </w:p>
    <w:p w14:paraId="5515CFF3" w14:textId="77777777" w:rsidR="003C0797" w:rsidRDefault="00000000">
      <w:pPr>
        <w:pStyle w:val="Heading2"/>
      </w:pPr>
      <w:r>
        <w:t>7.1 Empirical Grounding and Limitations</w:t>
      </w:r>
    </w:p>
    <w:p w14:paraId="40D7849B" w14:textId="77777777" w:rsidR="003C0797" w:rsidRDefault="00000000">
      <w:r>
        <w:t>The sign-flip architecture draws empirical support from multiple domains while acknowledging significant gaps. Goodhart dynamics are well-documented across measurement systems. Motivation crowding effects demonstrate that extrinsic incentives can displace intrinsic motivation. Planetary boundaries research establishes biophysical limits. Institutional economics documents systematic externalization.</w:t>
      </w:r>
    </w:p>
    <w:p w14:paraId="2706F44B" w14:textId="77777777" w:rsidR="003C0797" w:rsidRDefault="00000000">
      <w:r>
        <w:t>However, full-system empirical validation is limited. No complete implementation of debt-sign currency exists. Measurement challenges remain substantial. The appropriate research posture treats the architecture as engineering hypothesis requiring empirical testing through pilot studies at multiple scales.</w:t>
      </w:r>
    </w:p>
    <w:p w14:paraId="50D6ADBF" w14:textId="77777777" w:rsidR="003C0797" w:rsidRDefault="00000000">
      <w:pPr>
        <w:pStyle w:val="Heading2"/>
      </w:pPr>
      <w:r>
        <w:t>7.2 Implementation Challenges</w:t>
      </w:r>
    </w:p>
    <w:p w14:paraId="56D463AF" w14:textId="77777777" w:rsidR="003C0797" w:rsidRDefault="00000000">
      <w:r>
        <w:t>Implementation faces substantial technical and political challenges. Measurement infrastructure must be developed. Verification systems must resist gaming. Governance structures must prevent capture. The Default Gradient Law suggests that partial implementation will fail through gaming and evasion.</w:t>
      </w:r>
    </w:p>
    <w:p w14:paraId="2D010E9C" w14:textId="77777777" w:rsidR="003C0797" w:rsidRDefault="00000000">
      <w:pPr>
        <w:pStyle w:val="Heading2"/>
      </w:pPr>
      <w:r>
        <w:t>7.3 Governance Implications</w:t>
      </w:r>
    </w:p>
    <w:p w14:paraId="1C9A4EF1" w14:textId="77777777" w:rsidR="003C0797" w:rsidRDefault="00000000">
      <w:r>
        <w:t>The architecture implies specific governance requirements: multi-stakeholder verification, open-source measurement, graduated implementation, equity protections. The thermodynamic stability argument implies governance can be lighter once gradients are established.</w:t>
      </w:r>
    </w:p>
    <w:p w14:paraId="66D325FA" w14:textId="77777777" w:rsidR="003C0797" w:rsidRDefault="00000000">
      <w:pPr>
        <w:pStyle w:val="Heading2"/>
      </w:pPr>
      <w:r>
        <w:t>7.4 Conclusion</w:t>
      </w:r>
    </w:p>
    <w:p w14:paraId="4D64CB06" w14:textId="7D8F2506" w:rsidR="003C0797" w:rsidRDefault="00000000">
      <w:r>
        <w:t>This paper has developed a</w:t>
      </w:r>
      <w:r w:rsidR="00525F1D">
        <w:t xml:space="preserve">n </w:t>
      </w:r>
      <w:r>
        <w:t>architecture for civilizational stability based on sign-flipping currency from extractive entitlement to ecological obligation. The architecture is grounded in thermodynamic necessity, systems theory, and empirical regularities.</w:t>
      </w:r>
    </w:p>
    <w:p w14:paraId="2ECD91E7" w14:textId="5B0FFE3B" w:rsidR="003C0797" w:rsidRDefault="00000000">
      <w:r>
        <w:t xml:space="preserve">The core insight: reform must change default gradients rather than fight against them. The sign-flip succeeds by changing </w:t>
      </w:r>
      <m:oMath>
        <m:r>
          <w:rPr>
            <w:rFonts w:ascii="Cambria Math" w:hAnsi="Cambria Math"/>
          </w:rPr>
          <m:t>V(x)</m:t>
        </m:r>
      </m:oMath>
      <w:r>
        <w:t xml:space="preserve"> itself, making sustainability thermodynamically downhill.</w:t>
      </w:r>
    </w:p>
    <w:p w14:paraId="508B87A0" w14:textId="77777777" w:rsidR="00EA5B0E" w:rsidRDefault="00000000">
      <w:pPr>
        <w:sectPr w:rsidR="00EA5B0E" w:rsidSect="00034616">
          <w:pgSz w:w="12240" w:h="15840"/>
          <w:pgMar w:top="1440" w:right="1800" w:bottom="1440" w:left="1800" w:header="720" w:footer="720" w:gutter="0"/>
          <w:cols w:space="720"/>
          <w:docGrid w:linePitch="360"/>
        </w:sectPr>
      </w:pPr>
      <w:r>
        <w:t xml:space="preserve">The gradient is destiny. The question is whether civilization deliberately </w:t>
      </w:r>
      <w:proofErr w:type="gramStart"/>
      <w:r>
        <w:t>engineers</w:t>
      </w:r>
      <w:proofErr w:type="gramEnd"/>
      <w:r>
        <w:t xml:space="preserve"> gradients toward viability or continues allowing them to emerge from unconstrained optimization.</w:t>
      </w:r>
    </w:p>
    <w:p w14:paraId="77AA91CB" w14:textId="77777777" w:rsidR="003C0797" w:rsidRPr="00EA5B0E" w:rsidRDefault="00000000" w:rsidP="00EA5B0E">
      <w:pPr>
        <w:pStyle w:val="Heading1"/>
      </w:pPr>
      <w:r w:rsidRPr="00EA5B0E">
        <w:t>References</w:t>
      </w:r>
    </w:p>
    <w:p w14:paraId="65A805C4" w14:textId="77777777" w:rsidR="003C0797" w:rsidRDefault="00000000">
      <w:pPr>
        <w:pStyle w:val="ListBullet"/>
      </w:pPr>
      <w:r>
        <w:t>Campbell, D. T. (1979). Assessing the impact of planned social change. Evaluation and Program Planning, 2(1), 67-90.</w:t>
      </w:r>
    </w:p>
    <w:p w14:paraId="79F21521" w14:textId="77777777" w:rsidR="003C0797" w:rsidRDefault="00000000">
      <w:pPr>
        <w:pStyle w:val="ListBullet"/>
      </w:pPr>
      <w:r>
        <w:t>Costanza, R., et al. (2014). Changes in the global value of ecosystem services. Global Environmental Change, 26, 152-158.</w:t>
      </w:r>
    </w:p>
    <w:p w14:paraId="57218687" w14:textId="77777777" w:rsidR="003C0797" w:rsidRDefault="00000000">
      <w:pPr>
        <w:pStyle w:val="ListBullet"/>
      </w:pPr>
      <w:r>
        <w:t>Daly, H. E., &amp; Farley, J. (2011). Ecological Economics (2nd ed.). Island Press.</w:t>
      </w:r>
    </w:p>
    <w:p w14:paraId="3C32C67B" w14:textId="77777777" w:rsidR="003C0797" w:rsidRDefault="00000000">
      <w:pPr>
        <w:pStyle w:val="ListBullet"/>
      </w:pPr>
      <w:r>
        <w:t>Deci, E. L., et al. (1999). A meta-analytic review of extrinsic rewards on intrinsic motivation. Psychological Bulletin, 125(6), 627-668.</w:t>
      </w:r>
    </w:p>
    <w:p w14:paraId="02F52392" w14:textId="77777777" w:rsidR="003C0797" w:rsidRDefault="00000000">
      <w:pPr>
        <w:pStyle w:val="ListBullet"/>
      </w:pPr>
      <w:r>
        <w:t>Frank, R. H. (1999). Luxury Fever. Free Press.</w:t>
      </w:r>
    </w:p>
    <w:p w14:paraId="11624513" w14:textId="77777777" w:rsidR="003C0797" w:rsidRDefault="00000000">
      <w:pPr>
        <w:pStyle w:val="ListBullet"/>
      </w:pPr>
      <w:r>
        <w:t>Frey, B. S., &amp; Oberholzer-Gee, F. (1997). The cost of price incentives. American Economic Review, 87(4), 746-755.</w:t>
      </w:r>
    </w:p>
    <w:p w14:paraId="0200A3C1" w14:textId="77777777" w:rsidR="003C0797" w:rsidRDefault="00000000">
      <w:pPr>
        <w:pStyle w:val="ListBullet"/>
      </w:pPr>
      <w:r>
        <w:t>Goodhart, C. A. E. (1975). Problems of monetary management. Reserve Bank of Australia.</w:t>
      </w:r>
    </w:p>
    <w:p w14:paraId="6D96CFEB" w14:textId="77777777" w:rsidR="003C0797" w:rsidRDefault="00000000">
      <w:pPr>
        <w:pStyle w:val="ListBullet"/>
      </w:pPr>
      <w:r>
        <w:t>Holmström, B., &amp; Milgrom, P. (1991). Multitask principal-agent analyses. Journal of Law, Economics, &amp; Organization, 7, 24-52.</w:t>
      </w:r>
    </w:p>
    <w:p w14:paraId="4DB35C0A" w14:textId="77777777" w:rsidR="003C0797" w:rsidRDefault="00000000">
      <w:pPr>
        <w:pStyle w:val="ListBullet"/>
      </w:pPr>
      <w:r>
        <w:t>Hornborg, A. (2012). Global ecology and unequal exchange. Routledge.</w:t>
      </w:r>
    </w:p>
    <w:p w14:paraId="74DECB2A" w14:textId="77777777" w:rsidR="003C0797" w:rsidRDefault="00000000">
      <w:pPr>
        <w:pStyle w:val="ListBullet"/>
      </w:pPr>
      <w:r>
        <w:t>Kapp, K. W. (1963). The Social Costs of Business Enterprise. Asia Publishing House.</w:t>
      </w:r>
    </w:p>
    <w:p w14:paraId="2224FACD" w14:textId="77777777" w:rsidR="003C0797" w:rsidRDefault="00000000">
      <w:pPr>
        <w:pStyle w:val="ListBullet"/>
      </w:pPr>
      <w:r>
        <w:t>Kasser, T. (2002). The High Price of Materialism. MIT Press.</w:t>
      </w:r>
    </w:p>
    <w:p w14:paraId="7FB65DB7" w14:textId="77777777" w:rsidR="003C0797" w:rsidRDefault="00000000">
      <w:pPr>
        <w:pStyle w:val="ListBullet"/>
      </w:pPr>
      <w:r>
        <w:t>Koretz, D. (2017). The Testing Charade. University of Chicago Press.</w:t>
      </w:r>
    </w:p>
    <w:p w14:paraId="12362E1E" w14:textId="77777777" w:rsidR="003C0797" w:rsidRDefault="00000000">
      <w:pPr>
        <w:pStyle w:val="ListBullet"/>
      </w:pPr>
      <w:r>
        <w:t>Lohmann, L. (2010). Uncertainty markets and carbon markets. New Political Economy, 15(2), 225-254.</w:t>
      </w:r>
    </w:p>
    <w:p w14:paraId="4393F975" w14:textId="77777777" w:rsidR="003C0797" w:rsidRDefault="00000000">
      <w:pPr>
        <w:pStyle w:val="ListBullet"/>
      </w:pPr>
      <w:r>
        <w:t>Meadows, D. H. (1999). Leverage points. Sustainability Institute.</w:t>
      </w:r>
    </w:p>
    <w:p w14:paraId="1ED5DF10" w14:textId="77777777" w:rsidR="003C0797" w:rsidRDefault="00000000">
      <w:pPr>
        <w:pStyle w:val="ListBullet"/>
      </w:pPr>
      <w:r>
        <w:t>Meadows, D. H. (2008). Thinking in Systems. Chelsea Green Publishing.</w:t>
      </w:r>
    </w:p>
    <w:p w14:paraId="0DDB2F53" w14:textId="77777777" w:rsidR="003C0797" w:rsidRDefault="00000000">
      <w:pPr>
        <w:pStyle w:val="ListBullet"/>
      </w:pPr>
      <w:r>
        <w:t>Montgomery, D. R. (2007). Dirt: The Erosion of Civilizations. University of California Press.</w:t>
      </w:r>
    </w:p>
    <w:p w14:paraId="2CB333B5" w14:textId="77777777" w:rsidR="003C0797" w:rsidRDefault="00000000">
      <w:pPr>
        <w:pStyle w:val="ListBullet"/>
      </w:pPr>
      <w:r>
        <w:t>Muller, J. Z. (2018). The Tyranny of Metrics. Princeton University Press.</w:t>
      </w:r>
    </w:p>
    <w:p w14:paraId="71D37533" w14:textId="77777777" w:rsidR="003C0797" w:rsidRDefault="00000000">
      <w:pPr>
        <w:pStyle w:val="ListBullet"/>
      </w:pPr>
      <w:r>
        <w:t>North, D. C. (1990). Institutions, Institutional Change and Economic Performance. Cambridge University Press.</w:t>
      </w:r>
    </w:p>
    <w:p w14:paraId="58442C8C" w14:textId="77777777" w:rsidR="003C0797" w:rsidRDefault="00000000">
      <w:pPr>
        <w:pStyle w:val="ListBullet"/>
      </w:pPr>
      <w:r>
        <w:t>Pigou, A. C. (1920). The Economics of Welfare. Macmillan.</w:t>
      </w:r>
    </w:p>
    <w:p w14:paraId="4A6DDCFC" w14:textId="77777777" w:rsidR="003C0797" w:rsidRDefault="00000000">
      <w:pPr>
        <w:pStyle w:val="ListBullet"/>
      </w:pPr>
      <w:r>
        <w:t>Prigogine, I., &amp; Stengers, I. (1984). Order Out of Chaos. Bantam Books.</w:t>
      </w:r>
    </w:p>
    <w:p w14:paraId="73C39F7D" w14:textId="77777777" w:rsidR="003C0797" w:rsidRDefault="00000000">
      <w:pPr>
        <w:pStyle w:val="ListBullet"/>
      </w:pPr>
      <w:r>
        <w:t>Rockström, J., et al. (2009). A safe operating space for humanity. Nature, 461(7263), 472-475.</w:t>
      </w:r>
    </w:p>
    <w:p w14:paraId="32CA667D" w14:textId="77777777" w:rsidR="003C0797" w:rsidRDefault="00000000">
      <w:pPr>
        <w:pStyle w:val="ListBullet"/>
      </w:pPr>
      <w:r>
        <w:t>Sapolsky, R. M. (2017). Behave. Penguin Press.</w:t>
      </w:r>
    </w:p>
    <w:p w14:paraId="19CA886D" w14:textId="77777777" w:rsidR="003C0797" w:rsidRDefault="00000000">
      <w:pPr>
        <w:pStyle w:val="ListBullet"/>
      </w:pPr>
      <w:r>
        <w:t>Steffen, W., et al. (2015). Planetary boundaries. Science, 347(6223), 1259855.</w:t>
      </w:r>
    </w:p>
    <w:p w14:paraId="09E08E39" w14:textId="77777777" w:rsidR="003C0797" w:rsidRDefault="00000000">
      <w:pPr>
        <w:pStyle w:val="ListBullet"/>
      </w:pPr>
      <w:r>
        <w:t>Sterman, J. D. (2000). Business Dynamics. McGraw-Hill.</w:t>
      </w:r>
    </w:p>
    <w:p w14:paraId="06BCE545" w14:textId="77777777" w:rsidR="003C0797" w:rsidRDefault="00000000">
      <w:pPr>
        <w:pStyle w:val="ListBullet"/>
      </w:pPr>
      <w:r>
        <w:t>Stigler, G. J. (1971). The theory of economic regulation. Bell Journal, 2(1), 3-21.</w:t>
      </w:r>
    </w:p>
    <w:p w14:paraId="17B44343" w14:textId="77777777" w:rsidR="003C0797" w:rsidRDefault="00000000">
      <w:pPr>
        <w:pStyle w:val="ListBullet"/>
      </w:pPr>
      <w:r>
        <w:t>Strathern, M. (1997). 'Improving ratings': Audit in the British University system. European Review, 5(3), 305-321.</w:t>
      </w:r>
    </w:p>
    <w:p w14:paraId="798527D8" w14:textId="77777777" w:rsidR="003C0797" w:rsidRDefault="00000000">
      <w:pPr>
        <w:pStyle w:val="ListBullet"/>
      </w:pPr>
      <w:r>
        <w:t>Veblen, T. (1899/1994). The Theory of the Leisure Class. Dover Publications.</w:t>
      </w:r>
    </w:p>
    <w:sectPr w:rsidR="003C07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Elephant">
    <w:panose1 w:val="0202090409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C1E3D"/>
    <w:multiLevelType w:val="hybridMultilevel"/>
    <w:tmpl w:val="8B40A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803E87"/>
    <w:multiLevelType w:val="hybridMultilevel"/>
    <w:tmpl w:val="F2B0F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AA4208"/>
    <w:multiLevelType w:val="hybridMultilevel"/>
    <w:tmpl w:val="E3EA0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6823976"/>
    <w:multiLevelType w:val="hybridMultilevel"/>
    <w:tmpl w:val="63B2F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8FB1260"/>
    <w:multiLevelType w:val="hybridMultilevel"/>
    <w:tmpl w:val="1EEEEA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C635E5"/>
    <w:multiLevelType w:val="hybridMultilevel"/>
    <w:tmpl w:val="96F22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18147433">
    <w:abstractNumId w:val="8"/>
  </w:num>
  <w:num w:numId="2" w16cid:durableId="925458045">
    <w:abstractNumId w:val="6"/>
  </w:num>
  <w:num w:numId="3" w16cid:durableId="1644971195">
    <w:abstractNumId w:val="5"/>
  </w:num>
  <w:num w:numId="4" w16cid:durableId="1199467477">
    <w:abstractNumId w:val="4"/>
  </w:num>
  <w:num w:numId="5" w16cid:durableId="96559618">
    <w:abstractNumId w:val="7"/>
  </w:num>
  <w:num w:numId="6" w16cid:durableId="1048529917">
    <w:abstractNumId w:val="3"/>
  </w:num>
  <w:num w:numId="7" w16cid:durableId="843400935">
    <w:abstractNumId w:val="2"/>
  </w:num>
  <w:num w:numId="8" w16cid:durableId="73674315">
    <w:abstractNumId w:val="1"/>
  </w:num>
  <w:num w:numId="9" w16cid:durableId="1641500225">
    <w:abstractNumId w:val="0"/>
  </w:num>
  <w:num w:numId="10" w16cid:durableId="1746416743">
    <w:abstractNumId w:val="14"/>
  </w:num>
  <w:num w:numId="11" w16cid:durableId="2019652606">
    <w:abstractNumId w:val="10"/>
  </w:num>
  <w:num w:numId="12" w16cid:durableId="1611739435">
    <w:abstractNumId w:val="12"/>
  </w:num>
  <w:num w:numId="13" w16cid:durableId="808595238">
    <w:abstractNumId w:val="9"/>
  </w:num>
  <w:num w:numId="14" w16cid:durableId="964048126">
    <w:abstractNumId w:val="11"/>
  </w:num>
  <w:num w:numId="15" w16cid:durableId="105542400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7A1"/>
    <w:rsid w:val="00124E9E"/>
    <w:rsid w:val="0015074B"/>
    <w:rsid w:val="00294099"/>
    <w:rsid w:val="0029639D"/>
    <w:rsid w:val="00326F90"/>
    <w:rsid w:val="003C0797"/>
    <w:rsid w:val="00525F1D"/>
    <w:rsid w:val="005D141E"/>
    <w:rsid w:val="00777134"/>
    <w:rsid w:val="007C679F"/>
    <w:rsid w:val="00AA1D8D"/>
    <w:rsid w:val="00AE4FC8"/>
    <w:rsid w:val="00AE7F5D"/>
    <w:rsid w:val="00B47730"/>
    <w:rsid w:val="00BF1AF2"/>
    <w:rsid w:val="00CA5A0C"/>
    <w:rsid w:val="00CB0664"/>
    <w:rsid w:val="00DB2EFB"/>
    <w:rsid w:val="00EA5B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0140E"/>
  <w14:defaultImageDpi w14:val="300"/>
  <w15:docId w15:val="{0600B4AC-76D6-4780-9DA7-AA191D28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EA5B0E"/>
    <w:pPr>
      <w:keepNext/>
      <w:keepLines/>
      <w:spacing w:before="480" w:after="0"/>
      <w:outlineLvl w:val="0"/>
    </w:pPr>
    <w:rPr>
      <w:rFonts w:asciiTheme="majorHAnsi" w:eastAsiaTheme="majorEastAsia" w:hAnsiTheme="majorHAnsi" w:cstheme="majorBidi"/>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CA5A0C"/>
    <w:pPr>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EA5B0E"/>
    <w:rPr>
      <w:rFonts w:asciiTheme="majorHAnsi" w:eastAsiaTheme="majorEastAsia" w:hAnsiTheme="majorHAnsi" w:cstheme="majorBidi"/>
      <w:b/>
      <w:bCs/>
      <w:color w:val="365F91" w:themeColor="accent1" w:themeShade="BF"/>
      <w:sz w:val="32"/>
      <w:szCs w:val="32"/>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CA5A0C"/>
    <w:rPr>
      <w:rFonts w:ascii="Arial" w:hAnsi="Arial"/>
      <w:b/>
      <w:bCs/>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EA5B0E"/>
    <w:rPr>
      <w:b/>
      <w:bCs/>
      <w:smallCaps/>
      <w:color w:val="E36C0A" w:themeColor="accent6"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49</Pages>
  <Words>12774</Words>
  <Characters>72815</Characters>
  <Application>Microsoft Office Word</Application>
  <DocSecurity>0</DocSecurity>
  <Lines>606</Lines>
  <Paragraphs>170</Paragraphs>
  <ScaleCrop>false</ScaleCrop>
  <HeadingPairs>
    <vt:vector size="4" baseType="variant">
      <vt:variant>
        <vt:lpstr>Title</vt:lpstr>
      </vt:variant>
      <vt:variant>
        <vt:i4>1</vt:i4>
      </vt:variant>
      <vt:variant>
        <vt:lpstr>Headings</vt:lpstr>
      </vt:variant>
      <vt:variant>
        <vt:i4>55</vt:i4>
      </vt:variant>
    </vt:vector>
  </HeadingPairs>
  <TitlesOfParts>
    <vt:vector size="56" baseType="lpstr">
      <vt:lpstr/>
      <vt:lpstr/>
      <vt:lpstr>Abstract</vt:lpstr>
      <vt:lpstr/>
      <vt:lpstr>1. Introduction: The Symbolic Infrastructure Problem</vt:lpstr>
      <vt:lpstr>    1.1 The Leverage Point: Why Symbolic Design Matters</vt:lpstr>
      <vt:lpstr>    1.2 Scope and Structure</vt:lpstr>
      <vt:lpstr/>
      <vt:lpstr>2. Theoretical Foundations</vt:lpstr>
      <vt:lpstr>    2.1 Goodhart's Law and the Corruption of Symbolic Measures</vt:lpstr>
      <vt:lpstr>    2.2 The NiCE Triadic Framework</vt:lpstr>
      <vt:lpstr>    2.3 The Nine-Pathway Dynamics Matrix</vt:lpstr>
      <vt:lpstr>    2.4 Asymmetric Propagation: The Thermodynamic Foundation</vt:lpstr>
      <vt:lpstr>    2.5 The Prophylactic Integrity Axiom</vt:lpstr>
      <vt:lpstr>    2.6 The Default Gradient Law: An Observed Principle</vt:lpstr>
      <vt:lpstr>        2.6.1 The Mechanics of Default Gradients</vt:lpstr>
      <vt:lpstr>        2.6.2 Empirical Manifestations Across Domains</vt:lpstr>
      <vt:lpstr>        2.6.3 Four Fallacies: Why Conventional Reform Violates the Law</vt:lpstr>
      <vt:lpstr>        2.6.4 The Core Insight</vt:lpstr>
      <vt:lpstr/>
      <vt:lpstr>3. Formalizing the Sign-Flip: Ecological Debt as Operative Constraint</vt:lpstr>
      <vt:lpstr>    3.1 The Design Challenge</vt:lpstr>
      <vt:lpstr>    3.2 Currency as Ecological Debt</vt:lpstr>
      <vt:lpstr>    3.3 Formalizing Ecological Debt: The D(t) Variable</vt:lpstr>
      <vt:lpstr>    3.4 Six Non-Gameable Design Rules</vt:lpstr>
      <vt:lpstr/>
      <vt:lpstr>4. Comprehensive Nine-Pathway Analysis: How Sign-Flip Propagates</vt:lpstr>
      <vt:lpstr>    4.1 Nature Pathways</vt:lpstr>
      <vt:lpstr>        4.1.1 N→N: Nature Self-Dynamics</vt:lpstr>
      <vt:lpstr>        4.1.2 N→C: Nature Shapes Consciousness</vt:lpstr>
      <vt:lpstr>        4.1.3 N→E: Nature Constrains Environment</vt:lpstr>
      <vt:lpstr>    4.2 Consciousness Pathways</vt:lpstr>
      <vt:lpstr>        4.2.1 C→N: Consciousness Shapes Nature</vt:lpstr>
      <vt:lpstr>        4.2.2 C→C: Consciousness Self-Dynamics</vt:lpstr>
      <vt:lpstr>        4.2.3 C→E: Consciousness Shapes Environment</vt:lpstr>
      <vt:lpstr>    4.3 Environment Pathways</vt:lpstr>
      <vt:lpstr>        4.3.1 E→N: Environment Shapes Nature</vt:lpstr>
      <vt:lpstr>        4.3.2 E→C: Environment Shapes Consciousness</vt:lpstr>
      <vt:lpstr>        4.3.3 E→E: Environment Self-Dynamics</vt:lpstr>
      <vt:lpstr/>
      <vt:lpstr>5. Implementation Case Studies</vt:lpstr>
      <vt:lpstr>    5.1 Municipal Pilot: Campus or District Implementation</vt:lpstr>
      <vt:lpstr>    5.2 Supply Chain Transformation: Product Lifecycle Redesign</vt:lpstr>
      <vt:lpstr>    5.3 Institutional Redesign: Governance and Verification</vt:lpstr>
      <vt:lpstr/>
      <vt:lpstr>6. Formal Mathematical Appendix</vt:lpstr>
      <vt:lpstr>    6.1 Dynamical Systems Representation</vt:lpstr>
      <vt:lpstr>    6.2 Stability Analysis</vt:lpstr>
      <vt:lpstr>    6.3 Lyapunov Function Construction</vt:lpstr>
      <vt:lpstr/>
      <vt:lpstr>7. Discussion: Empirical Grounding, Implementation, Governance</vt:lpstr>
      <vt:lpstr>    7.1 Empirical Grounding and Limitations</vt:lpstr>
      <vt:lpstr>    7.2 Implementation Challenges</vt:lpstr>
      <vt:lpstr>    7.3 Governance Implications</vt:lpstr>
      <vt:lpstr>    7.4 Conclusion</vt:lpstr>
      <vt:lpstr>References</vt:lpstr>
    </vt:vector>
  </TitlesOfParts>
  <Manager/>
  <Company/>
  <LinksUpToDate>false</LinksUpToDate>
  <CharactersWithSpaces>85419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 D Kitcey</cp:lastModifiedBy>
  <cp:revision>4</cp:revision>
  <dcterms:created xsi:type="dcterms:W3CDTF">2026-01-25T00:35:00Z</dcterms:created>
  <dcterms:modified xsi:type="dcterms:W3CDTF">2026-01-25T02:57:00Z</dcterms:modified>
  <cp:category/>
</cp:coreProperties>
</file>