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pPr>
    </w:p>
    <w:p>
      <w:pPr>
        <w:spacing w:after="80" w:before="0"/>
      </w:pPr>
      <w:r>
        <w:rPr>
          <w:rFonts w:ascii="Arial" w:cs="Arial" w:eastAsia="Arial" w:hAnsi="Arial"/>
          <w:b/>
          <w:bCs/>
          <w:caps/>
          <w:color w:val="111111"/>
          <w:sz w:val="52"/>
          <w:szCs w:val="52"/>
        </w:rPr>
        <w:t xml:space="preserve">HD CONNEX</w:t>
      </w:r>
    </w:p>
    <w:p>
      <w:pPr>
        <w:spacing w:after="40" w:before="0"/>
      </w:pPr>
      <w:r>
        <w:rPr>
          <w:rFonts w:ascii="Arial" w:cs="Arial" w:eastAsia="Arial" w:hAnsi="Arial"/>
          <w:color w:val="888888"/>
          <w:sz w:val="22"/>
          <w:szCs w:val="22"/>
        </w:rPr>
        <w:t xml:space="preserve">AI Systems  |  Automation  |  Web Infrastructure</w:t>
      </w:r>
    </w:p>
    <w:p>
      <w:pPr>
        <w:pBdr>
          <w:bottom w:val="single" w:color="C0392B" w:sz="10" w:space="1"/>
        </w:pBdr>
        <w:spacing w:after="200" w:before="0"/>
      </w:pPr>
    </w:p>
    <w:p>
      <w:pPr>
        <w:spacing w:after="80" w:before="0"/>
      </w:pPr>
    </w:p>
    <w:p>
      <w:pPr>
        <w:spacing w:after="80" w:before="0"/>
      </w:pPr>
      <w:r>
        <w:rPr>
          <w:rFonts w:ascii="Arial" w:cs="Arial" w:eastAsia="Arial" w:hAnsi="Arial"/>
          <w:b/>
          <w:bCs/>
          <w:caps/>
          <w:color w:val="C0392B"/>
          <w:sz w:val="36"/>
          <w:szCs w:val="36"/>
        </w:rPr>
        <w:t xml:space="preserve">ADDENDUM A</w:t>
      </w:r>
    </w:p>
    <w:p>
      <w:pPr>
        <w:spacing w:after="60" w:before="0"/>
      </w:pPr>
      <w:r>
        <w:rPr>
          <w:rFonts w:ascii="Arial" w:cs="Arial" w:eastAsia="Arial" w:hAnsi="Arial"/>
          <w:b/>
          <w:bCs/>
          <w:color w:val="111111"/>
          <w:sz w:val="26"/>
          <w:szCs w:val="26"/>
        </w:rPr>
        <w:t xml:space="preserve">Monthly Retainer, Sliding Scale Fee Structure &amp; KPI Framework</w:t>
      </w:r>
    </w:p>
    <w:p>
      <w:pPr>
        <w:spacing w:after="60" w:before="0"/>
      </w:pPr>
      <w:r>
        <w:rPr>
          <w:rFonts w:ascii="Arial" w:cs="Arial" w:eastAsia="Arial" w:hAnsi="Arial"/>
          <w:color w:val="666666"/>
          <w:sz w:val="21"/>
          <w:szCs w:val="21"/>
        </w:rPr>
        <w:t xml:space="preserve">Incorporated into: Platform Development Agreement — HD Connex &amp; JAM Media</w:t>
      </w:r>
    </w:p>
    <w:p>
      <w:pPr>
        <w:spacing w:after="0" w:before="0"/>
      </w:pPr>
      <w:r>
        <w:rPr>
          <w:rFonts w:ascii="Arial" w:cs="Arial" w:eastAsia="Arial" w:hAnsi="Arial"/>
          <w:color w:val="AAAAAA"/>
          <w:sz w:val="20"/>
          <w:szCs w:val="20"/>
        </w:rPr>
        <w:t xml:space="preserve">Effective Date: May 2026</w:t>
      </w:r>
    </w:p>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DDDDDD" w:sz="2"/>
              <w:bottom w:val="single" w:color="C0392B" w:sz="8"/>
              <w:right w:val="single" w:color="DDDDDD" w:sz="2"/>
            </w:tcBorders>
            <w:shd w:fill="F5F5F5" w:val="clear"/>
            <w:tcMar>
              <w:top w:type="dxa" w:w="180"/>
              <w:left w:type="dxa" w:w="280"/>
              <w:bottom w:type="dxa" w:w="180"/>
              <w:right w:type="dxa" w:w="280"/>
            </w:tcMar>
          </w:tcPr>
          <w:p>
            <w:pPr>
              <w:spacing w:after="80" w:before="0"/>
            </w:pPr>
            <w:r>
              <w:rPr>
                <w:rFonts w:ascii="Arial" w:cs="Arial" w:eastAsia="Arial" w:hAnsi="Arial"/>
                <w:b/>
                <w:bCs/>
                <w:caps/>
                <w:color w:val="888888"/>
                <w:sz w:val="19"/>
                <w:szCs w:val="19"/>
              </w:rPr>
              <w:t xml:space="preserve">ADDENDUM REFERENCE</w:t>
            </w:r>
          </w:p>
          <w:p>
            <w:pPr>
              <w:spacing w:after="60" w:before="0"/>
            </w:pPr>
            <w:r>
              <w:rPr>
                <w:rFonts w:ascii="Arial" w:cs="Arial" w:eastAsia="Arial" w:hAnsi="Arial"/>
                <w:color w:val="111111"/>
                <w:sz w:val="20"/>
                <w:szCs w:val="20"/>
              </w:rPr>
              <w:t xml:space="preserve">This Addendum A is hereby incorporated into and made a binding part of the Platform Development Agreement (the "Agreement") between HD Connex and JAM Media dated May 2026. In the event of any conflict between this Addendum and the main Agreement, this Addendum shall govern with respect to retainer fees, KPI obligations, and sliding scale billing.</w:t>
            </w:r>
          </w:p>
          <w:p>
            <w:pPr>
              <w:spacing w:after="0" w:before="0"/>
            </w:pPr>
            <w:r>
              <w:rPr>
                <w:rFonts w:ascii="Arial" w:cs="Arial" w:eastAsia="Arial" w:hAnsi="Arial"/>
                <w:b/>
                <w:bCs/>
                <w:color w:val="111111"/>
                <w:sz w:val="20"/>
                <w:szCs w:val="20"/>
              </w:rPr>
              <w:t xml:space="preserve">Primary Billing Metric: </w:t>
            </w:r>
            <w:r>
              <w:rPr>
                <w:rFonts w:ascii="Arial" w:cs="Arial" w:eastAsia="Arial" w:hAnsi="Arial"/>
                <w:color w:val="111111"/>
                <w:sz w:val="20"/>
                <w:szCs w:val="20"/>
              </w:rPr>
              <w:t xml:space="preserve">Total Active Users (subscribers + paid contributors) as of the 1st of each calendar month.</w:t>
            </w:r>
          </w:p>
        </w:tc>
      </w:tr>
    </w:tbl>
    <w:p>
      <w:pPr>
        <w:spacing w:after="500" w:before="0"/>
      </w:pPr>
    </w:p>
    <w:p>
      <w:pPr>
        <w:pBdr>
          <w:bottom w:val="single" w:color="C0392B" w:sz="10" w:space="1"/>
        </w:pBdr>
        <w:spacing w:after="200" w:before="0"/>
      </w:pPr>
    </w:p>
    <w:p>
      <w:pPr>
        <w:spacing w:after="120" w:before="320"/>
      </w:pPr>
      <w:r>
        <w:rPr>
          <w:rFonts w:ascii="Arial" w:cs="Arial" w:eastAsia="Arial" w:hAnsi="Arial"/>
          <w:b/>
          <w:bCs/>
          <w:color w:val="C0392B"/>
          <w:sz w:val="24"/>
          <w:szCs w:val="24"/>
        </w:rPr>
        <w:t xml:space="preserve">A1.  </w:t>
      </w:r>
      <w:r>
        <w:rPr>
          <w:rFonts w:ascii="Arial" w:cs="Arial" w:eastAsia="Arial" w:hAnsi="Arial"/>
          <w:b/>
          <w:bCs/>
          <w:color w:val="111111"/>
          <w:sz w:val="24"/>
          <w:szCs w:val="24"/>
        </w:rPr>
        <w:t xml:space="preserve">MONTHLY RETAINER — SERVICES COVERED</w:t>
      </w:r>
    </w:p>
    <w:p>
      <w:pPr>
        <w:spacing w:after="100" w:before="60"/>
      </w:pPr>
      <w:r>
        <w:rPr>
          <w:rFonts w:ascii="Arial" w:cs="Arial" w:eastAsia="Arial" w:hAnsi="Arial"/>
          <w:color w:val="111111"/>
          <w:sz w:val="21"/>
          <w:szCs w:val="21"/>
        </w:rPr>
        <w:t xml:space="preserve">The monthly retainer fee covers the following ongoing services provided by HD Connex to JAM Media. All items are included at every tier unless otherwise noted:</w:t>
      </w:r>
    </w:p>
    <w:p>
      <w:pPr>
        <w:spacing w:after="60" w:before="0"/>
      </w:pPr>
    </w:p>
    <w:p>
      <w:pPr>
        <w:pStyle w:val="ListParagraph"/>
        <w:numPr>
          <w:ilvl w:val="0"/>
          <w:numId w:val="2"/>
        </w:numPr>
        <w:spacing w:after="60" w:before="40"/>
      </w:pPr>
      <w:r>
        <w:rPr>
          <w:rFonts w:ascii="Arial" w:cs="Arial" w:eastAsia="Arial" w:hAnsi="Arial"/>
          <w:color w:val="111111"/>
          <w:sz w:val="21"/>
          <w:szCs w:val="21"/>
        </w:rPr>
        <w:t xml:space="preserve">Platform maintenance, security patches, and dependency updates</w:t>
      </w:r>
    </w:p>
    <w:p>
      <w:pPr>
        <w:pStyle w:val="ListParagraph"/>
        <w:numPr>
          <w:ilvl w:val="0"/>
          <w:numId w:val="2"/>
        </w:numPr>
        <w:spacing w:after="60" w:before="40"/>
      </w:pPr>
      <w:r>
        <w:rPr>
          <w:rFonts w:ascii="Arial" w:cs="Arial" w:eastAsia="Arial" w:hAnsi="Arial"/>
          <w:color w:val="111111"/>
          <w:sz w:val="21"/>
          <w:szCs w:val="21"/>
        </w:rPr>
        <w:t xml:space="preserve">Uptime monitoring and incident response — target 99.5%+ availability</w:t>
      </w:r>
    </w:p>
    <w:p>
      <w:pPr>
        <w:pStyle w:val="ListParagraph"/>
        <w:numPr>
          <w:ilvl w:val="0"/>
          <w:numId w:val="2"/>
        </w:numPr>
        <w:spacing w:after="60" w:before="40"/>
      </w:pPr>
      <w:r>
        <w:rPr>
          <w:rFonts w:ascii="Arial" w:cs="Arial" w:eastAsia="Arial" w:hAnsi="Arial"/>
          <w:color w:val="111111"/>
          <w:sz w:val="21"/>
          <w:szCs w:val="21"/>
        </w:rPr>
        <w:t xml:space="preserve">Podcast RSS sync monitoring — episode auto-publish verification across all active shows</w:t>
      </w:r>
    </w:p>
    <w:p>
      <w:pPr>
        <w:pStyle w:val="ListParagraph"/>
        <w:numPr>
          <w:ilvl w:val="0"/>
          <w:numId w:val="2"/>
        </w:numPr>
        <w:spacing w:after="60" w:before="40"/>
      </w:pPr>
      <w:r>
        <w:rPr>
          <w:rFonts w:ascii="Arial" w:cs="Arial" w:eastAsia="Arial" w:hAnsi="Arial"/>
          <w:color w:val="111111"/>
          <w:sz w:val="21"/>
          <w:szCs w:val="21"/>
        </w:rPr>
        <w:t xml:space="preserve">Membership system monitoring — Stripe webhook verification, failed payment handling, subscription integrity</w:t>
      </w:r>
    </w:p>
    <w:p>
      <w:pPr>
        <w:pStyle w:val="ListParagraph"/>
        <w:numPr>
          <w:ilvl w:val="0"/>
          <w:numId w:val="2"/>
        </w:numPr>
        <w:spacing w:after="60" w:before="40"/>
      </w:pPr>
      <w:r>
        <w:rPr>
          <w:rFonts w:ascii="Arial" w:cs="Arial" w:eastAsia="Arial" w:hAnsi="Arial"/>
          <w:color w:val="111111"/>
          <w:sz w:val="21"/>
          <w:szCs w:val="21"/>
        </w:rPr>
        <w:t xml:space="preserve">Content submission pipeline health — form-to-draft staging verification and error resolution</w:t>
      </w:r>
    </w:p>
    <w:p>
      <w:pPr>
        <w:pStyle w:val="ListParagraph"/>
        <w:numPr>
          <w:ilvl w:val="0"/>
          <w:numId w:val="2"/>
        </w:numPr>
        <w:spacing w:after="60" w:before="40"/>
      </w:pPr>
      <w:r>
        <w:rPr>
          <w:rFonts w:ascii="Arial" w:cs="Arial" w:eastAsia="Arial" w:hAnsi="Arial"/>
          <w:color w:val="111111"/>
          <w:sz w:val="21"/>
          <w:szCs w:val="21"/>
        </w:rPr>
        <w:t xml:space="preserve">New podcast show page builds as new shows join the network (up to 3/month at base tier; unlimited at Tier 4+)</w:t>
      </w:r>
    </w:p>
    <w:p>
      <w:pPr>
        <w:pStyle w:val="ListParagraph"/>
        <w:numPr>
          <w:ilvl w:val="0"/>
          <w:numId w:val="2"/>
        </w:numPr>
        <w:spacing w:after="60" w:before="40"/>
      </w:pPr>
      <w:r>
        <w:rPr>
          <w:rFonts w:ascii="Arial" w:cs="Arial" w:eastAsia="Arial" w:hAnsi="Arial"/>
          <w:color w:val="111111"/>
          <w:sz w:val="21"/>
          <w:szCs w:val="21"/>
        </w:rPr>
        <w:t xml:space="preserve">Contributor account management — onboarding, permissions, access control</w:t>
      </w:r>
    </w:p>
    <w:p>
      <w:pPr>
        <w:pStyle w:val="ListParagraph"/>
        <w:numPr>
          <w:ilvl w:val="0"/>
          <w:numId w:val="2"/>
        </w:numPr>
        <w:spacing w:after="60" w:before="40"/>
      </w:pPr>
      <w:r>
        <w:rPr>
          <w:rFonts w:ascii="Arial" w:cs="Arial" w:eastAsia="Arial" w:hAnsi="Arial"/>
          <w:color w:val="111111"/>
          <w:sz w:val="21"/>
          <w:szCs w:val="21"/>
        </w:rPr>
        <w:t xml:space="preserve">AI editorial tool maintenance — prompt refinements and workflow updates</w:t>
      </w:r>
    </w:p>
    <w:p>
      <w:pPr>
        <w:pStyle w:val="ListParagraph"/>
        <w:numPr>
          <w:ilvl w:val="0"/>
          <w:numId w:val="2"/>
        </w:numPr>
        <w:spacing w:after="60" w:before="40"/>
      </w:pPr>
      <w:r>
        <w:rPr>
          <w:rFonts w:ascii="Arial" w:cs="Arial" w:eastAsia="Arial" w:hAnsi="Arial"/>
          <w:color w:val="111111"/>
          <w:sz w:val="21"/>
          <w:szCs w:val="21"/>
        </w:rPr>
        <w:t xml:space="preserve">Monthly KPI &amp; performance report delivered by the 7th of the following month</w:t>
      </w:r>
    </w:p>
    <w:p>
      <w:pPr>
        <w:pStyle w:val="ListParagraph"/>
        <w:numPr>
          <w:ilvl w:val="0"/>
          <w:numId w:val="2"/>
        </w:numPr>
        <w:spacing w:after="60" w:before="40"/>
      </w:pPr>
      <w:r>
        <w:rPr>
          <w:rFonts w:ascii="Arial" w:cs="Arial" w:eastAsia="Arial" w:hAnsi="Arial"/>
          <w:color w:val="111111"/>
          <w:sz w:val="21"/>
          <w:szCs w:val="21"/>
        </w:rPr>
        <w:t xml:space="preserve">Priority direct access to HD Connex for live platform issues — same-day response during business hours</w:t>
      </w:r>
    </w:p>
    <w:p>
      <w:pPr>
        <w:spacing w:after="80" w:before="0"/>
      </w:pPr>
    </w:p>
    <w:p>
      <w:pPr>
        <w:spacing w:after="80" w:before="60"/>
      </w:pPr>
      <w:r>
        <w:rPr>
          <w:rFonts w:ascii="Arial" w:cs="Arial" w:eastAsia="Arial" w:hAnsi="Arial"/>
          <w:b/>
          <w:bCs/>
          <w:color w:val="111111"/>
          <w:sz w:val="19"/>
          <w:szCs w:val="19"/>
        </w:rPr>
        <w:t xml:space="preserve">Note: </w:t>
      </w:r>
      <w:r>
        <w:rPr>
          <w:rFonts w:ascii="Arial" w:cs="Arial" w:eastAsia="Arial" w:hAnsi="Arial"/>
          <w:i/>
          <w:iCs/>
          <w:color w:val="666666"/>
          <w:sz w:val="19"/>
          <w:szCs w:val="19"/>
        </w:rPr>
        <w:t xml:space="preserve">The first 30 days following platform go-live are included at no additional cost. Monthly retainer billing begins on Day 31 post-launch at the applicable tier rate based on user count at that time.</w:t>
      </w:r>
    </w:p>
    <w:p>
      <w:pPr>
        <w:spacing w:after="200" w:before="0"/>
      </w:pPr>
    </w:p>
    <w:p>
      <w:pPr>
        <w:spacing w:after="120" w:before="320"/>
      </w:pPr>
      <w:r>
        <w:rPr>
          <w:rFonts w:ascii="Arial" w:cs="Arial" w:eastAsia="Arial" w:hAnsi="Arial"/>
          <w:b/>
          <w:bCs/>
          <w:color w:val="C0392B"/>
          <w:sz w:val="24"/>
          <w:szCs w:val="24"/>
        </w:rPr>
        <w:t xml:space="preserve">A2.  </w:t>
      </w:r>
      <w:r>
        <w:rPr>
          <w:rFonts w:ascii="Arial" w:cs="Arial" w:eastAsia="Arial" w:hAnsi="Arial"/>
          <w:b/>
          <w:bCs/>
          <w:color w:val="111111"/>
          <w:sz w:val="24"/>
          <w:szCs w:val="24"/>
        </w:rPr>
        <w:t xml:space="preserve">USER COUNT DEFINITION &amp; BILLING METRIC</w:t>
      </w:r>
    </w:p>
    <w:p>
      <w:pPr>
        <w:spacing w:after="100" w:before="60"/>
      </w:pPr>
      <w:r>
        <w:rPr>
          <w:rFonts w:ascii="Arial" w:cs="Arial" w:eastAsia="Arial" w:hAnsi="Arial"/>
          <w:color w:val="111111"/>
          <w:sz w:val="21"/>
          <w:szCs w:val="21"/>
        </w:rPr>
        <w:t xml:space="preserve">The total user count used to determine the applicable retainer tier is defined as follows: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0"/>
                <w:szCs w:val="20"/>
              </w:rPr>
              <w:t xml:space="preserve">USER TYPE</w:t>
            </w:r>
          </w:p>
        </w:tc>
        <w:tc>
          <w:tcPr>
            <w:tcW w:type="dxa" w:w="696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0"/>
                <w:szCs w:val="20"/>
              </w:rPr>
              <w:t xml:space="preserve">QUALIFIES IF...</w:t>
            </w:r>
          </w:p>
        </w:tc>
      </w:tr>
      <w:tr>
        <w:tc>
          <w:tcPr>
            <w:tcW w:type="dxa" w:w="24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11111"/>
                <w:sz w:val="20"/>
                <w:szCs w:val="20"/>
              </w:rPr>
              <w:t xml:space="preserve">Active Subscriber</w:t>
            </w:r>
          </w:p>
        </w:tc>
        <w:tc>
          <w:tcPr>
            <w:tcW w:type="dxa" w:w="696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i w:val="false"/>
                <w:iCs w:val="false"/>
                <w:color w:val="111111"/>
                <w:sz w:val="20"/>
                <w:szCs w:val="20"/>
              </w:rPr>
              <w:t xml:space="preserve">Has a current, paid $4.99/month subscription in good standing — not cancelled, not in failed payment status, and not in a free trial period</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11111"/>
                <w:sz w:val="20"/>
                <w:szCs w:val="20"/>
              </w:rPr>
              <w:t xml:space="preserve">Active Paid Contributor</w:t>
            </w:r>
          </w:p>
        </w:tc>
        <w:tc>
          <w:tcPr>
            <w:tcW w:type="dxa" w:w="6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i w:val="false"/>
                <w:iCs w:val="false"/>
                <w:color w:val="111111"/>
                <w:sz w:val="20"/>
                <w:szCs w:val="20"/>
              </w:rPr>
              <w:t xml:space="preserve">A journalist or contributor with a verified account who has submitted at least one article in the prior 60 days and whose account is in active standing</w:t>
            </w:r>
          </w:p>
        </w:tc>
      </w:tr>
      <w:tr>
        <w:tc>
          <w:tcPr>
            <w:tcW w:type="dxa" w:w="2400"/>
            <w:tcBorders>
              <w:top w:val="single" w:color="DDDDDD" w:sz="1"/>
              <w:left w:val="single" w:color="DDDDDD" w:sz="1"/>
              <w:bottom w:val="single" w:color="DDDDDD" w:sz="1"/>
              <w:right w:val="single" w:color="DDDDDD" w:sz="1"/>
            </w:tcBorders>
            <w:shd w:fill="FFEBEE" w:val="clear"/>
            <w:tcMar>
              <w:top w:type="dxa" w:w="90"/>
              <w:left w:type="dxa" w:w="140"/>
              <w:bottom w:type="dxa" w:w="90"/>
              <w:right w:type="dxa" w:w="140"/>
            </w:tcMar>
          </w:tcPr>
          <w:p>
            <w:r>
              <w:rPr>
                <w:rFonts w:ascii="Arial" w:cs="Arial" w:eastAsia="Arial" w:hAnsi="Arial"/>
                <w:b/>
                <w:bCs/>
                <w:color w:val="C0392B"/>
                <w:sz w:val="20"/>
                <w:szCs w:val="20"/>
              </w:rPr>
              <w:t xml:space="preserve">NOT COUNTED</w:t>
            </w:r>
          </w:p>
        </w:tc>
        <w:tc>
          <w:tcPr>
            <w:tcW w:type="dxa" w:w="6960"/>
            <w:tcBorders>
              <w:top w:val="single" w:color="DDDDDD" w:sz="1"/>
              <w:left w:val="single" w:color="DDDDDD" w:sz="1"/>
              <w:bottom w:val="single" w:color="DDDDDD" w:sz="1"/>
              <w:right w:val="single" w:color="DDDDDD" w:sz="1"/>
            </w:tcBorders>
            <w:shd w:fill="FFEBEE" w:val="clear"/>
            <w:tcMar>
              <w:top w:type="dxa" w:w="90"/>
              <w:left w:type="dxa" w:w="140"/>
              <w:bottom w:type="dxa" w:w="90"/>
              <w:right w:type="dxa" w:w="140"/>
            </w:tcMar>
          </w:tcPr>
          <w:p>
            <w:r>
              <w:rPr>
                <w:rFonts w:ascii="Arial" w:cs="Arial" w:eastAsia="Arial" w:hAnsi="Arial"/>
                <w:i/>
                <w:iCs/>
                <w:color w:val="CC0000"/>
                <w:sz w:val="20"/>
                <w:szCs w:val="20"/>
              </w:rPr>
              <w:t xml:space="preserve">Cancelled subscribers, accounts in payment failure for 7+ days, free trial accounts, admin/internal accounts, and duplicate accounts</w:t>
            </w:r>
          </w:p>
        </w:tc>
      </w:tr>
    </w:tbl>
    <w:p>
      <w:pPr>
        <w:spacing w:after="80" w:before="0"/>
      </w:pPr>
    </w:p>
    <w:p>
      <w:pPr>
        <w:spacing w:after="100" w:before="60"/>
      </w:pPr>
      <w:r>
        <w:rPr>
          <w:rFonts w:ascii="Arial" w:cs="Arial" w:eastAsia="Arial" w:hAnsi="Arial"/>
          <w:color w:val="111111"/>
          <w:sz w:val="21"/>
          <w:szCs w:val="21"/>
        </w:rPr>
        <w:t xml:space="preserve">The user count shall be pulled by HD Connex directly from the platform database on the 1st calendar day of each month and documented in that month's performance report. JAM Media retains the right to audit this count with 5 business days' notice.</w:t>
      </w:r>
    </w:p>
    <w:p>
      <w:pPr>
        <w:spacing w:after="200" w:before="0"/>
      </w:pPr>
    </w:p>
    <w:p>
      <w:pPr>
        <w:spacing w:after="120" w:before="320"/>
      </w:pPr>
      <w:r>
        <w:rPr>
          <w:rFonts w:ascii="Arial" w:cs="Arial" w:eastAsia="Arial" w:hAnsi="Arial"/>
          <w:b/>
          <w:bCs/>
          <w:color w:val="C0392B"/>
          <w:sz w:val="24"/>
          <w:szCs w:val="24"/>
        </w:rPr>
        <w:t xml:space="preserve">A3.  </w:t>
      </w:r>
      <w:r>
        <w:rPr>
          <w:rFonts w:ascii="Arial" w:cs="Arial" w:eastAsia="Arial" w:hAnsi="Arial"/>
          <w:b/>
          <w:bCs/>
          <w:color w:val="111111"/>
          <w:sz w:val="24"/>
          <w:szCs w:val="24"/>
        </w:rPr>
        <w:t xml:space="preserve">SLIDING SCALE FEE SCHEDULE</w:t>
      </w:r>
    </w:p>
    <w:p>
      <w:pPr>
        <w:spacing w:after="100" w:before="60"/>
      </w:pPr>
      <w:r>
        <w:rPr>
          <w:rFonts w:ascii="Arial" w:cs="Arial" w:eastAsia="Arial" w:hAnsi="Arial"/>
          <w:color w:val="111111"/>
          <w:sz w:val="21"/>
          <w:szCs w:val="21"/>
        </w:rPr>
        <w:t xml:space="preserve">The monthly retainer rate is determined by total active users as of the 1st of the billing month. The applicable rate takes effect on the 1st of the following month when a new tier threshold is crossed. Rates are fixed for the current month once set.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c>
          <w:tcPr>
            <w:tcW w:type="dxa" w:w="2200"/>
            <w:tcBorders>
              <w:top w:val="single" w:color="DDDDDD" w:sz="1"/>
              <w:left w:val="single" w:color="DDDDDD" w:sz="1"/>
              <w:bottom w:val="single" w:color="DDDDDD" w:sz="1"/>
              <w:right w:val="single" w:color="DDDDDD" w:sz="1"/>
            </w:tcBorders>
            <w:shd w:fill="111111" w:val="clear"/>
            <w:tcMar>
              <w:top w:type="dxa" w:w="110"/>
              <w:left w:type="dxa" w:w="140"/>
              <w:bottom w:type="dxa" w:w="110"/>
              <w:right w:type="dxa" w:w="140"/>
            </w:tcMar>
          </w:tcPr>
          <w:p>
            <w:r>
              <w:rPr>
                <w:rFonts w:ascii="Arial" w:cs="Arial" w:eastAsia="Arial" w:hAnsi="Arial"/>
                <w:b/>
                <w:bCs/>
                <w:color w:val="FFFFFF"/>
                <w:sz w:val="20"/>
                <w:szCs w:val="20"/>
              </w:rPr>
              <w:t xml:space="preserve">TOTAL USERS</w:t>
            </w:r>
          </w:p>
        </w:tc>
        <w:tc>
          <w:tcPr>
            <w:tcW w:type="dxa" w:w="1300"/>
            <w:tcBorders>
              <w:top w:val="single" w:color="DDDDDD" w:sz="1"/>
              <w:left w:val="single" w:color="DDDDDD" w:sz="1"/>
              <w:bottom w:val="single" w:color="DDDDDD" w:sz="1"/>
              <w:right w:val="single" w:color="DDDDDD" w:sz="1"/>
            </w:tcBorders>
            <w:shd w:fill="111111" w:val="clear"/>
            <w:tcMar>
              <w:top w:type="dxa" w:w="110"/>
              <w:left w:type="dxa" w:w="140"/>
              <w:bottom w:type="dxa" w:w="110"/>
              <w:right w:type="dxa" w:w="140"/>
            </w:tcMar>
          </w:tcPr>
          <w:p>
            <w:pPr>
              <w:jc w:val="center"/>
            </w:pPr>
            <w:r>
              <w:rPr>
                <w:rFonts w:ascii="Arial" w:cs="Arial" w:eastAsia="Arial" w:hAnsi="Arial"/>
                <w:b/>
                <w:bCs/>
                <w:color w:val="FFFFFF"/>
                <w:sz w:val="20"/>
                <w:szCs w:val="20"/>
              </w:rPr>
              <w:t xml:space="preserve">MONTHLY RATE</w:t>
            </w:r>
          </w:p>
        </w:tc>
        <w:tc>
          <w:tcPr>
            <w:tcW w:type="dxa" w:w="5860"/>
            <w:tcBorders>
              <w:top w:val="single" w:color="DDDDDD" w:sz="1"/>
              <w:left w:val="single" w:color="DDDDDD" w:sz="1"/>
              <w:bottom w:val="single" w:color="DDDDDD" w:sz="1"/>
              <w:right w:val="single" w:color="DDDDDD" w:sz="1"/>
            </w:tcBorders>
            <w:shd w:fill="111111" w:val="clear"/>
            <w:tcMar>
              <w:top w:type="dxa" w:w="110"/>
              <w:left w:type="dxa" w:w="140"/>
              <w:bottom w:type="dxa" w:w="110"/>
              <w:right w:type="dxa" w:w="140"/>
            </w:tcMar>
          </w:tcPr>
          <w:p>
            <w:r>
              <w:rPr>
                <w:rFonts w:ascii="Arial" w:cs="Arial" w:eastAsia="Arial" w:hAnsi="Arial"/>
                <w:b/>
                <w:bCs/>
                <w:color w:val="FFFFFF"/>
                <w:sz w:val="20"/>
                <w:szCs w:val="20"/>
              </w:rPr>
              <w:t xml:space="preserve">TIER NOTES</w:t>
            </w:r>
          </w:p>
        </w:tc>
      </w:tr>
      <w:tr>
        <w:tc>
          <w:tcPr>
            <w:tcW w:type="dxa" w:w="22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r>
              <w:rPr>
                <w:rFonts w:ascii="Arial" w:cs="Arial" w:eastAsia="Arial" w:hAnsi="Arial"/>
                <w:b/>
                <w:bCs/>
                <w:color w:val="2E7D32"/>
                <w:sz w:val="21"/>
                <w:szCs w:val="21"/>
              </w:rPr>
              <w:t xml:space="preserve">0 – 999</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jc w:val="center"/>
            </w:pPr>
            <w:r>
              <w:rPr>
                <w:rFonts w:ascii="Arial" w:cs="Arial" w:eastAsia="Arial" w:hAnsi="Arial"/>
                <w:b/>
                <w:bCs/>
                <w:color w:val="2E7D32"/>
                <w:sz w:val="21"/>
                <w:szCs w:val="21"/>
              </w:rPr>
              <w:t xml:space="preserve">$800</w:t>
            </w:r>
          </w:p>
        </w:tc>
        <w:tc>
          <w:tcPr>
            <w:tcW w:type="dxa" w:w="5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20"/>
                <w:szCs w:val="20"/>
              </w:rPr>
              <w:t xml:space="preserve">Base rate — platform launch phase</w:t>
            </w:r>
          </w:p>
        </w:tc>
      </w:tr>
      <w:tr>
        <w:tc>
          <w:tcPr>
            <w:tcW w:type="dxa" w:w="2200"/>
            <w:tcBorders>
              <w:top w:val="single" w:color="DDDDDD" w:sz="1"/>
              <w:left w:val="single" w:color="DDDDDD" w:sz="1"/>
              <w:bottom w:val="single" w:color="DDDDDD" w:sz="1"/>
              <w:right w:val="single" w:color="DDDDDD" w:sz="1"/>
            </w:tcBorders>
            <w:shd w:fill="C8E6C9" w:val="clear"/>
            <w:tcMar>
              <w:top w:type="dxa" w:w="100"/>
              <w:left w:type="dxa" w:w="140"/>
              <w:bottom w:type="dxa" w:w="100"/>
              <w:right w:type="dxa" w:w="140"/>
            </w:tcMar>
          </w:tcPr>
          <w:p>
            <w:r>
              <w:rPr>
                <w:rFonts w:ascii="Arial" w:cs="Arial" w:eastAsia="Arial" w:hAnsi="Arial"/>
                <w:b/>
                <w:bCs/>
                <w:color w:val="2E7D32"/>
                <w:sz w:val="21"/>
                <w:szCs w:val="21"/>
              </w:rPr>
              <w:t xml:space="preserve">1,000 – 2,499</w:t>
            </w:r>
          </w:p>
        </w:tc>
        <w:tc>
          <w:tcPr>
            <w:tcW w:type="dxa" w:w="1300"/>
            <w:tcBorders>
              <w:top w:val="single" w:color="DDDDDD" w:sz="1"/>
              <w:left w:val="single" w:color="DDDDDD" w:sz="1"/>
              <w:bottom w:val="single" w:color="DDDDDD" w:sz="1"/>
              <w:right w:val="single" w:color="DDDDDD" w:sz="1"/>
            </w:tcBorders>
            <w:shd w:fill="C8E6C9" w:val="clear"/>
            <w:tcMar>
              <w:top w:type="dxa" w:w="100"/>
              <w:left w:type="dxa" w:w="140"/>
              <w:bottom w:type="dxa" w:w="100"/>
              <w:right w:type="dxa" w:w="140"/>
            </w:tcMar>
          </w:tcPr>
          <w:p>
            <w:pPr>
              <w:jc w:val="center"/>
            </w:pPr>
            <w:r>
              <w:rPr>
                <w:rFonts w:ascii="Arial" w:cs="Arial" w:eastAsia="Arial" w:hAnsi="Arial"/>
                <w:b/>
                <w:bCs/>
                <w:color w:val="2E7D32"/>
                <w:sz w:val="21"/>
                <w:szCs w:val="21"/>
              </w:rPr>
              <w:t xml:space="preserve">$1,000</w:t>
            </w:r>
          </w:p>
        </w:tc>
        <w:tc>
          <w:tcPr>
            <w:tcW w:type="dxa" w:w="5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20"/>
                <w:szCs w:val="20"/>
              </w:rPr>
              <w:t xml:space="preserve">Early growth — increased content &amp; sync load</w:t>
            </w:r>
          </w:p>
        </w:tc>
      </w:tr>
      <w:tr>
        <w:tc>
          <w:tcPr>
            <w:tcW w:type="dxa" w:w="2200"/>
            <w:tcBorders>
              <w:top w:val="single" w:color="DDDDDD" w:sz="1"/>
              <w:left w:val="single" w:color="DDDDDD" w:sz="1"/>
              <w:bottom w:val="single" w:color="DDDDDD" w:sz="1"/>
              <w:right w:val="single" w:color="DDDDDD" w:sz="1"/>
            </w:tcBorders>
            <w:shd w:fill="A5D6A7" w:val="clear"/>
            <w:tcMar>
              <w:top w:type="dxa" w:w="100"/>
              <w:left w:type="dxa" w:w="140"/>
              <w:bottom w:type="dxa" w:w="100"/>
              <w:right w:type="dxa" w:w="140"/>
            </w:tcMar>
          </w:tcPr>
          <w:p>
            <w:r>
              <w:rPr>
                <w:rFonts w:ascii="Arial" w:cs="Arial" w:eastAsia="Arial" w:hAnsi="Arial"/>
                <w:b/>
                <w:bCs/>
                <w:color w:val="2E7D32"/>
                <w:sz w:val="21"/>
                <w:szCs w:val="21"/>
              </w:rPr>
              <w:t xml:space="preserve">2,500 – 4,999</w:t>
            </w:r>
          </w:p>
        </w:tc>
        <w:tc>
          <w:tcPr>
            <w:tcW w:type="dxa" w:w="1300"/>
            <w:tcBorders>
              <w:top w:val="single" w:color="DDDDDD" w:sz="1"/>
              <w:left w:val="single" w:color="DDDDDD" w:sz="1"/>
              <w:bottom w:val="single" w:color="DDDDDD" w:sz="1"/>
              <w:right w:val="single" w:color="DDDDDD" w:sz="1"/>
            </w:tcBorders>
            <w:shd w:fill="A5D6A7" w:val="clear"/>
            <w:tcMar>
              <w:top w:type="dxa" w:w="100"/>
              <w:left w:type="dxa" w:w="140"/>
              <w:bottom w:type="dxa" w:w="100"/>
              <w:right w:type="dxa" w:w="140"/>
            </w:tcMar>
          </w:tcPr>
          <w:p>
            <w:pPr>
              <w:jc w:val="center"/>
            </w:pPr>
            <w:r>
              <w:rPr>
                <w:rFonts w:ascii="Arial" w:cs="Arial" w:eastAsia="Arial" w:hAnsi="Arial"/>
                <w:b/>
                <w:bCs/>
                <w:color w:val="2E7D32"/>
                <w:sz w:val="21"/>
                <w:szCs w:val="21"/>
              </w:rPr>
              <w:t xml:space="preserve">$1,250</w:t>
            </w:r>
          </w:p>
        </w:tc>
        <w:tc>
          <w:tcPr>
            <w:tcW w:type="dxa" w:w="5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20"/>
                <w:szCs w:val="20"/>
              </w:rPr>
              <w:t xml:space="preserve">Active scale — expanded monitoring required</w:t>
            </w:r>
          </w:p>
        </w:tc>
      </w:tr>
      <w:tr>
        <w:tc>
          <w:tcPr>
            <w:tcW w:type="dxa" w:w="2200"/>
            <w:tcBorders>
              <w:top w:val="single" w:color="DDDDDD" w:sz="1"/>
              <w:left w:val="single" w:color="DDDDDD" w:sz="1"/>
              <w:bottom w:val="single" w:color="DDDDDD" w:sz="1"/>
              <w:right w:val="single" w:color="DDDDDD" w:sz="1"/>
            </w:tcBorders>
            <w:shd w:fill="81C784" w:val="clear"/>
            <w:tcMar>
              <w:top w:type="dxa" w:w="100"/>
              <w:left w:type="dxa" w:w="140"/>
              <w:bottom w:type="dxa" w:w="100"/>
              <w:right w:type="dxa" w:w="140"/>
            </w:tcMar>
          </w:tcPr>
          <w:p>
            <w:r>
              <w:rPr>
                <w:rFonts w:ascii="Arial" w:cs="Arial" w:eastAsia="Arial" w:hAnsi="Arial"/>
                <w:b/>
                <w:bCs/>
                <w:color w:val="1B5E20"/>
                <w:sz w:val="21"/>
                <w:szCs w:val="21"/>
              </w:rPr>
              <w:t xml:space="preserve">5,000 – 9,999</w:t>
            </w:r>
          </w:p>
        </w:tc>
        <w:tc>
          <w:tcPr>
            <w:tcW w:type="dxa" w:w="1300"/>
            <w:tcBorders>
              <w:top w:val="single" w:color="DDDDDD" w:sz="1"/>
              <w:left w:val="single" w:color="DDDDDD" w:sz="1"/>
              <w:bottom w:val="single" w:color="DDDDDD" w:sz="1"/>
              <w:right w:val="single" w:color="DDDDDD" w:sz="1"/>
            </w:tcBorders>
            <w:shd w:fill="81C784" w:val="clear"/>
            <w:tcMar>
              <w:top w:type="dxa" w:w="100"/>
              <w:left w:type="dxa" w:w="140"/>
              <w:bottom w:type="dxa" w:w="100"/>
              <w:right w:type="dxa" w:w="140"/>
            </w:tcMar>
          </w:tcPr>
          <w:p>
            <w:pPr>
              <w:jc w:val="center"/>
            </w:pPr>
            <w:r>
              <w:rPr>
                <w:rFonts w:ascii="Arial" w:cs="Arial" w:eastAsia="Arial" w:hAnsi="Arial"/>
                <w:b/>
                <w:bCs/>
                <w:color w:val="1B5E20"/>
                <w:sz w:val="21"/>
                <w:szCs w:val="21"/>
              </w:rPr>
              <w:t xml:space="preserve">$1,600</w:t>
            </w:r>
          </w:p>
        </w:tc>
        <w:tc>
          <w:tcPr>
            <w:tcW w:type="dxa" w:w="5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20"/>
                <w:szCs w:val="20"/>
              </w:rPr>
              <w:t xml:space="preserve">Mid-tier — database ops &amp; automation overhead</w:t>
            </w:r>
          </w:p>
        </w:tc>
      </w:tr>
      <w:tr>
        <w:tc>
          <w:tcPr>
            <w:tcW w:type="dxa" w:w="2200"/>
            <w:tcBorders>
              <w:top w:val="single" w:color="DDDDDD" w:sz="1"/>
              <w:left w:val="single" w:color="DDDDDD" w:sz="1"/>
              <w:bottom w:val="single" w:color="DDDDDD" w:sz="1"/>
              <w:right w:val="single" w:color="DDDDDD" w:sz="1"/>
            </w:tcBorders>
            <w:shd w:fill="66BB6A" w:val="clear"/>
            <w:tcMar>
              <w:top w:type="dxa" w:w="100"/>
              <w:left w:type="dxa" w:w="140"/>
              <w:bottom w:type="dxa" w:w="100"/>
              <w:right w:type="dxa" w:w="140"/>
            </w:tcMar>
          </w:tcPr>
          <w:p>
            <w:r>
              <w:rPr>
                <w:rFonts w:ascii="Arial" w:cs="Arial" w:eastAsia="Arial" w:hAnsi="Arial"/>
                <w:b/>
                <w:bCs/>
                <w:color w:val="FFFFFF"/>
                <w:sz w:val="21"/>
                <w:szCs w:val="21"/>
              </w:rPr>
              <w:t xml:space="preserve">10,000 – 24,999</w:t>
            </w:r>
          </w:p>
        </w:tc>
        <w:tc>
          <w:tcPr>
            <w:tcW w:type="dxa" w:w="1300"/>
            <w:tcBorders>
              <w:top w:val="single" w:color="DDDDDD" w:sz="1"/>
              <w:left w:val="single" w:color="DDDDDD" w:sz="1"/>
              <w:bottom w:val="single" w:color="DDDDDD" w:sz="1"/>
              <w:right w:val="single" w:color="DDDDDD" w:sz="1"/>
            </w:tcBorders>
            <w:shd w:fill="66BB6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$2,100</w:t>
            </w:r>
          </w:p>
        </w:tc>
        <w:tc>
          <w:tcPr>
            <w:tcW w:type="dxa" w:w="5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20"/>
                <w:szCs w:val="20"/>
              </w:rPr>
              <w:t xml:space="preserve">High-growth — infrastructure reinforcement</w:t>
            </w:r>
          </w:p>
        </w:tc>
      </w:tr>
      <w:tr>
        <w:tc>
          <w:tcPr>
            <w:tcW w:type="dxa" w:w="2200"/>
            <w:tcBorders>
              <w:top w:val="single" w:color="DDDDDD" w:sz="1"/>
              <w:left w:val="single" w:color="DDDDDD" w:sz="1"/>
              <w:bottom w:val="single" w:color="DDDDDD" w:sz="1"/>
              <w:right w:val="single" w:color="DDDDDD" w:sz="1"/>
            </w:tcBorders>
            <w:shd w:fill="4CAF50" w:val="clear"/>
            <w:tcMar>
              <w:top w:type="dxa" w:w="100"/>
              <w:left w:type="dxa" w:w="140"/>
              <w:bottom w:type="dxa" w:w="100"/>
              <w:right w:type="dxa" w:w="140"/>
            </w:tcMar>
          </w:tcPr>
          <w:p>
            <w:r>
              <w:rPr>
                <w:rFonts w:ascii="Arial" w:cs="Arial" w:eastAsia="Arial" w:hAnsi="Arial"/>
                <w:b/>
                <w:bCs/>
                <w:color w:val="FFFFFF"/>
                <w:sz w:val="21"/>
                <w:szCs w:val="21"/>
              </w:rPr>
              <w:t xml:space="preserve">25,000 – 49,999</w:t>
            </w:r>
          </w:p>
        </w:tc>
        <w:tc>
          <w:tcPr>
            <w:tcW w:type="dxa" w:w="1300"/>
            <w:tcBorders>
              <w:top w:val="single" w:color="DDDDDD" w:sz="1"/>
              <w:left w:val="single" w:color="DDDDDD" w:sz="1"/>
              <w:bottom w:val="single" w:color="DDDDDD" w:sz="1"/>
              <w:right w:val="single" w:color="DDDDDD" w:sz="1"/>
            </w:tcBorders>
            <w:shd w:fill="4CAF50"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$2,750</w:t>
            </w:r>
          </w:p>
        </w:tc>
        <w:tc>
          <w:tcPr>
            <w:tcW w:type="dxa" w:w="5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20"/>
                <w:szCs w:val="20"/>
              </w:rPr>
              <w:t xml:space="preserve">Enterprise load — dedicated maintenance hours</w:t>
            </w:r>
          </w:p>
        </w:tc>
      </w:tr>
      <w:tr>
        <w:tc>
          <w:tcPr>
            <w:tcW w:type="dxa" w:w="2200"/>
            <w:tcBorders>
              <w:top w:val="single" w:color="DDDDDD" w:sz="1"/>
              <w:left w:val="single" w:color="DDDDDD" w:sz="1"/>
              <w:bottom w:val="single" w:color="DDDDDD" w:sz="1"/>
              <w:right w:val="single" w:color="DDDDDD" w:sz="1"/>
            </w:tcBorders>
            <w:shd w:fill="388E3C" w:val="clear"/>
            <w:tcMar>
              <w:top w:type="dxa" w:w="100"/>
              <w:left w:type="dxa" w:w="140"/>
              <w:bottom w:type="dxa" w:w="100"/>
              <w:right w:type="dxa" w:w="140"/>
            </w:tcMar>
          </w:tcPr>
          <w:p>
            <w:r>
              <w:rPr>
                <w:rFonts w:ascii="Arial" w:cs="Arial" w:eastAsia="Arial" w:hAnsi="Arial"/>
                <w:b/>
                <w:bCs/>
                <w:color w:val="FFFFFF"/>
                <w:sz w:val="21"/>
                <w:szCs w:val="21"/>
              </w:rPr>
              <w:t xml:space="preserve">50,000+</w:t>
            </w:r>
          </w:p>
        </w:tc>
        <w:tc>
          <w:tcPr>
            <w:tcW w:type="dxa" w:w="1300"/>
            <w:tcBorders>
              <w:top w:val="single" w:color="DDDDDD" w:sz="1"/>
              <w:left w:val="single" w:color="DDDDDD" w:sz="1"/>
              <w:bottom w:val="single" w:color="DDDDDD" w:sz="1"/>
              <w:right w:val="single" w:color="DDDDDD" w:sz="1"/>
            </w:tcBorders>
            <w:shd w:fill="388E3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$3,500+</w:t>
            </w:r>
          </w:p>
        </w:tc>
        <w:tc>
          <w:tcPr>
            <w:tcW w:type="dxa" w:w="5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20"/>
                <w:szCs w:val="20"/>
              </w:rPr>
              <w:t xml:space="preserve">Custom SLA — negotiated at this threshold</w:t>
            </w:r>
          </w:p>
        </w:tc>
      </w:tr>
    </w:tbl>
    <w:p>
      <w:pPr>
        <w:spacing w:after="100" w:before="0"/>
      </w:pPr>
    </w:p>
    <w:p>
      <w:pPr>
        <w:spacing w:after="80" w:before="60"/>
      </w:pPr>
      <w:r>
        <w:rPr>
          <w:rFonts w:ascii="Arial" w:cs="Arial" w:eastAsia="Arial" w:hAnsi="Arial"/>
          <w:b/>
          <w:bCs/>
          <w:color w:val="111111"/>
          <w:sz w:val="19"/>
          <w:szCs w:val="19"/>
        </w:rPr>
        <w:t xml:space="preserve">Note: </w:t>
      </w:r>
      <w:r>
        <w:rPr>
          <w:rFonts w:ascii="Arial" w:cs="Arial" w:eastAsia="Arial" w:hAnsi="Arial"/>
          <w:i/>
          <w:iCs/>
          <w:color w:val="666666"/>
          <w:sz w:val="19"/>
          <w:szCs w:val="19"/>
        </w:rPr>
        <w:t xml:space="preserve">Rates may not decrease within a calendar quarter even if user count temporarily drops below a tier threshold. This protects infrastructure integrity and prevents billing manipulation from temporary subscriber fluctuations. If user count drops below a tier threshold for 3 consecutive months, the rate adjusts downward on the first day of month 4.</w:t>
      </w:r>
    </w:p>
    <w:p>
      <w:pPr>
        <w:spacing w:after="200" w:before="0"/>
      </w:pPr>
    </w:p>
    <w:p>
      <w:pPr>
        <w:spacing w:after="120" w:before="320"/>
      </w:pPr>
      <w:r>
        <w:rPr>
          <w:rFonts w:ascii="Arial" w:cs="Arial" w:eastAsia="Arial" w:hAnsi="Arial"/>
          <w:b/>
          <w:bCs/>
          <w:color w:val="C0392B"/>
          <w:sz w:val="24"/>
          <w:szCs w:val="24"/>
        </w:rPr>
        <w:t xml:space="preserve">A4.  </w:t>
      </w:r>
      <w:r>
        <w:rPr>
          <w:rFonts w:ascii="Arial" w:cs="Arial" w:eastAsia="Arial" w:hAnsi="Arial"/>
          <w:b/>
          <w:bCs/>
          <w:color w:val="111111"/>
          <w:sz w:val="24"/>
          <w:szCs w:val="24"/>
        </w:rPr>
        <w:t xml:space="preserve">RETAINER COST SCALE — VISUAL REFERENCE</w:t>
      </w:r>
    </w:p>
    <w:p>
      <w:pPr>
        <w:spacing w:after="100" w:before="60"/>
      </w:pPr>
      <w:r>
        <w:rPr>
          <w:rFonts w:ascii="Arial" w:cs="Arial" w:eastAsia="Arial" w:hAnsi="Arial"/>
          <w:color w:val="111111"/>
          <w:sz w:val="21"/>
          <w:szCs w:val="21"/>
        </w:rPr>
        <w:t xml:space="preserve">The chart below illustrates how monthly maintenance cost scales relative to platform user growth. Each filled block represents proportional cost intensity. Green intensity increases as the platform grows — reflecting expanded infrastructure, automation overhead, and monitoring requirements.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0"/>
        <w:gridCol w:w="720"/>
        <w:gridCol w:w="720"/>
        <w:gridCol w:w="720"/>
        <w:gridCol w:w="720"/>
        <w:gridCol w:w="720"/>
        <w:gridCol w:w="720"/>
        <w:gridCol w:w="720"/>
        <w:gridCol w:w="1520"/>
      </w:tblGrid>
      <w:tr>
        <w:tc>
          <w:tcPr>
            <w:tcW w:type="dxa" w:w="2080"/>
            <w:tcBorders>
              <w:top w:val="none" w:color="FFFFFF" w:sz="0"/>
              <w:left w:val="none" w:color="FFFFFF" w:sz="0"/>
              <w:bottom w:val="none" w:color="FFFFFF" w:sz="0"/>
              <w:right w:val="none" w:color="FFFFFF" w:sz="0"/>
            </w:tcBorders>
            <w:shd w:fill="111111" w:val="clear"/>
            <w:tcMar>
              <w:top w:type="dxa" w:w="100"/>
              <w:left w:type="dxa" w:w="140"/>
              <w:bottom w:type="dxa" w:w="100"/>
              <w:right w:type="dxa" w:w="80"/>
            </w:tcMar>
          </w:tcPr>
          <w:p>
            <w:r>
              <w:rPr>
                <w:rFonts w:ascii="Arial" w:cs="Arial" w:eastAsia="Arial" w:hAnsi="Arial"/>
                <w:b/>
                <w:bCs/>
                <w:color w:val="FFFFFF"/>
                <w:sz w:val="19"/>
                <w:szCs w:val="19"/>
              </w:rPr>
              <w:t xml:space="preserve">USER TIER</w:t>
            </w:r>
          </w:p>
        </w:tc>
        <w:tc>
          <w:tcPr>
            <w:tcW w:type="dxa" w:w="5760"/>
            <w:gridSpan w:val="8"/>
            <w:tcBorders>
              <w:top w:val="none" w:color="FFFFFF" w:sz="0"/>
              <w:left w:val="none" w:color="FFFFFF" w:sz="0"/>
              <w:bottom w:val="none" w:color="FFFFFF" w:sz="0"/>
              <w:right w:val="none" w:color="FFFFFF" w:sz="0"/>
            </w:tcBorders>
            <w:shd w:fill="111111" w:val="clear"/>
            <w:tcMar>
              <w:top w:type="dxa" w:w="100"/>
              <w:left w:type="dxa" w:w="80"/>
              <w:bottom w:type="dxa" w:w="100"/>
              <w:right w:type="dxa" w:w="80"/>
            </w:tcMar>
          </w:tcPr>
          <w:p>
            <w:pPr>
              <w:jc w:val="center"/>
            </w:pPr>
            <w:r>
              <w:rPr>
                <w:rFonts w:ascii="Arial" w:cs="Arial" w:eastAsia="Arial" w:hAnsi="Arial"/>
                <w:b/>
                <w:bCs/>
                <w:color w:val="AAAAAA"/>
                <w:sz w:val="19"/>
                <w:szCs w:val="19"/>
              </w:rPr>
              <w:t xml:space="preserve">MAINTENANCE COST SCALE</w:t>
            </w:r>
          </w:p>
        </w:tc>
        <w:tc>
          <w:tcPr>
            <w:tcW w:type="dxa" w:w="1520"/>
            <w:tcBorders>
              <w:top w:val="none" w:color="FFFFFF" w:sz="0"/>
              <w:left w:val="none" w:color="FFFFFF" w:sz="0"/>
              <w:bottom w:val="none" w:color="FFFFFF" w:sz="0"/>
              <w:right w:val="none" w:color="FFFFFF" w:sz="0"/>
            </w:tcBorders>
            <w:shd w:fill="111111" w:val="clear"/>
            <w:tcMar>
              <w:top w:type="dxa" w:w="100"/>
              <w:left w:type="dxa" w:w="80"/>
              <w:bottom w:type="dxa" w:w="100"/>
              <w:right w:type="dxa" w:w="140"/>
            </w:tcMar>
          </w:tcPr>
          <w:p>
            <w:pPr>
              <w:jc w:val="right"/>
            </w:pPr>
            <w:r>
              <w:rPr>
                <w:rFonts w:ascii="Arial" w:cs="Arial" w:eastAsia="Arial" w:hAnsi="Arial"/>
                <w:b/>
                <w:bCs/>
                <w:color w:val="FFFFFF"/>
                <w:sz w:val="19"/>
                <w:szCs w:val="19"/>
              </w:rPr>
              <w:t xml:space="preserve">RATE</w:t>
            </w:r>
          </w:p>
        </w:tc>
      </w:tr>
      <w:tr>
        <w:tc>
          <w:tcPr>
            <w:tcW w:type="dxa" w:w="2080"/>
            <w:tcBorders>
              <w:top w:val="none" w:color="FFFFFF" w:sz="0"/>
              <w:left w:val="none" w:color="FFFFFF" w:sz="0"/>
              <w:bottom w:val="none" w:color="FFFFFF" w:sz="0"/>
              <w:right w:val="none" w:color="FFFFFF" w:sz="0"/>
            </w:tcBorders>
            <w:tcMar>
              <w:top w:type="dxa" w:w="40"/>
              <w:left w:type="dxa" w:w="140"/>
              <w:bottom w:type="dxa" w:w="40"/>
              <w:right w:type="dxa" w:w="80"/>
            </w:tcMar>
          </w:tcPr>
          <w:p>
            <w:r>
              <w:rPr>
                <w:rFonts w:ascii="Arial" w:cs="Arial" w:eastAsia="Arial" w:hAnsi="Arial"/>
                <w:sz w:val="16"/>
                <w:szCs w:val="16"/>
              </w:rPr>
              <w:t xml:space="preserve"/>
            </w:r>
          </w:p>
        </w:tc>
        <w:tc>
          <w:tcPr>
            <w:tcW w:type="dxa" w:w="720"/>
            <w:tcBorders>
              <w:top w:val="none" w:color="FFFFFF" w:sz="0"/>
              <w:left w:val="none" w:color="FFFFFF" w:sz="0"/>
              <w:bottom w:val="none" w:color="FFFFFF" w:sz="0"/>
              <w:right w:val="none" w:color="FFFFFF" w:sz="0"/>
            </w:tcBorders>
            <w:tcMar>
              <w:top w:type="dxa" w:w="40"/>
              <w:left w:type="dxa" w:w="20"/>
              <w:bottom w:type="dxa" w:w="40"/>
              <w:right w:type="dxa" w:w="20"/>
            </w:tcMar>
          </w:tcPr>
          <w:p>
            <w:pPr>
              <w:jc w:val="center"/>
            </w:pPr>
            <w:r>
              <w:rPr>
                <w:rFonts w:ascii="Arial" w:cs="Arial" w:eastAsia="Arial" w:hAnsi="Arial"/>
                <w:color w:val="999999"/>
                <w:sz w:val="16"/>
                <w:szCs w:val="16"/>
              </w:rPr>
              <w:t xml:space="preserve">LOW</w:t>
            </w:r>
          </w:p>
        </w:tc>
        <w:tc>
          <w:tcPr>
            <w:tcW w:type="dxa" w:w="720"/>
            <w:tcBorders>
              <w:top w:val="none" w:color="FFFFFF" w:sz="0"/>
              <w:left w:val="none" w:color="FFFFFF" w:sz="0"/>
              <w:bottom w:val="none" w:color="FFFFFF" w:sz="0"/>
              <w:right w:val="none" w:color="FFFFFF" w:sz="0"/>
            </w:tcBorders>
            <w:tcMar>
              <w:top w:type="dxa" w:w="40"/>
              <w:left w:type="dxa" w:w="20"/>
              <w:bottom w:type="dxa" w:w="40"/>
              <w:right w:type="dxa" w:w="20"/>
            </w:tcMar>
          </w:tcPr>
          <w:p>
            <w:pPr>
              <w:jc w:val="center"/>
            </w:pPr>
            <w:r>
              <w:rPr>
                <w:rFonts w:ascii="Arial" w:cs="Arial" w:eastAsia="Arial" w:hAnsi="Arial"/>
                <w:color w:val="999999"/>
                <w:sz w:val="16"/>
                <w:szCs w:val="16"/>
              </w:rPr>
              <w:t xml:space="preserve"/>
            </w:r>
          </w:p>
        </w:tc>
        <w:tc>
          <w:tcPr>
            <w:tcW w:type="dxa" w:w="720"/>
            <w:tcBorders>
              <w:top w:val="none" w:color="FFFFFF" w:sz="0"/>
              <w:left w:val="none" w:color="FFFFFF" w:sz="0"/>
              <w:bottom w:val="none" w:color="FFFFFF" w:sz="0"/>
              <w:right w:val="none" w:color="FFFFFF" w:sz="0"/>
            </w:tcBorders>
            <w:tcMar>
              <w:top w:type="dxa" w:w="40"/>
              <w:left w:type="dxa" w:w="20"/>
              <w:bottom w:type="dxa" w:w="40"/>
              <w:right w:type="dxa" w:w="20"/>
            </w:tcMar>
          </w:tcPr>
          <w:p>
            <w:pPr>
              <w:jc w:val="center"/>
            </w:pPr>
            <w:r>
              <w:rPr>
                <w:rFonts w:ascii="Arial" w:cs="Arial" w:eastAsia="Arial" w:hAnsi="Arial"/>
                <w:color w:val="999999"/>
                <w:sz w:val="16"/>
                <w:szCs w:val="16"/>
              </w:rPr>
              <w:t xml:space="preserve"/>
            </w:r>
          </w:p>
        </w:tc>
        <w:tc>
          <w:tcPr>
            <w:tcW w:type="dxa" w:w="720"/>
            <w:tcBorders>
              <w:top w:val="none" w:color="FFFFFF" w:sz="0"/>
              <w:left w:val="none" w:color="FFFFFF" w:sz="0"/>
              <w:bottom w:val="none" w:color="FFFFFF" w:sz="0"/>
              <w:right w:val="none" w:color="FFFFFF" w:sz="0"/>
            </w:tcBorders>
            <w:tcMar>
              <w:top w:type="dxa" w:w="40"/>
              <w:left w:type="dxa" w:w="20"/>
              <w:bottom w:type="dxa" w:w="40"/>
              <w:right w:type="dxa" w:w="20"/>
            </w:tcMar>
          </w:tcPr>
          <w:p>
            <w:pPr>
              <w:jc w:val="center"/>
            </w:pPr>
            <w:r>
              <w:rPr>
                <w:rFonts w:ascii="Arial" w:cs="Arial" w:eastAsia="Arial" w:hAnsi="Arial"/>
                <w:color w:val="999999"/>
                <w:sz w:val="16"/>
                <w:szCs w:val="16"/>
              </w:rPr>
              <w:t xml:space="preserve"/>
            </w:r>
          </w:p>
        </w:tc>
        <w:tc>
          <w:tcPr>
            <w:tcW w:type="dxa" w:w="720"/>
            <w:tcBorders>
              <w:top w:val="none" w:color="FFFFFF" w:sz="0"/>
              <w:left w:val="none" w:color="FFFFFF" w:sz="0"/>
              <w:bottom w:val="none" w:color="FFFFFF" w:sz="0"/>
              <w:right w:val="none" w:color="FFFFFF" w:sz="0"/>
            </w:tcBorders>
            <w:tcMar>
              <w:top w:type="dxa" w:w="40"/>
              <w:left w:type="dxa" w:w="20"/>
              <w:bottom w:type="dxa" w:w="40"/>
              <w:right w:type="dxa" w:w="20"/>
            </w:tcMar>
          </w:tcPr>
          <w:p>
            <w:pPr>
              <w:jc w:val="center"/>
            </w:pPr>
            <w:r>
              <w:rPr>
                <w:rFonts w:ascii="Arial" w:cs="Arial" w:eastAsia="Arial" w:hAnsi="Arial"/>
                <w:color w:val="999999"/>
                <w:sz w:val="16"/>
                <w:szCs w:val="16"/>
              </w:rPr>
              <w:t xml:space="preserve"/>
            </w:r>
          </w:p>
        </w:tc>
        <w:tc>
          <w:tcPr>
            <w:tcW w:type="dxa" w:w="720"/>
            <w:tcBorders>
              <w:top w:val="none" w:color="FFFFFF" w:sz="0"/>
              <w:left w:val="none" w:color="FFFFFF" w:sz="0"/>
              <w:bottom w:val="none" w:color="FFFFFF" w:sz="0"/>
              <w:right w:val="none" w:color="FFFFFF" w:sz="0"/>
            </w:tcBorders>
            <w:tcMar>
              <w:top w:type="dxa" w:w="40"/>
              <w:left w:type="dxa" w:w="20"/>
              <w:bottom w:type="dxa" w:w="40"/>
              <w:right w:type="dxa" w:w="20"/>
            </w:tcMar>
          </w:tcPr>
          <w:p>
            <w:pPr>
              <w:jc w:val="center"/>
            </w:pPr>
            <w:r>
              <w:rPr>
                <w:rFonts w:ascii="Arial" w:cs="Arial" w:eastAsia="Arial" w:hAnsi="Arial"/>
                <w:color w:val="999999"/>
                <w:sz w:val="16"/>
                <w:szCs w:val="16"/>
              </w:rPr>
              <w:t xml:space="preserve"/>
            </w:r>
          </w:p>
        </w:tc>
        <w:tc>
          <w:tcPr>
            <w:tcW w:type="dxa" w:w="720"/>
            <w:tcBorders>
              <w:top w:val="none" w:color="FFFFFF" w:sz="0"/>
              <w:left w:val="none" w:color="FFFFFF" w:sz="0"/>
              <w:bottom w:val="none" w:color="FFFFFF" w:sz="0"/>
              <w:right w:val="none" w:color="FFFFFF" w:sz="0"/>
            </w:tcBorders>
            <w:tcMar>
              <w:top w:type="dxa" w:w="40"/>
              <w:left w:type="dxa" w:w="20"/>
              <w:bottom w:type="dxa" w:w="40"/>
              <w:right w:type="dxa" w:w="20"/>
            </w:tcMar>
          </w:tcPr>
          <w:p>
            <w:pPr>
              <w:jc w:val="center"/>
            </w:pPr>
            <w:r>
              <w:rPr>
                <w:rFonts w:ascii="Arial" w:cs="Arial" w:eastAsia="Arial" w:hAnsi="Arial"/>
                <w:color w:val="999999"/>
                <w:sz w:val="16"/>
                <w:szCs w:val="16"/>
              </w:rPr>
              <w:t xml:space="preserve"/>
            </w:r>
          </w:p>
        </w:tc>
        <w:tc>
          <w:tcPr>
            <w:tcW w:type="dxa" w:w="720"/>
            <w:tcBorders>
              <w:top w:val="none" w:color="FFFFFF" w:sz="0"/>
              <w:left w:val="none" w:color="FFFFFF" w:sz="0"/>
              <w:bottom w:val="none" w:color="FFFFFF" w:sz="0"/>
              <w:right w:val="none" w:color="FFFFFF" w:sz="0"/>
            </w:tcBorders>
            <w:tcMar>
              <w:top w:type="dxa" w:w="40"/>
              <w:left w:type="dxa" w:w="20"/>
              <w:bottom w:type="dxa" w:w="40"/>
              <w:right w:type="dxa" w:w="20"/>
            </w:tcMar>
          </w:tcPr>
          <w:p>
            <w:pPr>
              <w:jc w:val="center"/>
            </w:pPr>
            <w:r>
              <w:rPr>
                <w:rFonts w:ascii="Arial" w:cs="Arial" w:eastAsia="Arial" w:hAnsi="Arial"/>
                <w:color w:val="999999"/>
                <w:sz w:val="16"/>
                <w:szCs w:val="16"/>
              </w:rPr>
              <w:t xml:space="preserve">HIGH</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140"/>
            </w:tcMar>
          </w:tcPr>
          <w:p/>
        </w:tc>
      </w:tr>
      <w:tr>
        <w:tc>
          <w:tcPr>
            <w:tcW w:type="dxa" w:w="2080"/>
            <w:tcBorders>
              <w:top w:val="none" w:color="FFFFFF" w:sz="0"/>
              <w:left w:val="none" w:color="FFFFFF" w:sz="0"/>
              <w:bottom w:val="none" w:color="FFFFFF" w:sz="0"/>
              <w:right w:val="none" w:color="FFFFFF" w:sz="0"/>
            </w:tcBorders>
            <w:tcMar>
              <w:top w:type="dxa" w:w="60"/>
              <w:left w:type="dxa" w:w="140"/>
              <w:bottom w:type="dxa" w:w="60"/>
              <w:right w:type="dxa" w:w="80"/>
            </w:tcMar>
          </w:tcPr>
          <w:p>
            <w:r>
              <w:rPr>
                <w:rFonts w:ascii="Arial" w:cs="Arial" w:eastAsia="Arial" w:hAnsi="Arial"/>
                <w:b/>
                <w:bCs/>
                <w:color w:val="111111"/>
                <w:sz w:val="20"/>
                <w:szCs w:val="20"/>
              </w:rPr>
              <w:t xml:space="preserve">0 – 999 users</w:t>
            </w:r>
          </w:p>
        </w:tc>
        <w:tc>
          <w:tcPr>
            <w:tcW w:type="dxa" w:w="720"/>
            <w:tcBorders>
              <w:top w:val="single" w:color="CCCCCC" w:sz="1"/>
              <w:left w:val="single" w:color="CCCCCC" w:sz="1"/>
              <w:bottom w:val="single" w:color="CCCCCC" w:sz="1"/>
              <w:right w:val="single" w:color="CCCCCC" w:sz="1"/>
            </w:tcBorders>
            <w:shd w:fill="E8F5E9"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1520"/>
            <w:tcBorders>
              <w:top w:val="none" w:color="FFFFFF" w:sz="0"/>
              <w:left w:val="none" w:color="FFFFFF" w:sz="0"/>
              <w:bottom w:val="none" w:color="FFFFFF" w:sz="0"/>
              <w:right w:val="none" w:color="FFFFFF" w:sz="0"/>
            </w:tcBorders>
            <w:tcMar>
              <w:top w:type="dxa" w:w="60"/>
              <w:left w:type="dxa" w:w="80"/>
              <w:bottom w:type="dxa" w:w="60"/>
              <w:right w:type="dxa" w:w="140"/>
            </w:tcMar>
          </w:tcPr>
          <w:p>
            <w:pPr>
              <w:jc w:val="right"/>
            </w:pPr>
            <w:r>
              <w:rPr>
                <w:rFonts w:ascii="Arial" w:cs="Arial" w:eastAsia="Arial" w:hAnsi="Arial"/>
                <w:b/>
                <w:bCs/>
                <w:color w:val="C0392B"/>
                <w:sz w:val="21"/>
                <w:szCs w:val="21"/>
              </w:rPr>
              <w:t xml:space="preserve">$800/mo</w:t>
            </w:r>
          </w:p>
        </w:tc>
      </w:tr>
      <w:tr>
        <w:tc>
          <w:tcPr>
            <w:tcW w:type="dxa" w:w="2080"/>
            <w:tcBorders>
              <w:top w:val="none" w:color="FFFFFF" w:sz="0"/>
              <w:left w:val="none" w:color="FFFFFF" w:sz="0"/>
              <w:bottom w:val="none" w:color="FFFFFF" w:sz="0"/>
              <w:right w:val="none" w:color="FFFFFF" w:sz="0"/>
            </w:tcBorders>
            <w:tcMar>
              <w:top w:type="dxa" w:w="60"/>
              <w:left w:type="dxa" w:w="140"/>
              <w:bottom w:type="dxa" w:w="60"/>
              <w:right w:type="dxa" w:w="80"/>
            </w:tcMar>
          </w:tcPr>
          <w:p>
            <w:r>
              <w:rPr>
                <w:rFonts w:ascii="Arial" w:cs="Arial" w:eastAsia="Arial" w:hAnsi="Arial"/>
                <w:b/>
                <w:bCs/>
                <w:color w:val="111111"/>
                <w:sz w:val="20"/>
                <w:szCs w:val="20"/>
              </w:rPr>
              <w:t xml:space="preserve">1,000 – 2,499 users</w:t>
            </w:r>
          </w:p>
        </w:tc>
        <w:tc>
          <w:tcPr>
            <w:tcW w:type="dxa" w:w="720"/>
            <w:tcBorders>
              <w:top w:val="single" w:color="CCCCCC" w:sz="1"/>
              <w:left w:val="single" w:color="CCCCCC" w:sz="1"/>
              <w:bottom w:val="single" w:color="CCCCCC" w:sz="1"/>
              <w:right w:val="single" w:color="CCCCCC" w:sz="1"/>
            </w:tcBorders>
            <w:shd w:fill="C8E6C9"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C8E6C9"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1520"/>
            <w:tcBorders>
              <w:top w:val="none" w:color="FFFFFF" w:sz="0"/>
              <w:left w:val="none" w:color="FFFFFF" w:sz="0"/>
              <w:bottom w:val="none" w:color="FFFFFF" w:sz="0"/>
              <w:right w:val="none" w:color="FFFFFF" w:sz="0"/>
            </w:tcBorders>
            <w:tcMar>
              <w:top w:type="dxa" w:w="60"/>
              <w:left w:type="dxa" w:w="80"/>
              <w:bottom w:type="dxa" w:w="60"/>
              <w:right w:type="dxa" w:w="140"/>
            </w:tcMar>
          </w:tcPr>
          <w:p>
            <w:pPr>
              <w:jc w:val="right"/>
            </w:pPr>
            <w:r>
              <w:rPr>
                <w:rFonts w:ascii="Arial" w:cs="Arial" w:eastAsia="Arial" w:hAnsi="Arial"/>
                <w:b/>
                <w:bCs/>
                <w:color w:val="C0392B"/>
                <w:sz w:val="21"/>
                <w:szCs w:val="21"/>
              </w:rPr>
              <w:t xml:space="preserve">$1,000/mo</w:t>
            </w:r>
          </w:p>
        </w:tc>
      </w:tr>
      <w:tr>
        <w:tc>
          <w:tcPr>
            <w:tcW w:type="dxa" w:w="2080"/>
            <w:tcBorders>
              <w:top w:val="none" w:color="FFFFFF" w:sz="0"/>
              <w:left w:val="none" w:color="FFFFFF" w:sz="0"/>
              <w:bottom w:val="none" w:color="FFFFFF" w:sz="0"/>
              <w:right w:val="none" w:color="FFFFFF" w:sz="0"/>
            </w:tcBorders>
            <w:tcMar>
              <w:top w:type="dxa" w:w="60"/>
              <w:left w:type="dxa" w:w="140"/>
              <w:bottom w:type="dxa" w:w="60"/>
              <w:right w:type="dxa" w:w="80"/>
            </w:tcMar>
          </w:tcPr>
          <w:p>
            <w:r>
              <w:rPr>
                <w:rFonts w:ascii="Arial" w:cs="Arial" w:eastAsia="Arial" w:hAnsi="Arial"/>
                <w:b/>
                <w:bCs/>
                <w:color w:val="111111"/>
                <w:sz w:val="20"/>
                <w:szCs w:val="20"/>
              </w:rPr>
              <w:t xml:space="preserve">2,500 – 4,999 users</w:t>
            </w:r>
          </w:p>
        </w:tc>
        <w:tc>
          <w:tcPr>
            <w:tcW w:type="dxa" w:w="720"/>
            <w:tcBorders>
              <w:top w:val="single" w:color="CCCCCC" w:sz="1"/>
              <w:left w:val="single" w:color="CCCCCC" w:sz="1"/>
              <w:bottom w:val="single" w:color="CCCCCC" w:sz="1"/>
              <w:right w:val="single" w:color="CCCCCC" w:sz="1"/>
            </w:tcBorders>
            <w:shd w:fill="A5D6A7"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A5D6A7"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A5D6A7"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1520"/>
            <w:tcBorders>
              <w:top w:val="none" w:color="FFFFFF" w:sz="0"/>
              <w:left w:val="none" w:color="FFFFFF" w:sz="0"/>
              <w:bottom w:val="none" w:color="FFFFFF" w:sz="0"/>
              <w:right w:val="none" w:color="FFFFFF" w:sz="0"/>
            </w:tcBorders>
            <w:tcMar>
              <w:top w:type="dxa" w:w="60"/>
              <w:left w:type="dxa" w:w="80"/>
              <w:bottom w:type="dxa" w:w="60"/>
              <w:right w:type="dxa" w:w="140"/>
            </w:tcMar>
          </w:tcPr>
          <w:p>
            <w:pPr>
              <w:jc w:val="right"/>
            </w:pPr>
            <w:r>
              <w:rPr>
                <w:rFonts w:ascii="Arial" w:cs="Arial" w:eastAsia="Arial" w:hAnsi="Arial"/>
                <w:b/>
                <w:bCs/>
                <w:color w:val="C0392B"/>
                <w:sz w:val="21"/>
                <w:szCs w:val="21"/>
              </w:rPr>
              <w:t xml:space="preserve">$1,250/mo</w:t>
            </w:r>
          </w:p>
        </w:tc>
      </w:tr>
      <w:tr>
        <w:tc>
          <w:tcPr>
            <w:tcW w:type="dxa" w:w="2080"/>
            <w:tcBorders>
              <w:top w:val="none" w:color="FFFFFF" w:sz="0"/>
              <w:left w:val="none" w:color="FFFFFF" w:sz="0"/>
              <w:bottom w:val="none" w:color="FFFFFF" w:sz="0"/>
              <w:right w:val="none" w:color="FFFFFF" w:sz="0"/>
            </w:tcBorders>
            <w:tcMar>
              <w:top w:type="dxa" w:w="60"/>
              <w:left w:type="dxa" w:w="140"/>
              <w:bottom w:type="dxa" w:w="60"/>
              <w:right w:type="dxa" w:w="80"/>
            </w:tcMar>
          </w:tcPr>
          <w:p>
            <w:r>
              <w:rPr>
                <w:rFonts w:ascii="Arial" w:cs="Arial" w:eastAsia="Arial" w:hAnsi="Arial"/>
                <w:b/>
                <w:bCs/>
                <w:color w:val="111111"/>
                <w:sz w:val="20"/>
                <w:szCs w:val="20"/>
              </w:rPr>
              <w:t xml:space="preserve">5,000 – 9,999 users</w:t>
            </w:r>
          </w:p>
        </w:tc>
        <w:tc>
          <w:tcPr>
            <w:tcW w:type="dxa" w:w="720"/>
            <w:tcBorders>
              <w:top w:val="single" w:color="CCCCCC" w:sz="1"/>
              <w:left w:val="single" w:color="CCCCCC" w:sz="1"/>
              <w:bottom w:val="single" w:color="CCCCCC" w:sz="1"/>
              <w:right w:val="single" w:color="CCCCCC" w:sz="1"/>
            </w:tcBorders>
            <w:shd w:fill="81C784"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81C784"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81C784"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81C784"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1520"/>
            <w:tcBorders>
              <w:top w:val="none" w:color="FFFFFF" w:sz="0"/>
              <w:left w:val="none" w:color="FFFFFF" w:sz="0"/>
              <w:bottom w:val="none" w:color="FFFFFF" w:sz="0"/>
              <w:right w:val="none" w:color="FFFFFF" w:sz="0"/>
            </w:tcBorders>
            <w:tcMar>
              <w:top w:type="dxa" w:w="60"/>
              <w:left w:type="dxa" w:w="80"/>
              <w:bottom w:type="dxa" w:w="60"/>
              <w:right w:type="dxa" w:w="140"/>
            </w:tcMar>
          </w:tcPr>
          <w:p>
            <w:pPr>
              <w:jc w:val="right"/>
            </w:pPr>
            <w:r>
              <w:rPr>
                <w:rFonts w:ascii="Arial" w:cs="Arial" w:eastAsia="Arial" w:hAnsi="Arial"/>
                <w:b/>
                <w:bCs/>
                <w:color w:val="C0392B"/>
                <w:sz w:val="21"/>
                <w:szCs w:val="21"/>
              </w:rPr>
              <w:t xml:space="preserve">$1,600/mo</w:t>
            </w:r>
          </w:p>
        </w:tc>
      </w:tr>
      <w:tr>
        <w:tc>
          <w:tcPr>
            <w:tcW w:type="dxa" w:w="2080"/>
            <w:tcBorders>
              <w:top w:val="none" w:color="FFFFFF" w:sz="0"/>
              <w:left w:val="none" w:color="FFFFFF" w:sz="0"/>
              <w:bottom w:val="none" w:color="FFFFFF" w:sz="0"/>
              <w:right w:val="none" w:color="FFFFFF" w:sz="0"/>
            </w:tcBorders>
            <w:tcMar>
              <w:top w:type="dxa" w:w="60"/>
              <w:left w:type="dxa" w:w="140"/>
              <w:bottom w:type="dxa" w:w="60"/>
              <w:right w:type="dxa" w:w="80"/>
            </w:tcMar>
          </w:tcPr>
          <w:p>
            <w:r>
              <w:rPr>
                <w:rFonts w:ascii="Arial" w:cs="Arial" w:eastAsia="Arial" w:hAnsi="Arial"/>
                <w:b/>
                <w:bCs/>
                <w:color w:val="111111"/>
                <w:sz w:val="20"/>
                <w:szCs w:val="20"/>
              </w:rPr>
              <w:t xml:space="preserve">10,000 – 24,999 users</w:t>
            </w:r>
          </w:p>
        </w:tc>
        <w:tc>
          <w:tcPr>
            <w:tcW w:type="dxa" w:w="720"/>
            <w:tcBorders>
              <w:top w:val="single" w:color="CCCCCC" w:sz="1"/>
              <w:left w:val="single" w:color="CCCCCC" w:sz="1"/>
              <w:bottom w:val="single" w:color="CCCCCC" w:sz="1"/>
              <w:right w:val="single" w:color="CCCCCC" w:sz="1"/>
            </w:tcBorders>
            <w:shd w:fill="66BB6A"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66BB6A"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66BB6A"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66BB6A"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66BB6A"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1520"/>
            <w:tcBorders>
              <w:top w:val="none" w:color="FFFFFF" w:sz="0"/>
              <w:left w:val="none" w:color="FFFFFF" w:sz="0"/>
              <w:bottom w:val="none" w:color="FFFFFF" w:sz="0"/>
              <w:right w:val="none" w:color="FFFFFF" w:sz="0"/>
            </w:tcBorders>
            <w:tcMar>
              <w:top w:type="dxa" w:w="60"/>
              <w:left w:type="dxa" w:w="80"/>
              <w:bottom w:type="dxa" w:w="60"/>
              <w:right w:type="dxa" w:w="140"/>
            </w:tcMar>
          </w:tcPr>
          <w:p>
            <w:pPr>
              <w:jc w:val="right"/>
            </w:pPr>
            <w:r>
              <w:rPr>
                <w:rFonts w:ascii="Arial" w:cs="Arial" w:eastAsia="Arial" w:hAnsi="Arial"/>
                <w:b/>
                <w:bCs/>
                <w:color w:val="C0392B"/>
                <w:sz w:val="21"/>
                <w:szCs w:val="21"/>
              </w:rPr>
              <w:t xml:space="preserve">$2,100/mo</w:t>
            </w:r>
          </w:p>
        </w:tc>
      </w:tr>
      <w:tr>
        <w:tc>
          <w:tcPr>
            <w:tcW w:type="dxa" w:w="2080"/>
            <w:tcBorders>
              <w:top w:val="none" w:color="FFFFFF" w:sz="0"/>
              <w:left w:val="none" w:color="FFFFFF" w:sz="0"/>
              <w:bottom w:val="none" w:color="FFFFFF" w:sz="0"/>
              <w:right w:val="none" w:color="FFFFFF" w:sz="0"/>
            </w:tcBorders>
            <w:tcMar>
              <w:top w:type="dxa" w:w="60"/>
              <w:left w:type="dxa" w:w="140"/>
              <w:bottom w:type="dxa" w:w="60"/>
              <w:right w:type="dxa" w:w="80"/>
            </w:tcMar>
          </w:tcPr>
          <w:p>
            <w:r>
              <w:rPr>
                <w:rFonts w:ascii="Arial" w:cs="Arial" w:eastAsia="Arial" w:hAnsi="Arial"/>
                <w:b/>
                <w:bCs/>
                <w:color w:val="111111"/>
                <w:sz w:val="20"/>
                <w:szCs w:val="20"/>
              </w:rPr>
              <w:t xml:space="preserve">25,000 – 49,999 users</w:t>
            </w:r>
          </w:p>
        </w:tc>
        <w:tc>
          <w:tcPr>
            <w:tcW w:type="dxa" w:w="720"/>
            <w:tcBorders>
              <w:top w:val="single" w:color="CCCCCC" w:sz="1"/>
              <w:left w:val="single" w:color="CCCCCC" w:sz="1"/>
              <w:bottom w:val="single" w:color="CCCCCC" w:sz="1"/>
              <w:right w:val="single" w:color="CCCCCC" w:sz="1"/>
            </w:tcBorders>
            <w:shd w:fill="4CAF5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4CAF5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4CAF5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4CAF5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4CAF5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4CAF5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4CAF50"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F0F0F0" w:val="clear"/>
            <w:tcMar>
              <w:top w:type="dxa" w:w="0"/>
              <w:left w:type="dxa" w:w="0"/>
              <w:bottom w:type="dxa" w:w="0"/>
              <w:right w:type="dxa" w:w="0"/>
            </w:tcMar>
          </w:tcPr>
          <w:p>
            <w:r>
              <w:rPr>
                <w:rFonts w:ascii="Arial" w:cs="Arial" w:eastAsia="Arial" w:hAnsi="Arial"/>
                <w:sz w:val="20"/>
                <w:szCs w:val="20"/>
              </w:rPr>
              <w:t xml:space="preserve"> </w:t>
            </w:r>
          </w:p>
        </w:tc>
        <w:tc>
          <w:tcPr>
            <w:tcW w:type="dxa" w:w="1520"/>
            <w:tcBorders>
              <w:top w:val="none" w:color="FFFFFF" w:sz="0"/>
              <w:left w:val="none" w:color="FFFFFF" w:sz="0"/>
              <w:bottom w:val="none" w:color="FFFFFF" w:sz="0"/>
              <w:right w:val="none" w:color="FFFFFF" w:sz="0"/>
            </w:tcBorders>
            <w:tcMar>
              <w:top w:type="dxa" w:w="60"/>
              <w:left w:type="dxa" w:w="80"/>
              <w:bottom w:type="dxa" w:w="60"/>
              <w:right w:type="dxa" w:w="140"/>
            </w:tcMar>
          </w:tcPr>
          <w:p>
            <w:pPr>
              <w:jc w:val="right"/>
            </w:pPr>
            <w:r>
              <w:rPr>
                <w:rFonts w:ascii="Arial" w:cs="Arial" w:eastAsia="Arial" w:hAnsi="Arial"/>
                <w:b/>
                <w:bCs/>
                <w:color w:val="C0392B"/>
                <w:sz w:val="21"/>
                <w:szCs w:val="21"/>
              </w:rPr>
              <w:t xml:space="preserve">$2,750/mo</w:t>
            </w:r>
          </w:p>
        </w:tc>
      </w:tr>
      <w:tr>
        <w:tc>
          <w:tcPr>
            <w:tcW w:type="dxa" w:w="2080"/>
            <w:tcBorders>
              <w:top w:val="none" w:color="FFFFFF" w:sz="0"/>
              <w:left w:val="none" w:color="FFFFFF" w:sz="0"/>
              <w:bottom w:val="none" w:color="FFFFFF" w:sz="0"/>
              <w:right w:val="none" w:color="FFFFFF" w:sz="0"/>
            </w:tcBorders>
            <w:tcMar>
              <w:top w:type="dxa" w:w="60"/>
              <w:left w:type="dxa" w:w="140"/>
              <w:bottom w:type="dxa" w:w="60"/>
              <w:right w:type="dxa" w:w="80"/>
            </w:tcMar>
          </w:tcPr>
          <w:p>
            <w:r>
              <w:rPr>
                <w:rFonts w:ascii="Arial" w:cs="Arial" w:eastAsia="Arial" w:hAnsi="Arial"/>
                <w:b/>
                <w:bCs/>
                <w:color w:val="111111"/>
                <w:sz w:val="20"/>
                <w:szCs w:val="20"/>
              </w:rPr>
              <w:t xml:space="preserve">50,000+ users</w:t>
            </w:r>
          </w:p>
        </w:tc>
        <w:tc>
          <w:tcPr>
            <w:tcW w:type="dxa" w:w="720"/>
            <w:tcBorders>
              <w:top w:val="single" w:color="CCCCCC" w:sz="1"/>
              <w:left w:val="single" w:color="CCCCCC" w:sz="1"/>
              <w:bottom w:val="single" w:color="CCCCCC" w:sz="1"/>
              <w:right w:val="single" w:color="CCCCCC" w:sz="1"/>
            </w:tcBorders>
            <w:shd w:fill="388E3C"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388E3C"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388E3C"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388E3C"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388E3C"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388E3C"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388E3C" w:val="clear"/>
            <w:tcMar>
              <w:top w:type="dxa" w:w="0"/>
              <w:left w:type="dxa" w:w="0"/>
              <w:bottom w:type="dxa" w:w="0"/>
              <w:right w:type="dxa" w:w="0"/>
            </w:tcMar>
          </w:tcPr>
          <w:p>
            <w:r>
              <w:rPr>
                <w:rFonts w:ascii="Arial" w:cs="Arial" w:eastAsia="Arial" w:hAnsi="Arial"/>
                <w:sz w:val="20"/>
                <w:szCs w:val="20"/>
              </w:rPr>
              <w:t xml:space="preserve"> </w:t>
            </w:r>
          </w:p>
        </w:tc>
        <w:tc>
          <w:tcPr>
            <w:tcW w:type="dxa" w:w="720"/>
            <w:tcBorders>
              <w:top w:val="single" w:color="CCCCCC" w:sz="1"/>
              <w:left w:val="single" w:color="CCCCCC" w:sz="1"/>
              <w:bottom w:val="single" w:color="CCCCCC" w:sz="1"/>
              <w:right w:val="single" w:color="CCCCCC" w:sz="1"/>
            </w:tcBorders>
            <w:shd w:fill="388E3C" w:val="clear"/>
            <w:tcMar>
              <w:top w:type="dxa" w:w="0"/>
              <w:left w:type="dxa" w:w="0"/>
              <w:bottom w:type="dxa" w:w="0"/>
              <w:right w:type="dxa" w:w="0"/>
            </w:tcMar>
          </w:tcPr>
          <w:p>
            <w:r>
              <w:rPr>
                <w:rFonts w:ascii="Arial" w:cs="Arial" w:eastAsia="Arial" w:hAnsi="Arial"/>
                <w:sz w:val="20"/>
                <w:szCs w:val="20"/>
              </w:rPr>
              <w:t xml:space="preserve"> </w:t>
            </w:r>
          </w:p>
        </w:tc>
        <w:tc>
          <w:tcPr>
            <w:tcW w:type="dxa" w:w="1520"/>
            <w:tcBorders>
              <w:top w:val="none" w:color="FFFFFF" w:sz="0"/>
              <w:left w:val="none" w:color="FFFFFF" w:sz="0"/>
              <w:bottom w:val="none" w:color="FFFFFF" w:sz="0"/>
              <w:right w:val="none" w:color="FFFFFF" w:sz="0"/>
            </w:tcBorders>
            <w:tcMar>
              <w:top w:type="dxa" w:w="60"/>
              <w:left w:type="dxa" w:w="80"/>
              <w:bottom w:type="dxa" w:w="60"/>
              <w:right w:type="dxa" w:w="140"/>
            </w:tcMar>
          </w:tcPr>
          <w:p>
            <w:pPr>
              <w:jc w:val="right"/>
            </w:pPr>
            <w:r>
              <w:rPr>
                <w:rFonts w:ascii="Arial" w:cs="Arial" w:eastAsia="Arial" w:hAnsi="Arial"/>
                <w:b/>
                <w:bCs/>
                <w:color w:val="C0392B"/>
                <w:sz w:val="21"/>
                <w:szCs w:val="21"/>
              </w:rPr>
              <w:t xml:space="preserve">$3,500+/mo</w:t>
            </w:r>
          </w:p>
        </w:tc>
      </w:tr>
    </w:tbl>
    <w:p>
      <w:pPr>
        <w:spacing w:after="100" w:before="0"/>
      </w:pPr>
    </w:p>
    <w:p>
      <w:pPr>
        <w:spacing w:after="80" w:before="60"/>
      </w:pPr>
      <w:r>
        <w:rPr>
          <w:rFonts w:ascii="Arial" w:cs="Arial" w:eastAsia="Arial" w:hAnsi="Arial"/>
          <w:b/>
          <w:bCs/>
          <w:color w:val="111111"/>
          <w:sz w:val="19"/>
          <w:szCs w:val="19"/>
        </w:rPr>
        <w:t xml:space="preserve">Note: </w:t>
      </w:r>
      <w:r>
        <w:rPr>
          <w:rFonts w:ascii="Arial" w:cs="Arial" w:eastAsia="Arial" w:hAnsi="Arial"/>
          <w:i/>
          <w:iCs/>
          <w:color w:val="666666"/>
          <w:sz w:val="19"/>
          <w:szCs w:val="19"/>
        </w:rPr>
        <w:t xml:space="preserve">This chart is for visual reference only. The binding rate schedule is defined in Section A3. At 50,000+ users, rate is negotiated with a minimum floor of $3,500/month.</w:t>
      </w:r>
    </w:p>
    <w:p>
      <w:pPr>
        <w:spacing w:after="200" w:before="0"/>
      </w:pPr>
    </w:p>
    <w:p>
      <w:pPr>
        <w:spacing w:after="120" w:before="320"/>
      </w:pPr>
      <w:r>
        <w:rPr>
          <w:rFonts w:ascii="Arial" w:cs="Arial" w:eastAsia="Arial" w:hAnsi="Arial"/>
          <w:b/>
          <w:bCs/>
          <w:color w:val="C0392B"/>
          <w:sz w:val="24"/>
          <w:szCs w:val="24"/>
        </w:rPr>
        <w:t xml:space="preserve">A5.  </w:t>
      </w:r>
      <w:r>
        <w:rPr>
          <w:rFonts w:ascii="Arial" w:cs="Arial" w:eastAsia="Arial" w:hAnsi="Arial"/>
          <w:b/>
          <w:bCs/>
          <w:color w:val="111111"/>
          <w:sz w:val="24"/>
          <w:szCs w:val="24"/>
        </w:rPr>
        <w:t xml:space="preserve">BILLING CYCLE &amp; RATE CHANGE MECHANISM</w:t>
      </w:r>
    </w:p>
    <w:p>
      <w:pPr>
        <w:spacing w:after="100" w:before="60"/>
      </w:pPr>
      <w:r>
        <w:rPr>
          <w:rFonts w:ascii="Arial" w:cs="Arial" w:eastAsia="Arial" w:hAnsi="Arial"/>
          <w:b/>
          <w:bCs/>
          <w:color w:val="111111"/>
          <w:sz w:val="21"/>
          <w:szCs w:val="21"/>
        </w:rPr>
        <w:t xml:space="preserve">A5.1  MONTHLY BILLING.</w:t>
      </w:r>
    </w:p>
    <w:p>
      <w:pPr>
        <w:spacing w:after="100" w:before="60"/>
      </w:pPr>
      <w:r>
        <w:rPr>
          <w:rFonts w:ascii="Arial" w:cs="Arial" w:eastAsia="Arial" w:hAnsi="Arial"/>
          <w:color w:val="111111"/>
          <w:sz w:val="21"/>
          <w:szCs w:val="21"/>
        </w:rPr>
        <w:t xml:space="preserve">HD Connex shall issue a monthly retainer invoice on or before the 1st of each month for services rendered in the prior month. Payment is due within 10 business days of invoice receipt.</w:t>
      </w:r>
    </w:p>
    <w:p>
      <w:pPr>
        <w:spacing w:after="60" w:before="0"/>
      </w:pPr>
    </w:p>
    <w:p>
      <w:pPr>
        <w:spacing w:after="100" w:before="60"/>
      </w:pPr>
      <w:r>
        <w:rPr>
          <w:rFonts w:ascii="Arial" w:cs="Arial" w:eastAsia="Arial" w:hAnsi="Arial"/>
          <w:b/>
          <w:bCs/>
          <w:color w:val="111111"/>
          <w:sz w:val="21"/>
          <w:szCs w:val="21"/>
        </w:rPr>
        <w:t xml:space="preserve">A5.2  TIER TRANSITION.</w:t>
      </w:r>
    </w:p>
    <w:p>
      <w:pPr>
        <w:spacing w:after="100" w:before="60"/>
      </w:pPr>
      <w:r>
        <w:rPr>
          <w:rFonts w:ascii="Arial" w:cs="Arial" w:eastAsia="Arial" w:hAnsi="Arial"/>
          <w:color w:val="111111"/>
          <w:sz w:val="21"/>
          <w:szCs w:val="21"/>
        </w:rPr>
        <w:t xml:space="preserve">When total active users cross a tier threshold as measured on the 1st of a given month, the new rate applies beginning the 1st of the following month. HD Connex shall notify JAM Media in writing (email acceptable) at least 5 business days before a rate change takes effect.</w:t>
      </w:r>
    </w:p>
    <w:p>
      <w:pPr>
        <w:spacing w:after="60" w:before="0"/>
      </w:pPr>
    </w:p>
    <w:p>
      <w:pPr>
        <w:spacing w:after="100" w:before="60"/>
      </w:pPr>
      <w:r>
        <w:rPr>
          <w:rFonts w:ascii="Arial" w:cs="Arial" w:eastAsia="Arial" w:hAnsi="Arial"/>
          <w:b/>
          <w:bCs/>
          <w:color w:val="111111"/>
          <w:sz w:val="21"/>
          <w:szCs w:val="21"/>
        </w:rPr>
        <w:t xml:space="preserve">A5.3  RATE FLOOR.</w:t>
      </w:r>
    </w:p>
    <w:p>
      <w:pPr>
        <w:spacing w:after="100" w:before="60"/>
      </w:pPr>
      <w:r>
        <w:rPr>
          <w:rFonts w:ascii="Arial" w:cs="Arial" w:eastAsia="Arial" w:hAnsi="Arial"/>
          <w:color w:val="111111"/>
          <w:sz w:val="21"/>
          <w:szCs w:val="21"/>
        </w:rPr>
        <w:t xml:space="preserve">The minimum monthly retainer is $800/month regardless of user count. This rate is guaranteed for the first 6 months following platform launch to give JAM Media time to build its subscriber base.</w:t>
      </w:r>
    </w:p>
    <w:p>
      <w:pPr>
        <w:spacing w:after="60" w:before="0"/>
      </w:pPr>
    </w:p>
    <w:p>
      <w:pPr>
        <w:spacing w:after="100" w:before="60"/>
      </w:pPr>
      <w:r>
        <w:rPr>
          <w:rFonts w:ascii="Arial" w:cs="Arial" w:eastAsia="Arial" w:hAnsi="Arial"/>
          <w:b/>
          <w:bCs/>
          <w:color w:val="111111"/>
          <w:sz w:val="21"/>
          <w:szCs w:val="21"/>
        </w:rPr>
        <w:t xml:space="preserve">A5.4  TIER ESCALATION CAP.</w:t>
      </w:r>
    </w:p>
    <w:p>
      <w:pPr>
        <w:spacing w:after="100" w:before="60"/>
      </w:pPr>
      <w:r>
        <w:rPr>
          <w:rFonts w:ascii="Arial" w:cs="Arial" w:eastAsia="Arial" w:hAnsi="Arial"/>
          <w:color w:val="111111"/>
          <w:sz w:val="21"/>
          <w:szCs w:val="21"/>
        </w:rPr>
        <w:t xml:space="preserve">No single monthly invoice may increase by more than one tier increment regardless of how fast user growth occurs. In the event of rapid growth spanning multiple tiers in a single month, the rate steps up one tier at a time in successive billing cycles. This protects JAM Media from unexpected invoice spikes.</w:t>
      </w:r>
    </w:p>
    <w:p>
      <w:pPr>
        <w:spacing w:after="60" w:before="0"/>
      </w:pPr>
    </w:p>
    <w:p>
      <w:pPr>
        <w:spacing w:after="100" w:before="60"/>
      </w:pPr>
      <w:r>
        <w:rPr>
          <w:rFonts w:ascii="Arial" w:cs="Arial" w:eastAsia="Arial" w:hAnsi="Arial"/>
          <w:b/>
          <w:bCs/>
          <w:color w:val="111111"/>
          <w:sz w:val="21"/>
          <w:szCs w:val="21"/>
        </w:rPr>
        <w:t xml:space="preserve">A5.5  MONTH-TO-MONTH.</w:t>
      </w:r>
    </w:p>
    <w:p>
      <w:pPr>
        <w:spacing w:after="100" w:before="60"/>
      </w:pPr>
      <w:r>
        <w:rPr>
          <w:rFonts w:ascii="Arial" w:cs="Arial" w:eastAsia="Arial" w:hAnsi="Arial"/>
          <w:color w:val="111111"/>
          <w:sz w:val="21"/>
          <w:szCs w:val="21"/>
        </w:rPr>
        <w:t xml:space="preserve">The monthly retainer operates on a month-to-month basis. JAM Media may terminate the retainer with 30 days written notice. HD Connex may terminate the retainer with 30 days written notice, provided that all KPI monitoring and reporting obligations are fulfilled through the final retainer month.</w:t>
      </w:r>
    </w:p>
    <w:p>
      <w:pPr>
        <w:spacing w:after="200" w:before="0"/>
      </w:pPr>
    </w:p>
    <w:p>
      <w:pPr>
        <w:spacing w:after="120" w:before="320"/>
      </w:pPr>
      <w:r>
        <w:rPr>
          <w:rFonts w:ascii="Arial" w:cs="Arial" w:eastAsia="Arial" w:hAnsi="Arial"/>
          <w:b/>
          <w:bCs/>
          <w:color w:val="C0392B"/>
          <w:sz w:val="24"/>
          <w:szCs w:val="24"/>
        </w:rPr>
        <w:t xml:space="preserve">A6.  </w:t>
      </w:r>
      <w:r>
        <w:rPr>
          <w:rFonts w:ascii="Arial" w:cs="Arial" w:eastAsia="Arial" w:hAnsi="Arial"/>
          <w:b/>
          <w:bCs/>
          <w:color w:val="111111"/>
          <w:sz w:val="24"/>
          <w:szCs w:val="24"/>
        </w:rPr>
        <w:t xml:space="preserve">KPI FRAMEWORK — DEFINITIONS &amp; MEASUREMENT</w:t>
      </w:r>
    </w:p>
    <w:p>
      <w:pPr>
        <w:spacing w:after="100" w:before="60"/>
      </w:pPr>
      <w:r>
        <w:rPr>
          <w:rFonts w:ascii="Arial" w:cs="Arial" w:eastAsia="Arial" w:hAnsi="Arial"/>
          <w:color w:val="111111"/>
          <w:sz w:val="21"/>
          <w:szCs w:val="21"/>
        </w:rPr>
        <w:t xml:space="preserve">The following Key Performance Indicators are monitored by HD Connex and reported to JAM Media monthly. KPIs serve as the operational health dashboard for The Platform and inform both billing determinations and platform maintenance priorities.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760"/>
        <w:gridCol w:w="2480"/>
        <w:gridCol w:w="2000"/>
        <w:gridCol w:w="2480"/>
      </w:tblGrid>
      <w:tr>
        <w:tc>
          <w:tcPr>
            <w:tcW w:type="dxa" w:w="640"/>
            <w:tcBorders>
              <w:top w:val="single" w:color="DDDDDD" w:sz="1"/>
              <w:left w:val="single" w:color="DDDDDD" w:sz="1"/>
              <w:bottom w:val="single" w:color="DDDDDD" w:sz="1"/>
              <w:right w:val="single" w:color="DDDDDD" w:sz="1"/>
            </w:tcBorders>
            <w:shd w:fill="111111" w:val="clear"/>
            <w:tcMar>
              <w:top w:type="dxa" w:w="110"/>
              <w:left w:type="dxa" w:w="120"/>
              <w:bottom w:type="dxa" w:w="110"/>
              <w:right w:type="dxa" w:w="80"/>
            </w:tcMar>
          </w:tcPr>
          <w:p>
            <w:r>
              <w:rPr>
                <w:rFonts w:ascii="Arial" w:cs="Arial" w:eastAsia="Arial" w:hAnsi="Arial"/>
                <w:b/>
                <w:bCs/>
                <w:color w:val="FFFFFF"/>
                <w:sz w:val="19"/>
                <w:szCs w:val="19"/>
              </w:rPr>
              <w:t xml:space="preserve">ID</w:t>
            </w:r>
          </w:p>
        </w:tc>
        <w:tc>
          <w:tcPr>
            <w:tcW w:type="dxa" w:w="1760"/>
            <w:tcBorders>
              <w:top w:val="single" w:color="DDDDDD" w:sz="1"/>
              <w:left w:val="single" w:color="DDDDDD" w:sz="1"/>
              <w:bottom w:val="single" w:color="DDDDDD" w:sz="1"/>
              <w:right w:val="single" w:color="DDDDDD" w:sz="1"/>
            </w:tcBorders>
            <w:shd w:fill="111111" w:val="clear"/>
            <w:tcMar>
              <w:top w:type="dxa" w:w="110"/>
              <w:left w:type="dxa" w:w="120"/>
              <w:bottom w:type="dxa" w:w="110"/>
              <w:right w:type="dxa" w:w="80"/>
            </w:tcMar>
          </w:tcPr>
          <w:p>
            <w:r>
              <w:rPr>
                <w:rFonts w:ascii="Arial" w:cs="Arial" w:eastAsia="Arial" w:hAnsi="Arial"/>
                <w:b/>
                <w:bCs/>
                <w:color w:val="FFFFFF"/>
                <w:sz w:val="19"/>
                <w:szCs w:val="19"/>
              </w:rPr>
              <w:t xml:space="preserve">KPI</w:t>
            </w:r>
          </w:p>
        </w:tc>
        <w:tc>
          <w:tcPr>
            <w:tcW w:type="dxa" w:w="2480"/>
            <w:tcBorders>
              <w:top w:val="single" w:color="DDDDDD" w:sz="1"/>
              <w:left w:val="single" w:color="DDDDDD" w:sz="1"/>
              <w:bottom w:val="single" w:color="DDDDDD" w:sz="1"/>
              <w:right w:val="single" w:color="DDDDDD" w:sz="1"/>
            </w:tcBorders>
            <w:shd w:fill="111111" w:val="clear"/>
            <w:tcMar>
              <w:top w:type="dxa" w:w="110"/>
              <w:left w:type="dxa" w:w="120"/>
              <w:bottom w:type="dxa" w:w="110"/>
              <w:right w:type="dxa" w:w="80"/>
            </w:tcMar>
          </w:tcPr>
          <w:p>
            <w:r>
              <w:rPr>
                <w:rFonts w:ascii="Arial" w:cs="Arial" w:eastAsia="Arial" w:hAnsi="Arial"/>
                <w:b/>
                <w:bCs/>
                <w:color w:val="FFFFFF"/>
                <w:sz w:val="19"/>
                <w:szCs w:val="19"/>
              </w:rPr>
              <w:t xml:space="preserve">DEFINITION</w:t>
            </w:r>
          </w:p>
        </w:tc>
        <w:tc>
          <w:tcPr>
            <w:tcW w:type="dxa" w:w="2000"/>
            <w:tcBorders>
              <w:top w:val="single" w:color="DDDDDD" w:sz="1"/>
              <w:left w:val="single" w:color="DDDDDD" w:sz="1"/>
              <w:bottom w:val="single" w:color="DDDDDD" w:sz="1"/>
              <w:right w:val="single" w:color="DDDDDD" w:sz="1"/>
            </w:tcBorders>
            <w:shd w:fill="111111" w:val="clear"/>
            <w:tcMar>
              <w:top w:type="dxa" w:w="110"/>
              <w:left w:type="dxa" w:w="120"/>
              <w:bottom w:type="dxa" w:w="110"/>
              <w:right w:type="dxa" w:w="80"/>
            </w:tcMar>
          </w:tcPr>
          <w:p>
            <w:r>
              <w:rPr>
                <w:rFonts w:ascii="Arial" w:cs="Arial" w:eastAsia="Arial" w:hAnsi="Arial"/>
                <w:b/>
                <w:bCs/>
                <w:color w:val="FFFFFF"/>
                <w:sz w:val="19"/>
                <w:szCs w:val="19"/>
              </w:rPr>
              <w:t xml:space="preserve">HOW MEASURED</w:t>
            </w:r>
          </w:p>
        </w:tc>
        <w:tc>
          <w:tcPr>
            <w:tcW w:type="dxa" w:w="2480"/>
            <w:tcBorders>
              <w:top w:val="single" w:color="DDDDDD" w:sz="1"/>
              <w:left w:val="single" w:color="DDDDDD" w:sz="1"/>
              <w:bottom w:val="single" w:color="DDDDDD" w:sz="1"/>
              <w:right w:val="single" w:color="DDDDDD" w:sz="1"/>
            </w:tcBorders>
            <w:shd w:fill="111111" w:val="clear"/>
            <w:tcMar>
              <w:top w:type="dxa" w:w="110"/>
              <w:left w:type="dxa" w:w="120"/>
              <w:bottom w:type="dxa" w:w="110"/>
              <w:right w:type="dxa" w:w="140"/>
            </w:tcMar>
          </w:tcPr>
          <w:p>
            <w:r>
              <w:rPr>
                <w:rFonts w:ascii="Arial" w:cs="Arial" w:eastAsia="Arial" w:hAnsi="Arial"/>
                <w:b/>
                <w:bCs/>
                <w:color w:val="FFFFFF"/>
                <w:sz w:val="19"/>
                <w:szCs w:val="19"/>
              </w:rPr>
              <w:t xml:space="preserve">BILLING / IMPACT</w:t>
            </w:r>
          </w:p>
        </w:tc>
      </w:tr>
      <w:tr>
        <w:tc>
          <w:tcPr>
            <w:tcW w:type="dxa" w:w="6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pPr>
              <w:jc w:val="center"/>
            </w:pPr>
            <w:r>
              <w:rPr>
                <w:rFonts w:ascii="Arial" w:cs="Arial" w:eastAsia="Arial" w:hAnsi="Arial"/>
                <w:b/>
                <w:bCs/>
                <w:color w:val="C0392B"/>
                <w:sz w:val="18"/>
                <w:szCs w:val="18"/>
              </w:rPr>
              <w:t xml:space="preserve">K-01</w:t>
            </w:r>
          </w:p>
        </w:tc>
        <w:tc>
          <w:tcPr>
            <w:tcW w:type="dxa" w:w="176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b/>
                <w:bCs/>
                <w:color w:val="111111"/>
                <w:sz w:val="19"/>
                <w:szCs w:val="19"/>
              </w:rPr>
              <w:t xml:space="preserve">Total Active Users (TAU)</w:t>
            </w:r>
          </w:p>
        </w:tc>
        <w:tc>
          <w:tcPr>
            <w:tcW w:type="dxa" w:w="248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color w:val="333333"/>
                <w:sz w:val="18"/>
                <w:szCs w:val="18"/>
              </w:rPr>
              <w:t xml:space="preserve">Combined count of all active paid subscribers ($4.99/mo) and active paid contributors with a verified account in good standing on the platform billing date.</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i/>
                <w:iCs/>
                <w:color w:val="555555"/>
                <w:sz w:val="18"/>
                <w:szCs w:val="18"/>
              </w:rPr>
              <w:t xml:space="preserve">Pulled from platform database on the 1st of each month</w:t>
            </w:r>
          </w:p>
        </w:tc>
        <w:tc>
          <w:tcPr>
            <w:tcW w:type="dxa" w:w="248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40"/>
            </w:tcMar>
          </w:tcPr>
          <w:p>
            <w:r>
              <w:rPr>
                <w:rFonts w:ascii="Arial" w:cs="Arial" w:eastAsia="Arial" w:hAnsi="Arial"/>
                <w:color w:val="111111"/>
                <w:sz w:val="18"/>
                <w:szCs w:val="18"/>
              </w:rPr>
              <w:t xml:space="preserve">Primary billing metric — determines applicable retainer tier</w:t>
            </w:r>
          </w:p>
        </w:tc>
      </w:tr>
      <w:tr>
        <w:tc>
          <w:tcPr>
            <w:tcW w:type="dxa" w:w="6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pPr>
              <w:jc w:val="center"/>
            </w:pPr>
            <w:r>
              <w:rPr>
                <w:rFonts w:ascii="Arial" w:cs="Arial" w:eastAsia="Arial" w:hAnsi="Arial"/>
                <w:b/>
                <w:bCs/>
                <w:color w:val="C0392B"/>
                <w:sz w:val="18"/>
                <w:szCs w:val="18"/>
              </w:rPr>
              <w:t xml:space="preserve">K-02</w:t>
            </w:r>
          </w:p>
        </w:tc>
        <w:tc>
          <w:tcPr>
            <w:tcW w:type="dxa" w:w="17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b/>
                <w:bCs/>
                <w:color w:val="111111"/>
                <w:sz w:val="19"/>
                <w:szCs w:val="19"/>
              </w:rPr>
              <w:t xml:space="preserve">Monthly Subscriber Growth Rate</w:t>
            </w:r>
          </w:p>
        </w:tc>
        <w:tc>
          <w:tcPr>
            <w:tcW w:type="dxa" w:w="24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color w:val="333333"/>
                <w:sz w:val="18"/>
                <w:szCs w:val="18"/>
              </w:rPr>
              <w:t xml:space="preserve">Percentage change in total paid subscribers from the prior month to the current month.</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i/>
                <w:iCs/>
                <w:color w:val="555555"/>
                <w:sz w:val="18"/>
                <w:szCs w:val="18"/>
              </w:rPr>
              <w:t xml:space="preserve">(Current subscribers - Prior subscribers) / Prior subscribers x 100</w:t>
            </w:r>
          </w:p>
        </w:tc>
        <w:tc>
          <w:tcPr>
            <w:tcW w:type="dxa" w:w="24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40"/>
            </w:tcMar>
          </w:tcPr>
          <w:p>
            <w:r>
              <w:rPr>
                <w:rFonts w:ascii="Arial" w:cs="Arial" w:eastAsia="Arial" w:hAnsi="Arial"/>
                <w:color w:val="111111"/>
                <w:sz w:val="18"/>
                <w:szCs w:val="18"/>
              </w:rPr>
              <w:t xml:space="preserve">Reported in monthly dashboard; no direct billing impact</w:t>
            </w:r>
          </w:p>
        </w:tc>
      </w:tr>
      <w:tr>
        <w:tc>
          <w:tcPr>
            <w:tcW w:type="dxa" w:w="6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pPr>
              <w:jc w:val="center"/>
            </w:pPr>
            <w:r>
              <w:rPr>
                <w:rFonts w:ascii="Arial" w:cs="Arial" w:eastAsia="Arial" w:hAnsi="Arial"/>
                <w:b/>
                <w:bCs/>
                <w:color w:val="C0392B"/>
                <w:sz w:val="18"/>
                <w:szCs w:val="18"/>
              </w:rPr>
              <w:t xml:space="preserve">K-03</w:t>
            </w:r>
          </w:p>
        </w:tc>
        <w:tc>
          <w:tcPr>
            <w:tcW w:type="dxa" w:w="176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b/>
                <w:bCs/>
                <w:color w:val="111111"/>
                <w:sz w:val="19"/>
                <w:szCs w:val="19"/>
              </w:rPr>
              <w:t xml:space="preserve">30-Day Subscriber Retention Rate</w:t>
            </w:r>
          </w:p>
        </w:tc>
        <w:tc>
          <w:tcPr>
            <w:tcW w:type="dxa" w:w="248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color w:val="333333"/>
                <w:sz w:val="18"/>
                <w:szCs w:val="18"/>
              </w:rPr>
              <w:t xml:space="preserve">Percentage of paying subscribers who remain active 30 days after their initial subscription date.</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i/>
                <w:iCs/>
                <w:color w:val="555555"/>
                <w:sz w:val="18"/>
                <w:szCs w:val="18"/>
              </w:rPr>
              <w:t xml:space="preserve">Active subscribers retained at day 30 / Total new subscribers x 100</w:t>
            </w:r>
          </w:p>
        </w:tc>
        <w:tc>
          <w:tcPr>
            <w:tcW w:type="dxa" w:w="248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40"/>
            </w:tcMar>
          </w:tcPr>
          <w:p>
            <w:r>
              <w:rPr>
                <w:rFonts w:ascii="Arial" w:cs="Arial" w:eastAsia="Arial" w:hAnsi="Arial"/>
                <w:color w:val="111111"/>
                <w:sz w:val="18"/>
                <w:szCs w:val="18"/>
              </w:rPr>
              <w:t xml:space="preserve">Reported monthly; flags platform health and membership system effectiveness</w:t>
            </w:r>
          </w:p>
        </w:tc>
      </w:tr>
      <w:tr>
        <w:tc>
          <w:tcPr>
            <w:tcW w:type="dxa" w:w="6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pPr>
              <w:jc w:val="center"/>
            </w:pPr>
            <w:r>
              <w:rPr>
                <w:rFonts w:ascii="Arial" w:cs="Arial" w:eastAsia="Arial" w:hAnsi="Arial"/>
                <w:b/>
                <w:bCs/>
                <w:color w:val="C0392B"/>
                <w:sz w:val="18"/>
                <w:szCs w:val="18"/>
              </w:rPr>
              <w:t xml:space="preserve">K-04</w:t>
            </w:r>
          </w:p>
        </w:tc>
        <w:tc>
          <w:tcPr>
            <w:tcW w:type="dxa" w:w="17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b/>
                <w:bCs/>
                <w:color w:val="111111"/>
                <w:sz w:val="19"/>
                <w:szCs w:val="19"/>
              </w:rPr>
              <w:t xml:space="preserve">Monthly Recurring Revenue (MRR)</w:t>
            </w:r>
          </w:p>
        </w:tc>
        <w:tc>
          <w:tcPr>
            <w:tcW w:type="dxa" w:w="24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color w:val="333333"/>
                <w:sz w:val="18"/>
                <w:szCs w:val="18"/>
              </w:rPr>
              <w:t xml:space="preserve">Total confirmed subscription revenue generated through the $4.99/month paywall in a given calendar month, gross of Stripe processing fees.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i/>
                <w:iCs/>
                <w:color w:val="555555"/>
                <w:sz w:val="18"/>
                <w:szCs w:val="18"/>
              </w:rPr>
              <w:t xml:space="preserve">Active subscribers x $4.99 — reported from Stripe dashboard</w:t>
            </w:r>
          </w:p>
        </w:tc>
        <w:tc>
          <w:tcPr>
            <w:tcW w:type="dxa" w:w="24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40"/>
            </w:tcMar>
          </w:tcPr>
          <w:p>
            <w:r>
              <w:rPr>
                <w:rFonts w:ascii="Arial" w:cs="Arial" w:eastAsia="Arial" w:hAnsi="Arial"/>
                <w:color w:val="111111"/>
                <w:sz w:val="18"/>
                <w:szCs w:val="18"/>
              </w:rPr>
              <w:t xml:space="preserve">Reported monthly; used to contextualize maintenance cost as % of revenue</w:t>
            </w:r>
          </w:p>
        </w:tc>
      </w:tr>
      <w:tr>
        <w:tc>
          <w:tcPr>
            <w:tcW w:type="dxa" w:w="6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pPr>
              <w:jc w:val="center"/>
            </w:pPr>
            <w:r>
              <w:rPr>
                <w:rFonts w:ascii="Arial" w:cs="Arial" w:eastAsia="Arial" w:hAnsi="Arial"/>
                <w:b/>
                <w:bCs/>
                <w:color w:val="C0392B"/>
                <w:sz w:val="18"/>
                <w:szCs w:val="18"/>
              </w:rPr>
              <w:t xml:space="preserve">K-05</w:t>
            </w:r>
          </w:p>
        </w:tc>
        <w:tc>
          <w:tcPr>
            <w:tcW w:type="dxa" w:w="176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b/>
                <w:bCs/>
                <w:color w:val="111111"/>
                <w:sz w:val="19"/>
                <w:szCs w:val="19"/>
              </w:rPr>
              <w:t xml:space="preserve">Platform Uptime (%)</w:t>
            </w:r>
          </w:p>
        </w:tc>
        <w:tc>
          <w:tcPr>
            <w:tcW w:type="dxa" w:w="248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color w:val="333333"/>
                <w:sz w:val="18"/>
                <w:szCs w:val="18"/>
              </w:rPr>
              <w:t xml:space="preserve">Percentage of total time in a calendar month that thecolonyok.com is live, accessible, and fully functional for end users.</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i/>
                <w:iCs/>
                <w:color w:val="555555"/>
                <w:sz w:val="18"/>
                <w:szCs w:val="18"/>
              </w:rPr>
              <w:t xml:space="preserve">Monitored via uptime tracking tool; calculated as (total minutes - downtime minutes) / total minutes x 100</w:t>
            </w:r>
          </w:p>
        </w:tc>
        <w:tc>
          <w:tcPr>
            <w:tcW w:type="dxa" w:w="248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40"/>
            </w:tcMar>
          </w:tcPr>
          <w:p>
            <w:r>
              <w:rPr>
                <w:rFonts w:ascii="Arial" w:cs="Arial" w:eastAsia="Arial" w:hAnsi="Arial"/>
                <w:color w:val="111111"/>
                <w:sz w:val="18"/>
                <w:szCs w:val="18"/>
              </w:rPr>
              <w:t xml:space="preserve">Target: 99.5%+. Downtime below target triggers a required incident report from HD Connex</w:t>
            </w:r>
          </w:p>
        </w:tc>
      </w:tr>
      <w:tr>
        <w:tc>
          <w:tcPr>
            <w:tcW w:type="dxa" w:w="6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pPr>
              <w:jc w:val="center"/>
            </w:pPr>
            <w:r>
              <w:rPr>
                <w:rFonts w:ascii="Arial" w:cs="Arial" w:eastAsia="Arial" w:hAnsi="Arial"/>
                <w:b/>
                <w:bCs/>
                <w:color w:val="C0392B"/>
                <w:sz w:val="18"/>
                <w:szCs w:val="18"/>
              </w:rPr>
              <w:t xml:space="preserve">K-06</w:t>
            </w:r>
          </w:p>
        </w:tc>
        <w:tc>
          <w:tcPr>
            <w:tcW w:type="dxa" w:w="17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b/>
                <w:bCs/>
                <w:color w:val="111111"/>
                <w:sz w:val="19"/>
                <w:szCs w:val="19"/>
              </w:rPr>
              <w:t xml:space="preserve">Average Page Load Time</w:t>
            </w:r>
          </w:p>
        </w:tc>
        <w:tc>
          <w:tcPr>
            <w:tcW w:type="dxa" w:w="24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color w:val="333333"/>
                <w:sz w:val="18"/>
                <w:szCs w:val="18"/>
              </w:rPr>
              <w:t xml:space="preserve">Average time in seconds for a standard page on the platform to fully load for an end user on a standard connection.</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i/>
                <w:iCs/>
                <w:color w:val="555555"/>
                <w:sz w:val="18"/>
                <w:szCs w:val="18"/>
              </w:rPr>
              <w:t xml:space="preserve">Measured via Core Web Vitals / Google PageSpeed — reported monthly</w:t>
            </w:r>
          </w:p>
        </w:tc>
        <w:tc>
          <w:tcPr>
            <w:tcW w:type="dxa" w:w="24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40"/>
            </w:tcMar>
          </w:tcPr>
          <w:p>
            <w:r>
              <w:rPr>
                <w:rFonts w:ascii="Arial" w:cs="Arial" w:eastAsia="Arial" w:hAnsi="Arial"/>
                <w:color w:val="111111"/>
                <w:sz w:val="18"/>
                <w:szCs w:val="18"/>
              </w:rPr>
              <w:t xml:space="preserve">Target: under 2.5 seconds. Performance degradation triggers optimization action</w:t>
            </w:r>
          </w:p>
        </w:tc>
      </w:tr>
      <w:tr>
        <w:tc>
          <w:tcPr>
            <w:tcW w:type="dxa" w:w="6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pPr>
              <w:jc w:val="center"/>
            </w:pPr>
            <w:r>
              <w:rPr>
                <w:rFonts w:ascii="Arial" w:cs="Arial" w:eastAsia="Arial" w:hAnsi="Arial"/>
                <w:b/>
                <w:bCs/>
                <w:color w:val="C0392B"/>
                <w:sz w:val="18"/>
                <w:szCs w:val="18"/>
              </w:rPr>
              <w:t xml:space="preserve">K-07</w:t>
            </w:r>
          </w:p>
        </w:tc>
        <w:tc>
          <w:tcPr>
            <w:tcW w:type="dxa" w:w="176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b/>
                <w:bCs/>
                <w:color w:val="111111"/>
                <w:sz w:val="19"/>
                <w:szCs w:val="19"/>
              </w:rPr>
              <w:t xml:space="preserve">Content Volume Published</w:t>
            </w:r>
          </w:p>
        </w:tc>
        <w:tc>
          <w:tcPr>
            <w:tcW w:type="dxa" w:w="248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color w:val="333333"/>
                <w:sz w:val="18"/>
                <w:szCs w:val="18"/>
              </w:rPr>
              <w:t xml:space="preserve">Total number of articles and podcast episodes successfully published to the platform in a given month across all contributors and shows.</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i/>
                <w:iCs/>
                <w:color w:val="555555"/>
                <w:sz w:val="18"/>
                <w:szCs w:val="18"/>
              </w:rPr>
              <w:t xml:space="preserve">Pulled from CMS and podcast RSS sync logs</w:t>
            </w:r>
          </w:p>
        </w:tc>
        <w:tc>
          <w:tcPr>
            <w:tcW w:type="dxa" w:w="248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40"/>
            </w:tcMar>
          </w:tcPr>
          <w:p>
            <w:r>
              <w:rPr>
                <w:rFonts w:ascii="Arial" w:cs="Arial" w:eastAsia="Arial" w:hAnsi="Arial"/>
                <w:color w:val="111111"/>
                <w:sz w:val="18"/>
                <w:szCs w:val="18"/>
              </w:rPr>
              <w:t xml:space="preserve">Indicates pipeline usage; high volume validates automation infrastructure and informs future scaling decisions</w:t>
            </w:r>
          </w:p>
        </w:tc>
      </w:tr>
      <w:tr>
        <w:tc>
          <w:tcPr>
            <w:tcW w:type="dxa" w:w="6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pPr>
              <w:jc w:val="center"/>
            </w:pPr>
            <w:r>
              <w:rPr>
                <w:rFonts w:ascii="Arial" w:cs="Arial" w:eastAsia="Arial" w:hAnsi="Arial"/>
                <w:b/>
                <w:bCs/>
                <w:color w:val="C0392B"/>
                <w:sz w:val="18"/>
                <w:szCs w:val="18"/>
              </w:rPr>
              <w:t xml:space="preserve">K-08</w:t>
            </w:r>
          </w:p>
        </w:tc>
        <w:tc>
          <w:tcPr>
            <w:tcW w:type="dxa" w:w="17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b/>
                <w:bCs/>
                <w:color w:val="111111"/>
                <w:sz w:val="19"/>
                <w:szCs w:val="19"/>
              </w:rPr>
              <w:t xml:space="preserve">Podcast Episode Auto-Sync Rate</w:t>
            </w:r>
          </w:p>
        </w:tc>
        <w:tc>
          <w:tcPr>
            <w:tcW w:type="dxa" w:w="24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color w:val="333333"/>
                <w:sz w:val="18"/>
                <w:szCs w:val="18"/>
              </w:rPr>
              <w:t xml:space="preserve">Percentage of new podcast episodes published by show hosts that automatically appear on their platform show page within 2 hours of upload without manual intervention.</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i/>
                <w:iCs/>
                <w:color w:val="555555"/>
                <w:sz w:val="18"/>
                <w:szCs w:val="18"/>
              </w:rPr>
              <w:t xml:space="preserve">RSS sync logs reviewed monthly</w:t>
            </w:r>
          </w:p>
        </w:tc>
        <w:tc>
          <w:tcPr>
            <w:tcW w:type="dxa" w:w="24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40"/>
            </w:tcMar>
          </w:tcPr>
          <w:p>
            <w:r>
              <w:rPr>
                <w:rFonts w:ascii="Arial" w:cs="Arial" w:eastAsia="Arial" w:hAnsi="Arial"/>
                <w:color w:val="111111"/>
                <w:sz w:val="18"/>
                <w:szCs w:val="18"/>
              </w:rPr>
              <w:t xml:space="preserve">Target: 98%+. Failures below target trigger automation audit by HD Connex</w:t>
            </w:r>
          </w:p>
        </w:tc>
      </w:tr>
      <w:tr>
        <w:tc>
          <w:tcPr>
            <w:tcW w:type="dxa" w:w="6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pPr>
              <w:jc w:val="center"/>
            </w:pPr>
            <w:r>
              <w:rPr>
                <w:rFonts w:ascii="Arial" w:cs="Arial" w:eastAsia="Arial" w:hAnsi="Arial"/>
                <w:b/>
                <w:bCs/>
                <w:color w:val="C0392B"/>
                <w:sz w:val="18"/>
                <w:szCs w:val="18"/>
              </w:rPr>
              <w:t xml:space="preserve">K-09</w:t>
            </w:r>
          </w:p>
        </w:tc>
        <w:tc>
          <w:tcPr>
            <w:tcW w:type="dxa" w:w="176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b/>
                <w:bCs/>
                <w:color w:val="111111"/>
                <w:sz w:val="19"/>
                <w:szCs w:val="19"/>
              </w:rPr>
              <w:t xml:space="preserve">Content Submission Pipeline Throughput</w:t>
            </w:r>
          </w:p>
        </w:tc>
        <w:tc>
          <w:tcPr>
            <w:tcW w:type="dxa" w:w="248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color w:val="333333"/>
                <w:sz w:val="18"/>
                <w:szCs w:val="18"/>
              </w:rPr>
              <w:t xml:space="preserve">Number of journalist article submissions received via the intake form that successfully staged as drafts in the CMS within 30 minutes of submission.</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80"/>
            </w:tcMar>
          </w:tcPr>
          <w:p>
            <w:r>
              <w:rPr>
                <w:rFonts w:ascii="Arial" w:cs="Arial" w:eastAsia="Arial" w:hAnsi="Arial"/>
                <w:i/>
                <w:iCs/>
                <w:color w:val="555555"/>
                <w:sz w:val="18"/>
                <w:szCs w:val="18"/>
              </w:rPr>
              <w:t xml:space="preserve">Form submission logs vs. CMS draft timestamps</w:t>
            </w:r>
          </w:p>
        </w:tc>
        <w:tc>
          <w:tcPr>
            <w:tcW w:type="dxa" w:w="248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40"/>
            </w:tcMar>
          </w:tcPr>
          <w:p>
            <w:r>
              <w:rPr>
                <w:rFonts w:ascii="Arial" w:cs="Arial" w:eastAsia="Arial" w:hAnsi="Arial"/>
                <w:color w:val="111111"/>
                <w:sz w:val="18"/>
                <w:szCs w:val="18"/>
              </w:rPr>
              <w:t xml:space="preserve">Target: 99%+. Pipeline failures trigger immediate resolution under retainer scope</w:t>
            </w:r>
          </w:p>
        </w:tc>
      </w:tr>
      <w:tr>
        <w:tc>
          <w:tcPr>
            <w:tcW w:type="dxa" w:w="6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pPr>
              <w:jc w:val="center"/>
            </w:pPr>
            <w:r>
              <w:rPr>
                <w:rFonts w:ascii="Arial" w:cs="Arial" w:eastAsia="Arial" w:hAnsi="Arial"/>
                <w:b/>
                <w:bCs/>
                <w:color w:val="C0392B"/>
                <w:sz w:val="18"/>
                <w:szCs w:val="18"/>
              </w:rPr>
              <w:t xml:space="preserve">K-10</w:t>
            </w:r>
          </w:p>
        </w:tc>
        <w:tc>
          <w:tcPr>
            <w:tcW w:type="dxa" w:w="17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b/>
                <w:bCs/>
                <w:color w:val="111111"/>
                <w:sz w:val="19"/>
                <w:szCs w:val="19"/>
              </w:rPr>
              <w:t xml:space="preserve">Retainer Cost as % of MRR</w:t>
            </w:r>
          </w:p>
        </w:tc>
        <w:tc>
          <w:tcPr>
            <w:tcW w:type="dxa" w:w="24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color w:val="333333"/>
                <w:sz w:val="18"/>
                <w:szCs w:val="18"/>
              </w:rPr>
              <w:t xml:space="preserve">Monthly retainer fee divided by total MRR for that month, expressed as a percentage. Provides JAM Media with a clear cost-to-revenue ratio for platform maintenance.</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80"/>
            </w:tcMar>
          </w:tcPr>
          <w:p>
            <w:r>
              <w:rPr>
                <w:rFonts w:ascii="Arial" w:cs="Arial" w:eastAsia="Arial" w:hAnsi="Arial"/>
                <w:i/>
                <w:iCs/>
                <w:color w:val="555555"/>
                <w:sz w:val="18"/>
                <w:szCs w:val="18"/>
              </w:rPr>
              <w:t xml:space="preserve">Retainer rate / MRR x 100 — reported in monthly performance report</w:t>
            </w:r>
          </w:p>
        </w:tc>
        <w:tc>
          <w:tcPr>
            <w:tcW w:type="dxa" w:w="24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40"/>
            </w:tcMar>
          </w:tcPr>
          <w:p>
            <w:r>
              <w:rPr>
                <w:rFonts w:ascii="Arial" w:cs="Arial" w:eastAsia="Arial" w:hAnsi="Arial"/>
                <w:color w:val="111111"/>
                <w:sz w:val="18"/>
                <w:szCs w:val="18"/>
              </w:rPr>
              <w:t xml:space="preserve">Informational — provides transparency into maintenance cost relative to revenue generated. At $800 retainer and 2,000 subscribers ($9,980 MRR), this is approx. 8%</w:t>
            </w:r>
          </w:p>
        </w:tc>
      </w:tr>
    </w:tbl>
    <w:p>
      <w:pPr>
        <w:spacing w:after="100" w:before="0"/>
      </w:pPr>
    </w:p>
    <w:p>
      <w:pPr>
        <w:spacing w:after="80" w:before="60"/>
      </w:pPr>
      <w:r>
        <w:rPr>
          <w:rFonts w:ascii="Arial" w:cs="Arial" w:eastAsia="Arial" w:hAnsi="Arial"/>
          <w:b/>
          <w:bCs/>
          <w:color w:val="111111"/>
          <w:sz w:val="19"/>
          <w:szCs w:val="19"/>
        </w:rPr>
        <w:t xml:space="preserve">Note: </w:t>
      </w:r>
      <w:r>
        <w:rPr>
          <w:rFonts w:ascii="Arial" w:cs="Arial" w:eastAsia="Arial" w:hAnsi="Arial"/>
          <w:i/>
          <w:iCs/>
          <w:color w:val="666666"/>
          <w:sz w:val="19"/>
          <w:szCs w:val="19"/>
        </w:rPr>
        <w:t xml:space="preserve">KPI reports are delivered by the 7th of each month via email. Reports include current metric values, month-over-month trend, applicable retainer tier for the billing cycle, and any flagged performance issues requiring action.</w:t>
      </w:r>
    </w:p>
    <w:p>
      <w:pPr>
        <w:spacing w:after="200" w:before="0"/>
      </w:pPr>
    </w:p>
    <w:p>
      <w:pPr>
        <w:spacing w:after="120" w:before="320"/>
      </w:pPr>
      <w:r>
        <w:rPr>
          <w:rFonts w:ascii="Arial" w:cs="Arial" w:eastAsia="Arial" w:hAnsi="Arial"/>
          <w:b/>
          <w:bCs/>
          <w:color w:val="C0392B"/>
          <w:sz w:val="24"/>
          <w:szCs w:val="24"/>
        </w:rPr>
        <w:t xml:space="preserve">A7.  </w:t>
      </w:r>
      <w:r>
        <w:rPr>
          <w:rFonts w:ascii="Arial" w:cs="Arial" w:eastAsia="Arial" w:hAnsi="Arial"/>
          <w:b/>
          <w:bCs/>
          <w:color w:val="111111"/>
          <w:sz w:val="24"/>
          <w:szCs w:val="24"/>
        </w:rPr>
        <w:t xml:space="preserve">RETAINER COST VS. REVENUE — REFERENCE PROJECTIONS</w:t>
      </w:r>
    </w:p>
    <w:p>
      <w:pPr>
        <w:spacing w:after="100" w:before="60"/>
      </w:pPr>
      <w:r>
        <w:rPr>
          <w:rFonts w:ascii="Arial" w:cs="Arial" w:eastAsia="Arial" w:hAnsi="Arial"/>
          <w:color w:val="111111"/>
          <w:sz w:val="21"/>
          <w:szCs w:val="21"/>
        </w:rPr>
        <w:t xml:space="preserve">The table below provides reference projections at key user milestones to illustrate retainer cost as a percentage of expected platform MRR. These are illustrative only and not guarantees of performance.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60"/>
        <w:gridCol w:w="1560"/>
        <w:gridCol w:w="1560"/>
        <w:gridCol w:w="2920"/>
      </w:tblGrid>
      <w:tr>
        <w:tc>
          <w:tcPr>
            <w:tcW w:type="dxa" w:w="176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ACTIVE USERS</w:t>
            </w:r>
          </w:p>
        </w:tc>
        <w:tc>
          <w:tcPr>
            <w:tcW w:type="dxa" w:w="156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MONTHLY RATE</w:t>
            </w:r>
          </w:p>
        </w:tc>
        <w:tc>
          <w:tcPr>
            <w:tcW w:type="dxa" w:w="156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tcPr>
          <w:p>
            <w:pPr>
              <w:jc w:val="right"/>
            </w:pPr>
            <w:r>
              <w:rPr>
                <w:rFonts w:ascii="Arial" w:cs="Arial" w:eastAsia="Arial" w:hAnsi="Arial"/>
                <w:b/>
                <w:bCs/>
                <w:color w:val="FFFFFF"/>
                <w:sz w:val="19"/>
                <w:szCs w:val="19"/>
              </w:rPr>
              <w:t xml:space="preserve">EST. MRR ($4.99)</w:t>
            </w:r>
          </w:p>
        </w:tc>
        <w:tc>
          <w:tcPr>
            <w:tcW w:type="dxa" w:w="156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tcPr>
          <w:p>
            <w:pPr>
              <w:jc w:val="right"/>
            </w:pPr>
            <w:r>
              <w:rPr>
                <w:rFonts w:ascii="Arial" w:cs="Arial" w:eastAsia="Arial" w:hAnsi="Arial"/>
                <w:b/>
                <w:bCs/>
                <w:color w:val="FFFFFF"/>
                <w:sz w:val="19"/>
                <w:szCs w:val="19"/>
              </w:rPr>
              <w:t xml:space="preserve">RATE AS % MRR</w:t>
            </w:r>
          </w:p>
        </w:tc>
        <w:tc>
          <w:tcPr>
            <w:tcW w:type="dxa" w:w="292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tcPr>
          <w:p>
            <w:pPr>
              <w:jc w:val="right"/>
            </w:pPr>
            <w:r>
              <w:rPr>
                <w:rFonts w:ascii="Arial" w:cs="Arial" w:eastAsia="Arial" w:hAnsi="Arial"/>
                <w:b/>
                <w:bCs/>
                <w:color w:val="FFFFFF"/>
                <w:sz w:val="19"/>
                <w:szCs w:val="19"/>
              </w:rPr>
              <w:t xml:space="preserve">PLATFORM STATUS</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500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$800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color w:val="111111"/>
                <w:sz w:val="20"/>
                <w:szCs w:val="20"/>
              </w:rPr>
              <w:t xml:space="preserve">$2,495</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2E7D32"/>
                <w:sz w:val="20"/>
                <w:szCs w:val="20"/>
              </w:rPr>
              <w:t xml:space="preserve">32%</w:t>
            </w:r>
          </w:p>
        </w:tc>
        <w:tc>
          <w:tcPr>
            <w:tcW w:type="dxa" w:w="2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Early launch — audience building</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1,000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$800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color w:val="111111"/>
                <w:sz w:val="20"/>
                <w:szCs w:val="20"/>
              </w:rPr>
              <w:t xml:space="preserve">$4,990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2E7D32"/>
                <w:sz w:val="20"/>
                <w:szCs w:val="20"/>
              </w:rPr>
              <w:t xml:space="preserve">16%</w:t>
            </w:r>
          </w:p>
        </w:tc>
        <w:tc>
          <w:tcPr>
            <w:tcW w:type="dxa" w:w="2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Base tier ceiling — strong early traction</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2,500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$1,250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color w:val="111111"/>
                <w:sz w:val="20"/>
                <w:szCs w:val="20"/>
              </w:rPr>
              <w:t xml:space="preserve">$12,475</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2E7D32"/>
                <w:sz w:val="20"/>
                <w:szCs w:val="20"/>
              </w:rPr>
              <w:t xml:space="preserve">10%</w:t>
            </w:r>
          </w:p>
        </w:tc>
        <w:tc>
          <w:tcPr>
            <w:tcW w:type="dxa" w:w="2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Entering growth phase — retainer well-covered</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$1,600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color w:val="111111"/>
                <w:sz w:val="20"/>
                <w:szCs w:val="20"/>
              </w:rPr>
              <w:t xml:space="preserve">$24,950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2E7D32"/>
                <w:sz w:val="20"/>
                <w:szCs w:val="20"/>
              </w:rPr>
              <w:t xml:space="preserve">6.4%</w:t>
            </w:r>
          </w:p>
        </w:tc>
        <w:tc>
          <w:tcPr>
            <w:tcW w:type="dxa" w:w="2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Mid-scale — maintenance cost declining as % revenue</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10,000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$2,100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color w:val="111111"/>
                <w:sz w:val="20"/>
                <w:szCs w:val="20"/>
              </w:rPr>
              <w:t xml:space="preserve">$49,900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2E7D32"/>
                <w:sz w:val="20"/>
                <w:szCs w:val="20"/>
              </w:rPr>
              <w:t xml:space="preserve">4.2%</w:t>
            </w:r>
          </w:p>
        </w:tc>
        <w:tc>
          <w:tcPr>
            <w:tcW w:type="dxa" w:w="2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High-growth — platform a genuine media property</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25,000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$2,750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color w:val="111111"/>
                <w:sz w:val="20"/>
                <w:szCs w:val="20"/>
              </w:rPr>
              <w:t xml:space="preserve">$124,750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2E7D32"/>
                <w:sz w:val="20"/>
                <w:szCs w:val="20"/>
              </w:rPr>
              <w:t xml:space="preserve">2.2%</w:t>
            </w:r>
          </w:p>
        </w:tc>
        <w:tc>
          <w:tcPr>
            <w:tcW w:type="dxa" w:w="2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Established network — retainer is minimal overhead</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50,000+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$3,500+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color w:val="111111"/>
                <w:sz w:val="20"/>
                <w:szCs w:val="20"/>
              </w:rPr>
              <w:t xml:space="preserve">$249,500+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2E7D32"/>
                <w:sz w:val="20"/>
                <w:szCs w:val="20"/>
              </w:rPr>
              <w:t xml:space="preserve">1.4%+</w:t>
            </w:r>
          </w:p>
        </w:tc>
        <w:tc>
          <w:tcPr>
            <w:tcW w:type="dxa" w:w="2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Media company — negotiate custom enterprise SLA</w:t>
            </w:r>
          </w:p>
        </w:tc>
      </w:tr>
    </w:tbl>
    <w:p>
      <w:pPr>
        <w:spacing w:after="200" w:before="0"/>
      </w:pPr>
    </w:p>
    <w:p>
      <w:pPr>
        <w:pBdr>
          <w:bottom w:val="single" w:color="C0392B" w:sz="10" w:space="1"/>
        </w:pBdr>
        <w:spacing w:after="200" w:before="0"/>
      </w:pPr>
    </w:p>
    <w:p>
      <w:pPr>
        <w:spacing w:after="120" w:before="200"/>
      </w:pPr>
      <w:r>
        <w:rPr>
          <w:rFonts w:ascii="Arial" w:cs="Arial" w:eastAsia="Arial" w:hAnsi="Arial"/>
          <w:b/>
          <w:bCs/>
          <w:caps/>
          <w:color w:val="111111"/>
          <w:sz w:val="24"/>
          <w:szCs w:val="24"/>
        </w:rPr>
        <w:t xml:space="preserve">ADDENDUM SIGNATURES</w:t>
      </w:r>
    </w:p>
    <w:p>
      <w:pPr>
        <w:spacing w:after="100" w:before="60"/>
      </w:pPr>
      <w:r>
        <w:rPr>
          <w:rFonts w:ascii="Arial" w:cs="Arial" w:eastAsia="Arial" w:hAnsi="Arial"/>
          <w:color w:val="111111"/>
          <w:sz w:val="21"/>
          <w:szCs w:val="21"/>
        </w:rPr>
        <w:t xml:space="preserve">By signing below, both parties agree that this Addendum A is incorporated into and forms a binding part of the Platform Development Agreement between HD Connex and JAM Media. The sliding scale retainer structure, KPI framework, and billing terms defined herein supersede any prior retainer discussions.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111111" w:sz="6"/>
              </w:pBdr>
              <w:spacing w:after="60" w:before="560"/>
            </w:pPr>
          </w:p>
          <w:p>
            <w:r>
              <w:rPr>
                <w:rFonts w:ascii="Arial" w:cs="Arial" w:eastAsia="Arial" w:hAnsi="Arial"/>
                <w:color w:val="888888"/>
                <w:sz w:val="18"/>
                <w:szCs w:val="18"/>
              </w:rPr>
              <w:t xml:space="preserve">Authorized Signature</w:t>
            </w:r>
          </w:p>
          <w:p>
            <w:pPr>
              <w:spacing w:after="60" w:before="0"/>
            </w:pPr>
          </w:p>
          <w:p>
            <w:pPr>
              <w:pBdr>
                <w:bottom w:val="single" w:color="111111" w:sz="6"/>
              </w:pBdr>
              <w:spacing w:after="60" w:before="140"/>
            </w:pPr>
          </w:p>
          <w:p>
            <w:r>
              <w:rPr>
                <w:rFonts w:ascii="Arial" w:cs="Arial" w:eastAsia="Arial" w:hAnsi="Arial"/>
                <w:b/>
                <w:bCs/>
                <w:color w:val="111111"/>
                <w:sz w:val="19"/>
                <w:szCs w:val="19"/>
              </w:rPr>
              <w:t xml:space="preserve">Name: Heath Doane</w:t>
            </w:r>
          </w:p>
          <w:p>
            <w:r>
              <w:rPr>
                <w:rFonts w:ascii="Arial" w:cs="Arial" w:eastAsia="Arial" w:hAnsi="Arial"/>
                <w:color w:val="111111"/>
                <w:sz w:val="19"/>
                <w:szCs w:val="19"/>
              </w:rPr>
              <w:t xml:space="preserve">Title: Founder &amp; Principal</w:t>
            </w:r>
          </w:p>
          <w:p>
            <w:r>
              <w:rPr>
                <w:rFonts w:ascii="Arial" w:cs="Arial" w:eastAsia="Arial" w:hAnsi="Arial"/>
                <w:color w:val="111111"/>
                <w:sz w:val="19"/>
                <w:szCs w:val="19"/>
              </w:rPr>
              <w:t xml:space="preserve">Company: HD Connex</w:t>
            </w:r>
          </w:p>
          <w:p>
            <w:pPr>
              <w:spacing w:after="60" w:before="0"/>
            </w:pPr>
          </w:p>
          <w:p>
            <w:pPr>
              <w:pBdr>
                <w:bottom w:val="single" w:color="111111" w:sz="6"/>
              </w:pBdr>
              <w:spacing w:after="60" w:before="140"/>
            </w:pPr>
          </w:p>
          <w:p>
            <w:r>
              <w:rPr>
                <w:rFonts w:ascii="Arial" w:cs="Arial" w:eastAsia="Arial" w:hAnsi="Arial"/>
                <w:color w:val="888888"/>
                <w:sz w:val="18"/>
                <w:szCs w:val="18"/>
              </w:rPr>
              <w:t xml:space="preserve">Date</w:t>
            </w:r>
          </w:p>
        </w:tc>
        <w:tc>
          <w:tcPr>
            <w:tcW w:type="dxa" w:w="360"/>
            <w:tcBorders>
              <w:top w:val="none" w:color="FFFFFF" w:sz="0"/>
              <w:left w:val="none" w:color="FFFFFF" w:sz="0"/>
              <w:bottom w:val="none" w:color="FFFFFF" w:sz="0"/>
              <w:right w:val="none" w:color="FFFFFF" w:sz="0"/>
            </w:tcBorders>
          </w:tcPr>
          <w:p>
            <w:pPr>
              <w:spacing w:after="100" w:before="0"/>
            </w:pPr>
          </w:p>
        </w:tc>
        <w:tc>
          <w:tcPr>
            <w:tcW w:type="dxa" w:w="4500"/>
            <w:tcBorders>
              <w:top w:val="none" w:color="FFFFFF" w:sz="0"/>
              <w:left w:val="none" w:color="FFFFFF" w:sz="0"/>
              <w:bottom w:val="none" w:color="FFFFFF" w:sz="0"/>
              <w:right w:val="none" w:color="FFFFFF" w:sz="0"/>
            </w:tcBorders>
          </w:tcPr>
          <w:p>
            <w:pPr>
              <w:pBdr>
                <w:bottom w:val="single" w:color="111111" w:sz="6"/>
              </w:pBdr>
              <w:spacing w:after="60" w:before="560"/>
            </w:pPr>
          </w:p>
          <w:p>
            <w:r>
              <w:rPr>
                <w:rFonts w:ascii="Arial" w:cs="Arial" w:eastAsia="Arial" w:hAnsi="Arial"/>
                <w:color w:val="888888"/>
                <w:sz w:val="18"/>
                <w:szCs w:val="18"/>
              </w:rPr>
              <w:t xml:space="preserve">Authorized Signature</w:t>
            </w:r>
          </w:p>
          <w:p>
            <w:pPr>
              <w:spacing w:after="60" w:before="0"/>
            </w:pPr>
          </w:p>
          <w:p>
            <w:pPr>
              <w:pBdr>
                <w:bottom w:val="single" w:color="111111" w:sz="6"/>
              </w:pBdr>
              <w:spacing w:after="60" w:before="140"/>
            </w:pPr>
          </w:p>
          <w:p>
            <w:r>
              <w:rPr>
                <w:rFonts w:ascii="Arial" w:cs="Arial" w:eastAsia="Arial" w:hAnsi="Arial"/>
                <w:b/>
                <w:bCs/>
                <w:color w:val="111111"/>
                <w:sz w:val="19"/>
                <w:szCs w:val="19"/>
              </w:rPr>
              <w:t xml:space="preserve">Name: Jake Merrick</w:t>
            </w:r>
          </w:p>
          <w:p>
            <w:r>
              <w:rPr>
                <w:rFonts w:ascii="Arial" w:cs="Arial" w:eastAsia="Arial" w:hAnsi="Arial"/>
                <w:color w:val="111111"/>
                <w:sz w:val="19"/>
                <w:szCs w:val="19"/>
              </w:rPr>
              <w:t xml:space="preserve">Title: Principal</w:t>
            </w:r>
          </w:p>
          <w:p>
            <w:r>
              <w:rPr>
                <w:rFonts w:ascii="Arial" w:cs="Arial" w:eastAsia="Arial" w:hAnsi="Arial"/>
                <w:color w:val="111111"/>
                <w:sz w:val="19"/>
                <w:szCs w:val="19"/>
              </w:rPr>
              <w:t xml:space="preserve">Company: JAM Media</w:t>
            </w:r>
          </w:p>
          <w:p>
            <w:pPr>
              <w:spacing w:after="60" w:before="0"/>
            </w:pPr>
          </w:p>
          <w:p>
            <w:pPr>
              <w:pBdr>
                <w:bottom w:val="single" w:color="111111" w:sz="6"/>
              </w:pBdr>
              <w:spacing w:after="60" w:before="140"/>
            </w:pPr>
          </w:p>
          <w:p>
            <w:r>
              <w:rPr>
                <w:rFonts w:ascii="Arial" w:cs="Arial" w:eastAsia="Arial" w:hAnsi="Arial"/>
                <w:color w:val="888888"/>
                <w:sz w:val="18"/>
                <w:szCs w:val="18"/>
              </w:rPr>
              <w:t xml:space="preserve">Date</w:t>
            </w:r>
          </w:p>
        </w:tc>
      </w:tr>
    </w:tbl>
    <w:p>
      <w:pPr>
        <w:spacing w:after="300" w:before="0"/>
      </w:pPr>
    </w:p>
    <w:p>
      <w:pPr>
        <w:pBdr>
          <w:bottom w:val="single" w:color="DDDDDD" w:sz="4" w:space="1"/>
        </w:pBdr>
        <w:spacing w:after="160" w:before="0"/>
      </w:pPr>
    </w:p>
    <w:p>
      <w:pPr>
        <w:spacing w:after="60" w:before="160"/>
      </w:pPr>
      <w:r>
        <w:rPr>
          <w:rFonts w:ascii="Arial" w:cs="Arial" w:eastAsia="Arial" w:hAnsi="Arial"/>
          <w:b/>
          <w:bCs/>
          <w:color w:val="111111"/>
          <w:sz w:val="19"/>
          <w:szCs w:val="19"/>
        </w:rPr>
        <w:t xml:space="preserve">HD Connex  |  Daytona Beach, Florida</w:t>
      </w:r>
      <w:r>
        <w:rPr>
          <w:rFonts w:ascii="Arial" w:cs="Arial" w:eastAsia="Arial" w:hAnsi="Arial"/>
          <w:color w:val="DDDDDD"/>
          <w:sz w:val="19"/>
          <w:szCs w:val="19"/>
        </w:rPr>
        <w:t xml:space="preserve">   |   </w:t>
      </w:r>
      <w:r>
        <w:rPr>
          <w:rFonts w:ascii="Arial" w:cs="Arial" w:eastAsia="Arial" w:hAnsi="Arial"/>
          <w:i/>
          <w:iCs/>
          <w:color w:val="888888"/>
          <w:sz w:val="18"/>
          <w:szCs w:val="18"/>
        </w:rPr>
        <w:t xml:space="preserve">Addendum A — Confidential. Do not distribute without authorization from both parties.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4"/>
      </w:pBdr>
      <w:spacing w:before="120"/>
    </w:pPr>
    <w:r>
      <w:rPr>
        <w:rFonts w:ascii="Arial" w:cs="Arial" w:eastAsia="Arial" w:hAnsi="Arial"/>
        <w:color w:val="888888"/>
        <w:sz w:val="17"/>
        <w:szCs w:val="17"/>
      </w:rPr>
      <w:t xml:space="preserve">HD Connex  |  Addendum A to Platform Development Agreement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spacing w:after="160" w:before="0"/>
    </w:pPr>
    <w:r>
      <w:rPr>
        <w:rFonts w:ascii="Arial" w:cs="Arial" w:eastAsia="Arial" w:hAnsi="Arial"/>
        <w:b/>
        <w:bCs/>
        <w:color w:val="111111"/>
        <w:sz w:val="18"/>
        <w:szCs w:val="18"/>
      </w:rPr>
      <w:t xml:space="preserve">HD CONNEX  //  JAM MEDIA</w:t>
    </w:r>
    <w:r>
      <w:rPr>
        <w:rFonts w:ascii="Arial" w:cs="Arial" w:eastAsia="Arial" w:hAnsi="Arial"/>
        <w:color w:val="888888"/>
        <w:sz w:val="18"/>
        <w:szCs w:val="18"/>
      </w:rPr>
      <w:t xml:space="preserve">   |   Addendum A — Retainer, Sliding Scale &amp; KPI Framework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2026-05-30T22:19:21.036Z</dcterms:created>
  <dcterms:modified xsi:type="dcterms:W3CDTF">2026-05-30T22:19:21.048Z</dcterms:modified>
</cp:coreProperties>
</file>

<file path=docProps/custom.xml><?xml version="1.0" encoding="utf-8"?>
<Properties xmlns="http://schemas.openxmlformats.org/officeDocument/2006/custom-properties" xmlns:vt="http://schemas.openxmlformats.org/officeDocument/2006/docPropsVTypes"/>
</file>