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medsystem-proposta-comercial-executiva"/>
    <w:p>
      <w:pPr>
        <w:pStyle w:val="Heading1"/>
      </w:pPr>
      <w:r>
        <w:t xml:space="preserve">MedSystem — Proposta Comercial Executiva</w:t>
      </w:r>
    </w:p>
    <w:p>
      <w:pPr>
        <w:pStyle w:val="FirstParagraph"/>
      </w:pPr>
      <w:r>
        <w:rPr>
          <w:b/>
          <w:bCs/>
        </w:rPr>
        <w:t xml:space="preserve">Documento Comercial — Resumo executivo para decisores</w:t>
      </w:r>
    </w:p>
    <w:p>
      <w:pPr>
        <w:pStyle w:val="BodyText"/>
      </w:pPr>
      <w:r>
        <w:rPr>
          <w:i/>
          <w:iCs/>
        </w:rPr>
        <w:t xml:space="preserve">Data do documento: agosto de 2026</w:t>
      </w:r>
    </w:p>
    <w:p>
      <w:r>
        <w:pict>
          <v:rect style="width:0;height:1.5pt" o:hralign="center" o:hrstd="t" o:hr="t"/>
        </w:pict>
      </w:r>
    </w:p>
    <w:bookmarkStart w:id="19" w:name="resumo-executivo"/>
    <w:p>
      <w:pPr>
        <w:pStyle w:val="Heading2"/>
      </w:pPr>
      <w:r>
        <w:t xml:space="preserve">1. Resumo executivo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b/>
          <w:bCs/>
        </w:rPr>
        <w:t xml:space="preserve">MedSystem</w:t>
      </w:r>
      <w:r>
        <w:t xml:space="preserve"> </w:t>
      </w:r>
      <w:r>
        <w:t xml:space="preserve">é um sistema clínico web que digitaliza o prontuário, organiza</w:t>
      </w:r>
      <w:r>
        <w:t xml:space="preserve"> </w:t>
      </w:r>
      <w:r>
        <w:t xml:space="preserve">a recepção e dá visibilidade gerencial à clínica,</w:t>
      </w:r>
      <w:r>
        <w:t xml:space="preserve"> </w:t>
      </w:r>
      <w:r>
        <w:rPr>
          <w:b/>
          <w:bCs/>
        </w:rPr>
        <w:t xml:space="preserve">integrado ao SPDATA</w:t>
      </w:r>
      <w:r>
        <w:t xml:space="preserve"> </w:t>
      </w:r>
      <w:r>
        <w:t xml:space="preserve">—</w:t>
      </w:r>
      <w:r>
        <w:t xml:space="preserve"> </w:t>
      </w:r>
      <w:r>
        <w:t xml:space="preserve">sem substituir o sistema de origem e sem perder o histórico existente.</w:t>
      </w:r>
    </w:p>
    <w:p>
      <w:pPr>
        <w:pStyle w:val="BodyText"/>
      </w:pPr>
      <w:r>
        <w:t xml:space="preserve">Ele resolve, de forma objetiva, três problemas de negócio: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Consultas perdidas (no-show)</w:t>
      </w:r>
      <w:r>
        <w:t xml:space="preserve"> </w:t>
      </w:r>
      <w:r>
        <w:t xml:space="preserve">— visibilidade das faltas, com motivos e</w:t>
      </w:r>
      <w:r>
        <w:t xml:space="preserve"> </w:t>
      </w:r>
      <w:r>
        <w:t xml:space="preserve">tendências;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Exames solicitados e não realizados</w:t>
      </w:r>
      <w:r>
        <w:t xml:space="preserve"> </w:t>
      </w:r>
      <w:r>
        <w:t xml:space="preserve">— acompanhamento e recuperação de</w:t>
      </w:r>
      <w:r>
        <w:t xml:space="preserve"> </w:t>
      </w:r>
      <w:r>
        <w:t xml:space="preserve">exames com valor estimado;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Retrabalho operacional</w:t>
      </w:r>
      <w:r>
        <w:t xml:space="preserve"> </w:t>
      </w:r>
      <w:r>
        <w:t xml:space="preserve">— agenda sincronizada, prontuário com modelos,</w:t>
      </w:r>
      <w:r>
        <w:t xml:space="preserve"> </w:t>
      </w:r>
      <w:r>
        <w:t xml:space="preserve">documentos médicos automáticos e painel de chamada com voz.</w:t>
      </w:r>
    </w:p>
    <w:p>
      <w:r>
        <w:pict>
          <v:rect style="width:0;height:1.5pt" o:hralign="center" o:hrstd="t" o:hr="t"/>
        </w:pict>
      </w:r>
    </w:p>
    <w:bookmarkEnd w:id="19"/>
    <w:bookmarkStart w:id="20" w:name="escopo-da-solução"/>
    <w:p>
      <w:pPr>
        <w:pStyle w:val="Heading2"/>
      </w:pPr>
      <w:r>
        <w:t xml:space="preserve">2. Escopo da solução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27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Módulo</w:t>
            </w:r>
          </w:p>
        </w:tc>
        <w:tc>
          <w:tcPr/>
          <w:p>
            <w:pPr>
              <w:pStyle w:val="Compact"/>
            </w:pPr>
            <w:r>
              <w:t xml:space="preserve">Entrega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Agenda e atendimento</w:t>
            </w:r>
          </w:p>
        </w:tc>
        <w:tc>
          <w:tcPr/>
          <w:p>
            <w:pPr>
              <w:pStyle w:val="Compact"/>
            </w:pPr>
            <w:r>
              <w:t xml:space="preserve">Agenda sincronizada do SPDATA, fila de espera, status do atendimento, dashboard do médico.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Prontuário eletrônico</w:t>
            </w:r>
          </w:p>
        </w:tc>
        <w:tc>
          <w:tcPr/>
          <w:p>
            <w:pPr>
              <w:pStyle w:val="Compact"/>
            </w:pPr>
            <w:r>
              <w:t xml:space="preserve">Anamnese, evolução com versionamento, CID-10, prescrição, solicitação de exames, rascunho automático.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Documentos médicos</w:t>
            </w:r>
          </w:p>
        </w:tc>
        <w:tc>
          <w:tcPr/>
          <w:p>
            <w:pPr>
              <w:pStyle w:val="Compact"/>
            </w:pPr>
            <w:r>
              <w:t xml:space="preserve">Atestado, encaminhamento, solicitação de procedimento e guia TISS com logo do convênio.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Recepção</w:t>
            </w:r>
          </w:p>
        </w:tc>
        <w:tc>
          <w:tcPr/>
          <w:p>
            <w:pPr>
              <w:pStyle w:val="Compact"/>
            </w:pPr>
            <w:r>
              <w:t xml:space="preserve">Visão consolidada do dia, check-in, filtros, resumo em tempo real, painel de chamada em TV com voz.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Gestão de faltas</w:t>
            </w:r>
          </w:p>
        </w:tc>
        <w:tc>
          <w:tcPr/>
          <w:p>
            <w:pPr>
              <w:pStyle w:val="Compact"/>
            </w:pPr>
            <w:r>
              <w:t xml:space="preserve">No-show com motivos, relatórios e gráficos por mês, especialidade e dia da semana.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Retenção de exames</w:t>
            </w:r>
          </w:p>
        </w:tc>
        <w:tc>
          <w:tcPr/>
          <w:p>
            <w:pPr>
              <w:pStyle w:val="Compact"/>
            </w:pPr>
            <w:r>
              <w:t xml:space="preserve">Acompanhamento de exames solicitados, status de realização, dias em aberto, valor estimado e indicadores.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Integrações</w:t>
            </w:r>
          </w:p>
        </w:tc>
        <w:tc>
          <w:tcPr/>
          <w:p>
            <w:pPr>
              <w:pStyle w:val="Compact"/>
            </w:pPr>
            <w:r>
              <w:t xml:space="preserve">SPDATA (agenda, atendimentos, pacientes, médicos, convênios, especialidades, exames, CID-10, logos TISS) e BioData (histórico de anamneses).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Administração</w:t>
            </w:r>
          </w:p>
        </w:tc>
        <w:tc>
          <w:tcPr/>
          <w:p>
            <w:pPr>
              <w:pStyle w:val="Compact"/>
            </w:pPr>
            <w:r>
              <w:t xml:space="preserve">Cadastro de unidades e usuários, importações de catálogos, multiunidade com um login.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escopo-de-implantação"/>
    <w:p>
      <w:pPr>
        <w:pStyle w:val="Heading2"/>
      </w:pPr>
      <w:r>
        <w:t xml:space="preserve">3. Escopo de implantação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Preparação</w:t>
      </w:r>
      <w:r>
        <w:t xml:space="preserve"> </w:t>
      </w:r>
      <w:r>
        <w:t xml:space="preserve">— levantamento do ambiente (SPDATA/Firebird e BioData/SQL</w:t>
      </w:r>
      <w:r>
        <w:t xml:space="preserve"> </w:t>
      </w:r>
      <w:r>
        <w:t xml:space="preserve">Server), definição das unidades, cadastro de administrador;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Importações de dados-base</w:t>
      </w:r>
      <w:r>
        <w:t xml:space="preserve"> </w:t>
      </w:r>
      <w:r>
        <w:t xml:space="preserve">— convênios, especialidades, exames,</w:t>
      </w:r>
      <w:r>
        <w:t xml:space="preserve"> </w:t>
      </w:r>
      <w:r>
        <w:t xml:space="preserve">procedimentos e logos TISS;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Cadastro de usuários</w:t>
      </w:r>
      <w:r>
        <w:t xml:space="preserve"> </w:t>
      </w:r>
      <w:r>
        <w:t xml:space="preserve">— admin, recepção e médicos (vinculados ao SPDATA);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Operação assistida</w:t>
      </w:r>
      <w:r>
        <w:t xml:space="preserve"> </w:t>
      </w:r>
      <w:r>
        <w:t xml:space="preserve">— acompanhamento do primeiro mês de uso com ajustes;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Treinamento</w:t>
      </w:r>
      <w:r>
        <w:t xml:space="preserve"> </w:t>
      </w:r>
      <w:r>
        <w:t xml:space="preserve">— recepção, médicos e administradores.</w:t>
      </w:r>
    </w:p>
    <w:p>
      <w:r>
        <w:pict>
          <v:rect style="width:0;height:1.5pt" o:hralign="center" o:hrstd="t" o:hr="t"/>
        </w:pict>
      </w:r>
    </w:p>
    <w:bookmarkEnd w:id="21"/>
    <w:bookmarkStart w:id="22" w:name="entregáveis"/>
    <w:p>
      <w:pPr>
        <w:pStyle w:val="Heading2"/>
      </w:pPr>
      <w:r>
        <w:t xml:space="preserve">4. Entregáveis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Detalhe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Sistema implantado</w:t>
            </w:r>
          </w:p>
        </w:tc>
        <w:tc>
          <w:tcPr/>
          <w:p>
            <w:pPr>
              <w:pStyle w:val="Compact"/>
            </w:pPr>
            <w:r>
              <w:t xml:space="preserve">Ambiente Docker (frontend, backend, MySQL, Redis, HTTPS) operando com o SPDATA do cliente.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Dados-base carregados</w:t>
            </w:r>
          </w:p>
        </w:tc>
        <w:tc>
          <w:tcPr/>
          <w:p>
            <w:pPr>
              <w:pStyle w:val="Compact"/>
            </w:pPr>
            <w:r>
              <w:t xml:space="preserve">Catálogos de convênios, especialidades, exames, procedimentos e logos TISS importados.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Usuários ativos</w:t>
            </w:r>
          </w:p>
        </w:tc>
        <w:tc>
          <w:tcPr/>
          <w:p>
            <w:pPr>
              <w:pStyle w:val="Compact"/>
            </w:pPr>
            <w:r>
              <w:t xml:space="preserve">Admin, recepção e médicos cadastrados e treinados.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Documentação</w:t>
            </w:r>
          </w:p>
        </w:tc>
        <w:tc>
          <w:tcPr/>
          <w:p>
            <w:pPr>
              <w:pStyle w:val="Compact"/>
            </w:pPr>
            <w:r>
              <w:t xml:space="preserve">Guia de deploy e documentação das tabelas/integrações fornecidos com o sistema.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responsabilidades-da-contratada"/>
    <w:p>
      <w:pPr>
        <w:pStyle w:val="Heading2"/>
      </w:pPr>
      <w:r>
        <w:t xml:space="preserve">5. Responsabilidades da contratada</w:t>
      </w:r>
    </w:p>
    <w:p>
      <w:pPr>
        <w:pStyle w:val="Compact"/>
        <w:numPr>
          <w:ilvl w:val="0"/>
          <w:numId w:val="1003"/>
        </w:numPr>
      </w:pPr>
      <w:r>
        <w:t xml:space="preserve">Implantar e configurar o sistema nos ambientes acordados;</w:t>
      </w:r>
    </w:p>
    <w:p>
      <w:pPr>
        <w:pStyle w:val="Compact"/>
        <w:numPr>
          <w:ilvl w:val="0"/>
          <w:numId w:val="1003"/>
        </w:numPr>
      </w:pPr>
      <w:r>
        <w:t xml:space="preserve">Realizar importações e cadastros iniciais;</w:t>
      </w:r>
    </w:p>
    <w:p>
      <w:pPr>
        <w:pStyle w:val="Compact"/>
        <w:numPr>
          <w:ilvl w:val="0"/>
          <w:numId w:val="1003"/>
        </w:numPr>
      </w:pPr>
      <w:r>
        <w:t xml:space="preserve">Treinar os usuários;</w:t>
      </w:r>
    </w:p>
    <w:p>
      <w:pPr>
        <w:pStyle w:val="Compact"/>
        <w:numPr>
          <w:ilvl w:val="0"/>
          <w:numId w:val="1003"/>
        </w:numPr>
      </w:pPr>
      <w:r>
        <w:t xml:space="preserve">Prestar suporte e manutenção conforme contrato;</w:t>
      </w:r>
    </w:p>
    <w:p>
      <w:pPr>
        <w:pStyle w:val="Compact"/>
        <w:numPr>
          <w:ilvl w:val="0"/>
          <w:numId w:val="1003"/>
        </w:numPr>
      </w:pPr>
      <w:r>
        <w:t xml:space="preserve">Corrigir defeitos identificados no escopo entregue.</w:t>
      </w:r>
    </w:p>
    <w:p>
      <w:r>
        <w:pict>
          <v:rect style="width:0;height:1.5pt" o:hralign="center" o:hrstd="t" o:hr="t"/>
        </w:pict>
      </w:r>
    </w:p>
    <w:bookmarkEnd w:id="23"/>
    <w:bookmarkStart w:id="24" w:name="responsabilidades-do-cliente"/>
    <w:p>
      <w:pPr>
        <w:pStyle w:val="Heading2"/>
      </w:pPr>
      <w:r>
        <w:t xml:space="preserve">6. Responsabilidades do cliente</w:t>
      </w:r>
    </w:p>
    <w:p>
      <w:pPr>
        <w:pStyle w:val="Compact"/>
        <w:numPr>
          <w:ilvl w:val="0"/>
          <w:numId w:val="1004"/>
        </w:numPr>
      </w:pPr>
      <w:r>
        <w:t xml:space="preserve">Disponibilizar acesso de rede ao SPDATA (Firebird) e ao BioData (SQL Server)</w:t>
      </w:r>
      <w:r>
        <w:t xml:space="preserve"> </w:t>
      </w:r>
      <w:r>
        <w:t xml:space="preserve">com credenciais de leitura;</w:t>
      </w:r>
    </w:p>
    <w:p>
      <w:pPr>
        <w:pStyle w:val="Compact"/>
        <w:numPr>
          <w:ilvl w:val="0"/>
          <w:numId w:val="1004"/>
        </w:numPr>
      </w:pPr>
      <w:r>
        <w:t xml:space="preserve">Disponibilizar um servidor (VPS ou on-premise) com recursos compatíveis;</w:t>
      </w:r>
    </w:p>
    <w:p>
      <w:pPr>
        <w:pStyle w:val="Compact"/>
        <w:numPr>
          <w:ilvl w:val="0"/>
          <w:numId w:val="1004"/>
        </w:numPr>
      </w:pPr>
      <w:r>
        <w:t xml:space="preserve">Indicar responsáveis para o cadastro e o treinamento;</w:t>
      </w:r>
    </w:p>
    <w:p>
      <w:pPr>
        <w:pStyle w:val="Compact"/>
        <w:numPr>
          <w:ilvl w:val="0"/>
          <w:numId w:val="1004"/>
        </w:numPr>
      </w:pPr>
      <w:r>
        <w:t xml:space="preserve">Manter o ambiente de origem estável e acessível durante a implantação.</w:t>
      </w:r>
    </w:p>
    <w:p>
      <w:r>
        <w:pict>
          <v:rect style="width:0;height:1.5pt" o:hralign="center" o:hrstd="t" o:hr="t"/>
        </w:pict>
      </w:r>
    </w:p>
    <w:bookmarkEnd w:id="24"/>
    <w:bookmarkStart w:id="25" w:name="premissas"/>
    <w:p>
      <w:pPr>
        <w:pStyle w:val="Heading2"/>
      </w:pPr>
      <w:r>
        <w:t xml:space="preserve">7. Premissas</w:t>
      </w:r>
    </w:p>
    <w:p>
      <w:pPr>
        <w:pStyle w:val="Compact"/>
        <w:numPr>
          <w:ilvl w:val="0"/>
          <w:numId w:val="1005"/>
        </w:numPr>
      </w:pPr>
      <w:r>
        <w:t xml:space="preserve">O SPDATA permanece como</w:t>
      </w:r>
      <w:r>
        <w:t xml:space="preserve"> </w:t>
      </w:r>
      <w:r>
        <w:rPr>
          <w:b/>
          <w:bCs/>
        </w:rPr>
        <w:t xml:space="preserve">fonte da verdade</w:t>
      </w:r>
      <w:r>
        <w:t xml:space="preserve"> </w:t>
      </w:r>
      <w:r>
        <w:t xml:space="preserve">para agenda, atendimentos,</w:t>
      </w:r>
      <w:r>
        <w:t xml:space="preserve"> </w:t>
      </w:r>
      <w:r>
        <w:t xml:space="preserve">pacientes e catálogos; o MedSystem espelha e consulta esses dados;</w:t>
      </w:r>
    </w:p>
    <w:p>
      <w:pPr>
        <w:pStyle w:val="Compact"/>
        <w:numPr>
          <w:ilvl w:val="0"/>
          <w:numId w:val="1005"/>
        </w:numPr>
      </w:pPr>
      <w:r>
        <w:t xml:space="preserve">O acesso ao SPDATA/BioData é de</w:t>
      </w:r>
      <w:r>
        <w:t xml:space="preserve"> </w:t>
      </w:r>
      <w:r>
        <w:rPr>
          <w:b/>
          <w:bCs/>
        </w:rPr>
        <w:t xml:space="preserve">leitura</w:t>
      </w:r>
      <w:r>
        <w:t xml:space="preserve"> </w:t>
      </w:r>
      <w:r>
        <w:t xml:space="preserve">(com comandos de importação</w:t>
      </w:r>
      <w:r>
        <w:t xml:space="preserve"> </w:t>
      </w:r>
      <w:r>
        <w:t xml:space="preserve">executados pela contratada quando necessário);</w:t>
      </w:r>
    </w:p>
    <w:p>
      <w:pPr>
        <w:pStyle w:val="Compact"/>
        <w:numPr>
          <w:ilvl w:val="0"/>
          <w:numId w:val="1005"/>
        </w:numPr>
      </w:pPr>
      <w:r>
        <w:t xml:space="preserve">Dados de laudo/resultado de exames e valores reais faturados dependem de</w:t>
      </w:r>
      <w:r>
        <w:t xml:space="preserve"> </w:t>
      </w:r>
      <w:r>
        <w:t xml:space="preserve">fontes ainda não mapeadas no SPDATA (ver documento de limitações).</w:t>
      </w:r>
    </w:p>
    <w:p>
      <w:r>
        <w:pict>
          <v:rect style="width:0;height:1.5pt" o:hralign="center" o:hrstd="t" o:hr="t"/>
        </w:pict>
      </w:r>
    </w:p>
    <w:bookmarkEnd w:id="25"/>
    <w:bookmarkStart w:id="26" w:name="itens-fora-do-escopo"/>
    <w:p>
      <w:pPr>
        <w:pStyle w:val="Heading2"/>
      </w:pPr>
      <w:r>
        <w:t xml:space="preserve">8. Itens fora do escopo</w:t>
      </w:r>
    </w:p>
    <w:p>
      <w:pPr>
        <w:pStyle w:val="Compact"/>
        <w:numPr>
          <w:ilvl w:val="0"/>
          <w:numId w:val="1006"/>
        </w:numPr>
      </w:pPr>
      <w:r>
        <w:t xml:space="preserve">Migração ou substituição do SPDATA;</w:t>
      </w:r>
    </w:p>
    <w:p>
      <w:pPr>
        <w:pStyle w:val="Compact"/>
        <w:numPr>
          <w:ilvl w:val="0"/>
          <w:numId w:val="1006"/>
        </w:numPr>
      </w:pPr>
      <w:r>
        <w:t xml:space="preserve">Alterações estruturais no banco de dados do SPDATA;</w:t>
      </w:r>
    </w:p>
    <w:p>
      <w:pPr>
        <w:pStyle w:val="Compact"/>
        <w:numPr>
          <w:ilvl w:val="0"/>
          <w:numId w:val="1006"/>
        </w:numPr>
      </w:pPr>
      <w:r>
        <w:t xml:space="preserve">Desenvolvimento de módulos não listados neste documento;</w:t>
      </w:r>
    </w:p>
    <w:p>
      <w:pPr>
        <w:pStyle w:val="Compact"/>
        <w:numPr>
          <w:ilvl w:val="0"/>
          <w:numId w:val="1006"/>
        </w:numPr>
      </w:pPr>
      <w:r>
        <w:t xml:space="preserve">Integrações com operadoras de planos de saúde além do que já é feito via</w:t>
      </w:r>
      <w:r>
        <w:t xml:space="preserve"> </w:t>
      </w:r>
      <w:r>
        <w:t xml:space="preserve">guia TISS;</w:t>
      </w:r>
    </w:p>
    <w:p>
      <w:pPr>
        <w:pStyle w:val="Compact"/>
        <w:numPr>
          <w:ilvl w:val="0"/>
          <w:numId w:val="1006"/>
        </w:numPr>
      </w:pPr>
      <w:r>
        <w:t xml:space="preserve">Auditoria ativa de todas as ações do sistema (estrutura prevista, porém</w:t>
      </w:r>
      <w:r>
        <w:t xml:space="preserve"> </w:t>
      </w:r>
      <w:r>
        <w:t xml:space="preserve">ainda não totalmente conectada ao fluxo).</w:t>
      </w:r>
    </w:p>
    <w:p>
      <w:r>
        <w:pict>
          <v:rect style="width:0;height:1.5pt" o:hralign="center" o:hrstd="t" o:hr="t"/>
        </w:pict>
      </w:r>
    </w:p>
    <w:bookmarkEnd w:id="26"/>
    <w:bookmarkStart w:id="27" w:name="cronograma"/>
    <w:p>
      <w:pPr>
        <w:pStyle w:val="Heading2"/>
      </w:pPr>
      <w:r>
        <w:t xml:space="preserve">9. Cronograma</w:t>
      </w:r>
    </w:p>
    <w:p>
      <w:pPr>
        <w:pStyle w:val="FirstParagraph"/>
      </w:pPr>
      <w:r>
        <w:rPr>
          <w:b/>
          <w:bCs/>
        </w:rPr>
        <w:t xml:space="preserve">Investimento: A definir.</w:t>
      </w:r>
    </w:p>
    <w:p>
      <w:pPr>
        <w:pStyle w:val="BodyText"/>
      </w:pPr>
      <w:r>
        <w:t xml:space="preserve">O cronograma típico, em fases, pode ser planejado em conjunto após o</w:t>
      </w:r>
      <w:r>
        <w:t xml:space="preserve"> </w:t>
      </w:r>
      <w:r>
        <w:t xml:space="preserve">levantamento do ambiente: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Duração estimada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Preparação e levantamento</w:t>
            </w:r>
          </w:p>
        </w:tc>
        <w:tc>
          <w:tcPr/>
          <w:p>
            <w:pPr>
              <w:pStyle w:val="Compact"/>
            </w:pPr>
            <w:r>
              <w:t xml:space="preserve">1 semana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Implantação e importações</w:t>
            </w:r>
          </w:p>
        </w:tc>
        <w:tc>
          <w:tcPr/>
          <w:p>
            <w:pPr>
              <w:pStyle w:val="Compact"/>
            </w:pPr>
            <w:r>
              <w:t xml:space="preserve">1 a 2 semanas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Treinamento</w:t>
            </w:r>
          </w:p>
        </w:tc>
        <w:tc>
          <w:tcPr/>
          <w:p>
            <w:pPr>
              <w:pStyle w:val="Compact"/>
            </w:pPr>
            <w:r>
              <w:t xml:space="preserve">1 semana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Operação assistida</w:t>
            </w:r>
          </w:p>
        </w:tc>
        <w:tc>
          <w:tcPr/>
          <w:p>
            <w:pPr>
              <w:pStyle w:val="Compact"/>
            </w:pPr>
            <w:r>
              <w:t xml:space="preserve">4 semanas</w:t>
            </w:r>
          </w:p>
        </w:tc>
      </w:tr>
    </w:tbl>
    <w:p>
      <w:pPr>
        <w:pStyle w:val="BlockText"/>
      </w:pPr>
      <w:r>
        <w:t xml:space="preserve">O cronograma exato depende do número de unidades, médicos e da</w:t>
      </w:r>
      <w:r>
        <w:t xml:space="preserve"> </w:t>
      </w:r>
      <w:r>
        <w:t xml:space="preserve">disponibilidade dos acessos pelo cliente.</w:t>
      </w:r>
    </w:p>
    <w:p>
      <w:r>
        <w:pict>
          <v:rect style="width:0;height:1.5pt" o:hralign="center" o:hrstd="t" o:hr="t"/>
        </w:pict>
      </w:r>
    </w:p>
    <w:bookmarkEnd w:id="27"/>
    <w:bookmarkStart w:id="28" w:name="investimento-e-condições-comerciais"/>
    <w:p>
      <w:pPr>
        <w:pStyle w:val="Heading2"/>
      </w:pPr>
      <w:r>
        <w:t xml:space="preserve">10. Investimento e condições comerciais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Licenciamento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definir</w:t>
            </w:r>
            <w:r>
              <w:t xml:space="preserve"> </w:t>
            </w:r>
            <w:r>
              <w:t xml:space="preserve">em negociação comercial (modalidade mensal por unidade/usuário ou proposta fixa).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Implantação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definir</w:t>
            </w:r>
            <w:r>
              <w:t xml:space="preserve"> </w:t>
            </w:r>
            <w:r>
              <w:t xml:space="preserve">conforme escopo e ambiente.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Suporte e manutenção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definir</w:t>
            </w:r>
            <w:r>
              <w:t xml:space="preserve"> </w:t>
            </w:r>
            <w:r>
              <w:t xml:space="preserve">(nível de SLA e canal de atendimento).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Condições de pagamento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definir</w:t>
            </w:r>
            <w:r>
              <w:t xml:space="preserve"> </w:t>
            </w:r>
            <w:r>
              <w:t xml:space="preserve">em negociação comercial.</w:t>
            </w:r>
          </w:p>
        </w:tc>
      </w:tr>
    </w:tbl>
    <w:p>
      <w:pPr>
        <w:pStyle w:val="BlockText"/>
      </w:pPr>
      <w:r>
        <w:t xml:space="preserve">Nenhum valor é apresentado neste documento. A proposta comercial detalhada</w:t>
      </w:r>
      <w:r>
        <w:t xml:space="preserve"> </w:t>
      </w:r>
      <w:r>
        <w:t xml:space="preserve">deve ser emitida após o levantamento do ambiente e o alinhamento do escopo.</w:t>
      </w:r>
    </w:p>
    <w:p>
      <w:r>
        <w:pict>
          <v:rect style="width:0;height:1.5pt" o:hralign="center" o:hrstd="t" o:hr="t"/>
        </w:pict>
      </w:r>
    </w:p>
    <w:bookmarkEnd w:id="28"/>
    <w:bookmarkStart w:id="29" w:name="por-que-o-medsystem"/>
    <w:p>
      <w:pPr>
        <w:pStyle w:val="Heading2"/>
      </w:pPr>
      <w:r>
        <w:t xml:space="preserve">11. Por que o MedSystem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Critério</w:t>
            </w:r>
          </w:p>
        </w:tc>
        <w:tc>
          <w:tcPr/>
          <w:p>
            <w:pPr>
              <w:pStyle w:val="Compact"/>
            </w:pPr>
            <w:r>
              <w:t xml:space="preserve">Resposta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Para clínicas com SPDATA</w:t>
            </w:r>
          </w:p>
        </w:tc>
        <w:tc>
          <w:tcPr/>
          <w:p>
            <w:pPr>
              <w:pStyle w:val="Compact"/>
            </w:pPr>
            <w:r>
              <w:t xml:space="preserve">Aproveita o investimento existente, sem migração de dados.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Para a gestão</w:t>
            </w:r>
          </w:p>
        </w:tc>
        <w:tc>
          <w:tcPr/>
          <w:p>
            <w:pPr>
              <w:pStyle w:val="Compact"/>
            </w:pPr>
            <w:r>
              <w:t xml:space="preserve">Faltas e exames não realizados deixam de ser invisíveis — viram painéis com valor estimado.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Para o médico</w:t>
            </w:r>
          </w:p>
        </w:tc>
        <w:tc>
          <w:tcPr/>
          <w:p>
            <w:pPr>
              <w:pStyle w:val="Compact"/>
            </w:pPr>
            <w:r>
              <w:t xml:space="preserve">Consulta mais rápida, documentos automáticos e histórico do paciente na tela.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Para a recepção</w:t>
            </w:r>
          </w:p>
        </w:tc>
        <w:tc>
          <w:tcPr/>
          <w:p>
            <w:pPr>
              <w:pStyle w:val="Compact"/>
            </w:pPr>
            <w:r>
              <w:t xml:space="preserve">Um sistema único para o dia inteiro, com painel de chamada moderno.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Para a operação</w:t>
            </w:r>
          </w:p>
        </w:tc>
        <w:tc>
          <w:tcPr/>
          <w:p>
            <w:pPr>
              <w:pStyle w:val="Compact"/>
            </w:pPr>
            <w:r>
              <w:t xml:space="preserve">Deploy com Docker e documentação técnica incluída.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1" w:name="próximos-passos"/>
    <w:p>
      <w:pPr>
        <w:pStyle w:val="Heading2"/>
      </w:pPr>
      <w:r>
        <w:t xml:space="preserve">12. Próximos passos</w:t>
      </w:r>
    </w:p>
    <w:p>
      <w:pPr>
        <w:pStyle w:val="Compact"/>
        <w:numPr>
          <w:ilvl w:val="0"/>
          <w:numId w:val="1007"/>
        </w:numPr>
      </w:pPr>
      <w:r>
        <w:t xml:space="preserve">Agendar demonstração do sistema;</w:t>
      </w:r>
    </w:p>
    <w:p>
      <w:pPr>
        <w:pStyle w:val="Compact"/>
        <w:numPr>
          <w:ilvl w:val="0"/>
          <w:numId w:val="1007"/>
        </w:numPr>
      </w:pPr>
      <w:r>
        <w:t xml:space="preserve">Realizar levantamento do ambiente (SPDATA, BioData, rede e servidor);</w:t>
      </w:r>
    </w:p>
    <w:p>
      <w:pPr>
        <w:pStyle w:val="Compact"/>
        <w:numPr>
          <w:ilvl w:val="0"/>
          <w:numId w:val="1007"/>
        </w:numPr>
      </w:pPr>
      <w:r>
        <w:t xml:space="preserve">Definir cronograma e valores;</w:t>
      </w:r>
    </w:p>
    <w:p>
      <w:pPr>
        <w:pStyle w:val="Compact"/>
        <w:numPr>
          <w:ilvl w:val="0"/>
          <w:numId w:val="1007"/>
        </w:numPr>
      </w:pPr>
      <w:r>
        <w:t xml:space="preserve">Iniciar a implantação em fases.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Voltar ao</w:t>
      </w:r>
      <w:r>
        <w:rPr>
          <w:i/>
          <w:iCs/>
        </w:rPr>
        <w:t xml:space="preserve"> </w:t>
      </w:r>
      <w:hyperlink r:id="rId30">
        <w:r>
          <w:rPr>
            <w:rStyle w:val="Hyperlink"/>
            <w:i/>
            <w:iCs/>
          </w:rPr>
          <w:t xml:space="preserve">índice</w:t>
        </w:r>
      </w:hyperlink>
    </w:p>
    <w:bookmarkEnd w:id="31"/>
    <w:bookmarkEnd w:id="32"/>
    <w:sectPr>
      <w:headerReference r:id="rId9" w:type="default"/>
      <w:footerReference r:id="rId10" w:type="default"/>
      <w:footnotePr>
        <w:numRestart w:val="eachSect"/>
      </w:footnotePr>
      <w:pgSz w:h="16838" w:w="11906"/>
      <w:pgMar w:bottom="1247" w:left="1417" w:right="1417" w:top="1247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808080"/>
        <w:sz w:val="18"/>
      </w:rPr>
      <w:t xml:space="preserve">Página </w:t>
    </w:r>
    <w:r>
      <w:fldChar w:fldCharType="begin"/>
    </w:r>
    <w:r>
      <w:instrText xml:space="preserve"> PAGE </w:instrText>
    </w:r>
    <w:r>
      <w:fldChar w:fldCharType="end"/>
    </w:r>
    <w:r>
      <w:rPr>
        <w:color w:val="808080"/>
        <w:sz w:val="18"/>
      </w:rPr>
      <w:t xml:space="preserve"> de </w:t>
    </w:r>
    <w:r>
      <w:fldChar w:fldCharType="begin"/>
    </w:r>
    <w:r>
      <w:instrText xml:space="preserve"> NUMPAGES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BFBFBF"/>
      </w:pBdr>
    </w:pPr>
    <w:r/>
    <w:r>
      <w:rPr>
        <w:color w:val="808080"/>
        <w:sz w:val="18"/>
      </w:rPr>
      <w:t>MedSystem — Documentação Comercial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276" w:lineRule="auto"/>
    </w:pPr>
    <w:rPr>
      <w:rFonts w:ascii="Calibri" w:eastAsia="Calibri" w:hAnsi="Calibri"/>
      <w:color w:val="262626"/>
      <w:sz w:val="22"/>
    </w:rPr>
  </w:style>
  <w:style w:styleId="BodyText" w:type="paragraph">
    <w:name w:val="Body Text"/>
    <w:basedOn w:val="Normal"/>
    <w:link w:val="BodyTextChar"/>
    <w:qFormat/>
    <w:pPr>
      <w:spacing w:after="160" w:before="180" w:line="276" w:lineRule="auto"/>
    </w:pPr>
    <w:rPr>
      <w:rFonts w:ascii="Calibri" w:eastAsia="Calibri" w:hAnsi="Calibri"/>
      <w:color w:val="262626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160" w:line="276" w:lineRule="auto"/>
    </w:pPr>
    <w:rPr>
      <w:rFonts w:ascii="Calibri" w:eastAsia="Calibri" w:hAnsi="Calibri"/>
      <w:color w:val="262626"/>
      <w:sz w:val="22"/>
    </w:rPr>
  </w:style>
  <w:style w:customStyle="1" w:styleId="Compact" w:type="paragraph">
    <w:name w:val="Compact"/>
    <w:basedOn w:val="BodyText"/>
    <w:qFormat/>
    <w:pPr>
      <w:spacing w:after="40" w:before="36" w:line="264" w:lineRule="auto"/>
    </w:pPr>
    <w:rPr>
      <w:rFonts w:ascii="Calibri" w:eastAsia="Calibri" w:hAnsi="Calibri"/>
      <w:color w:val="262626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240" w:before="0" w:line="240" w:lineRule="auto"/>
      <w:contextualSpacing/>
      <w:jc w:val="center"/>
    </w:pPr>
    <w:rPr>
      <w:rFonts w:ascii="Calibri Light" w:asciiTheme="majorHAnsi" w:cstheme="majorBidi" w:eastAsia="Calibri Light" w:eastAsiaTheme="majorEastAsia" w:hAnsi="Calibri Light" w:hAnsiTheme="majorHAnsi"/>
      <w:b/>
      <w:color w:val="1F4E79"/>
      <w:sz w:val="8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color w:val="1F4E79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360" w:before="0"/>
    </w:pPr>
    <w:rPr>
      <w:rFonts w:ascii="Calibri Light" w:cstheme="majorBidi" w:eastAsia="Calibri Light" w:eastAsiaTheme="majorEastAsia" w:hAnsi="Calibri Light"/>
      <w:color w:val="404040"/>
      <w:spacing w:val="15"/>
      <w:sz w:val="32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40404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spacing w:after="40"/>
    </w:pPr>
    <w:rPr>
      <w:rFonts w:ascii="Calibri" w:eastAsia="Calibri" w:hAnsi="Calibri"/>
      <w:color w:val="404040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  <w:spacing w:after="40"/>
    </w:pPr>
    <w:rPr>
      <w:rFonts w:ascii="Calibri" w:eastAsia="Calibri" w:hAnsi="Calibri"/>
      <w:color w:val="404040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520"/>
      <w:outlineLvl w:val="0"/>
    </w:pPr>
    <w:rPr>
      <w:rFonts w:ascii="Calibri Light" w:asciiTheme="majorHAnsi" w:cstheme="majorBidi" w:eastAsia="Calibri Light" w:eastAsiaTheme="majorEastAsia" w:hAnsi="Calibri Light" w:hAnsiTheme="majorHAnsi"/>
      <w:b/>
      <w:color w:val="1F4E79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360"/>
      <w:outlineLvl w:val="1"/>
    </w:pPr>
    <w:rPr>
      <w:rFonts w:ascii="Calibri Light" w:asciiTheme="majorHAnsi" w:cstheme="majorBidi" w:eastAsia="Calibri Light" w:eastAsiaTheme="majorEastAsia" w:hAnsi="Calibri Light" w:hAnsiTheme="majorHAnsi"/>
      <w:b/>
      <w:color w:val="1F4E79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280"/>
      <w:outlineLvl w:val="2"/>
    </w:pPr>
    <w:rPr>
      <w:rFonts w:ascii="Calibri Light" w:cstheme="majorBidi" w:eastAsia="Calibri Light" w:eastAsiaTheme="majorEastAsia" w:hAnsi="Calibri Light"/>
      <w:b/>
      <w:color w:val="2E74B5"/>
      <w:sz w:val="26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200"/>
      <w:outlineLvl w:val="3"/>
    </w:pPr>
    <w:rPr>
      <w:rFonts w:ascii="Calibri" w:cstheme="majorBidi" w:eastAsia="Calibri" w:eastAsiaTheme="majorEastAsia" w:hAnsi="Calibri"/>
      <w:b/>
      <w:i/>
      <w:iCs/>
      <w:color w:val="2E74B5"/>
      <w:sz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80" w:before="200"/>
      <w:outlineLvl w:val="4"/>
    </w:pPr>
    <w:rPr>
      <w:rFonts w:ascii="Calibri" w:cstheme="majorBidi" w:eastAsia="Calibri" w:eastAsiaTheme="majorEastAsia" w:hAnsi="Calibri"/>
      <w:b/>
      <w:i/>
      <w:color w:val="2E74B5"/>
      <w:sz w:val="24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80" w:before="200"/>
      <w:outlineLvl w:val="5"/>
    </w:pPr>
    <w:rPr>
      <w:rFonts w:ascii="Calibri" w:cstheme="majorBidi" w:eastAsia="Calibri" w:eastAsiaTheme="majorEastAsia" w:hAnsi="Calibri"/>
      <w:b/>
      <w:i/>
      <w:iCs/>
      <w:color w:val="2E74B5"/>
      <w:sz w:val="24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80" w:before="200"/>
      <w:outlineLvl w:val="6"/>
    </w:pPr>
    <w:rPr>
      <w:rFonts w:ascii="Calibri" w:cstheme="majorBidi" w:eastAsia="Calibri" w:eastAsiaTheme="majorEastAsia" w:hAnsi="Calibri"/>
      <w:b/>
      <w:i/>
      <w:color w:val="2E74B5"/>
      <w:sz w:val="24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80" w:before="200"/>
      <w:outlineLvl w:val="7"/>
    </w:pPr>
    <w:rPr>
      <w:rFonts w:ascii="Calibri" w:cstheme="majorBidi" w:eastAsia="Calibri" w:eastAsiaTheme="majorEastAsia" w:hAnsi="Calibri"/>
      <w:b/>
      <w:i/>
      <w:iCs/>
      <w:color w:val="2E74B5"/>
      <w:sz w:val="24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80" w:before="200"/>
      <w:outlineLvl w:val="8"/>
    </w:pPr>
    <w:rPr>
      <w:rFonts w:ascii="Calibri" w:cstheme="majorBidi" w:eastAsia="Calibri" w:eastAsiaTheme="majorEastAsia" w:hAnsi="Calibri"/>
      <w:b/>
      <w:i/>
      <w:color w:val="2E74B5"/>
      <w:sz w:val="24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1F4E79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val="1F4E79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val="2E74B5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eastAsia="Calibri" w:hAnsi="Calibri"/>
      <w:color w:val="404040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Calibri" w:eastAsia="Calibri" w:hAnsi="Calibri"/>
      <w:i/>
      <w:color w:val="404040"/>
      <w:sz w:val="20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563C1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after="240" w:before="0" w:line="259" w:lineRule="auto"/>
      <w:outlineLvl w:val="9"/>
    </w:pPr>
    <w:rPr>
      <w:rFonts w:ascii="Calibri Light" w:asciiTheme="majorHAnsi" w:cstheme="majorBidi" w:eastAsia="Calibri Light" w:eastAsiaTheme="majorEastAsia" w:hAnsi="Calibri Light" w:hAnsiTheme="majorHAnsi"/>
      <w:b/>
      <w:bCs w:val="0"/>
      <w:color w:val="1F4E79"/>
      <w:sz w:val="36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hyperlink" Id="rId30" Target="./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./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2026-08-11T22:50:12Z</dcterms:created>
  <dcterms:modified xsi:type="dcterms:W3CDTF">2026-08-11T22:50:12Z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