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</w:t>
      </w:r>
      <w:r w:rsidR="00D1472B">
        <w:lastRenderedPageBreak/>
        <w:t>类型，则丢包。</w:t>
      </w:r>
      <w:bookmarkStart w:id="0" w:name="_GoBack"/>
      <w:bookmarkEnd w:id="0"/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135787" w:rsidP="003F182B">
      <w:pPr>
        <w:spacing w:line="360" w:lineRule="auto"/>
        <w:ind w:firstLineChars="200" w:firstLine="420"/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Pr="006F32FE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sectPr w:rsidR="00031D3B" w:rsidRPr="006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EBA" w:rsidRDefault="00131EBA" w:rsidP="00247536">
      <w:r>
        <w:separator/>
      </w:r>
    </w:p>
  </w:endnote>
  <w:endnote w:type="continuationSeparator" w:id="0">
    <w:p w:rsidR="00131EBA" w:rsidRDefault="00131EBA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EBA" w:rsidRDefault="00131EBA" w:rsidP="00247536">
      <w:r>
        <w:separator/>
      </w:r>
    </w:p>
  </w:footnote>
  <w:footnote w:type="continuationSeparator" w:id="0">
    <w:p w:rsidR="00131EBA" w:rsidRDefault="00131EBA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31D3B"/>
    <w:rsid w:val="00033E27"/>
    <w:rsid w:val="00050504"/>
    <w:rsid w:val="000B2C8C"/>
    <w:rsid w:val="000D7AE4"/>
    <w:rsid w:val="0010063C"/>
    <w:rsid w:val="00103F4E"/>
    <w:rsid w:val="001168F7"/>
    <w:rsid w:val="00131EBA"/>
    <w:rsid w:val="00135787"/>
    <w:rsid w:val="00154F4C"/>
    <w:rsid w:val="00186026"/>
    <w:rsid w:val="001A3A67"/>
    <w:rsid w:val="001C0DFF"/>
    <w:rsid w:val="001F03B9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C4809"/>
    <w:rsid w:val="00587462"/>
    <w:rsid w:val="005B532E"/>
    <w:rsid w:val="005D0B6D"/>
    <w:rsid w:val="00612EEC"/>
    <w:rsid w:val="00625409"/>
    <w:rsid w:val="00627550"/>
    <w:rsid w:val="0065726E"/>
    <w:rsid w:val="006F32FE"/>
    <w:rsid w:val="006F6170"/>
    <w:rsid w:val="00714E46"/>
    <w:rsid w:val="007369AF"/>
    <w:rsid w:val="00754A22"/>
    <w:rsid w:val="00773C2F"/>
    <w:rsid w:val="00787C05"/>
    <w:rsid w:val="007E7E5B"/>
    <w:rsid w:val="00845023"/>
    <w:rsid w:val="008B1677"/>
    <w:rsid w:val="00945560"/>
    <w:rsid w:val="009500CA"/>
    <w:rsid w:val="00951209"/>
    <w:rsid w:val="00993F78"/>
    <w:rsid w:val="009B29B7"/>
    <w:rsid w:val="00A23A25"/>
    <w:rsid w:val="00A40A20"/>
    <w:rsid w:val="00AA4E6A"/>
    <w:rsid w:val="00B35358"/>
    <w:rsid w:val="00B642BC"/>
    <w:rsid w:val="00BA636C"/>
    <w:rsid w:val="00BA76A3"/>
    <w:rsid w:val="00C21470"/>
    <w:rsid w:val="00C247B8"/>
    <w:rsid w:val="00C24CF1"/>
    <w:rsid w:val="00C3539A"/>
    <w:rsid w:val="00C464D5"/>
    <w:rsid w:val="00C60A50"/>
    <w:rsid w:val="00C768B9"/>
    <w:rsid w:val="00CD2A61"/>
    <w:rsid w:val="00CF4B76"/>
    <w:rsid w:val="00D1472B"/>
    <w:rsid w:val="00D3247E"/>
    <w:rsid w:val="00DB6D93"/>
    <w:rsid w:val="00DC6448"/>
    <w:rsid w:val="00E30471"/>
    <w:rsid w:val="00E419C0"/>
    <w:rsid w:val="00E60969"/>
    <w:rsid w:val="00E8129E"/>
    <w:rsid w:val="00E84AD7"/>
    <w:rsid w:val="00F40615"/>
    <w:rsid w:val="00F728B3"/>
    <w:rsid w:val="00F8117E"/>
    <w:rsid w:val="00F9445F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B1A5-7B63-466F-A024-5DAD9DEE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331</cp:revision>
  <dcterms:created xsi:type="dcterms:W3CDTF">2015-02-25T08:27:00Z</dcterms:created>
  <dcterms:modified xsi:type="dcterms:W3CDTF">2015-02-26T09:18:00Z</dcterms:modified>
</cp:coreProperties>
</file>