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698" w:rsidRDefault="00921A33" w:rsidP="00A40698">
      <w:pPr>
        <w:pStyle w:val="Title"/>
      </w:pPr>
      <w:r>
        <w:t xml:space="preserve">RFC: Reserved Characters for HDF5 Applications </w:t>
      </w:r>
    </w:p>
    <w:p w:rsidR="00A40698" w:rsidRDefault="00921A33" w:rsidP="00A40698">
      <w:pPr>
        <w:pStyle w:val="Author"/>
      </w:pPr>
      <w:r>
        <w:t>Peter Cao</w:t>
      </w:r>
    </w:p>
    <w:p w:rsidR="00A40698" w:rsidRDefault="00A40698" w:rsidP="00A40698">
      <w:pPr>
        <w:pStyle w:val="Author"/>
      </w:pPr>
    </w:p>
    <w:p w:rsidR="00A40698" w:rsidRPr="006000D5" w:rsidRDefault="00A40698" w:rsidP="00A40698">
      <w:pPr>
        <w:pStyle w:val="Author"/>
      </w:pPr>
    </w:p>
    <w:p w:rsidR="00A40698" w:rsidRDefault="00921A33" w:rsidP="00A40698">
      <w:pPr>
        <w:pStyle w:val="Abstract"/>
      </w:pPr>
      <w:r>
        <w:t>This document recommends a set of reserved characters for use by HDF5 applications. The HDF5 library does not have any restrictions on characters that can be used in link or attribute names, except that the forward slash, ‘/’, is reserved for use as a separator between link names in paths. This flexibility creates challenges for HDF5 applications, especially HDF5 command-line utilities, where different components of HDF5 files often need to be separated from each other on the command line or in output. In this document, we propose a set of characters that would be reserved for use by HDF5 applications.</w:t>
      </w:r>
    </w:p>
    <w:p w:rsidR="00A40698" w:rsidRPr="00913E2A" w:rsidRDefault="00A40698" w:rsidP="00A40698">
      <w:pPr>
        <w:pStyle w:val="Divider"/>
      </w:pPr>
    </w:p>
    <w:p w:rsidR="00A40698" w:rsidRDefault="00921A33" w:rsidP="00A40698">
      <w:pPr>
        <w:pStyle w:val="Heading1"/>
      </w:pPr>
      <w:r>
        <w:t xml:space="preserve">Introduction    </w:t>
      </w:r>
    </w:p>
    <w:p w:rsidR="00A40698" w:rsidRDefault="00921A33" w:rsidP="00025747">
      <w:r>
        <w:t xml:space="preserve">The HDF5 format does not impose any restrictions on characters that can be used in link names or attribute names, except that the forward slash, ‘/’, is reserved for use as a separator between link names in paths. This policy gives users great flexibility in the names they use in HDF5 files. At the same time, it also creates problems for applications.  </w:t>
      </w:r>
    </w:p>
    <w:p w:rsidR="00A40698" w:rsidRDefault="00921A33" w:rsidP="00A40698">
      <w:r>
        <w:t xml:space="preserve">The issue of appropriate separators has been discussed numerous times for various HDF5 </w:t>
      </w:r>
      <w:r w:rsidR="003062F6">
        <w:t>utilities</w:t>
      </w:r>
      <w:r>
        <w:t>, such as h5watch</w:t>
      </w:r>
      <w:r w:rsidR="00E548BC">
        <w:t xml:space="preserve"> and</w:t>
      </w:r>
      <w:r>
        <w:t xml:space="preserve">h5diff, and </w:t>
      </w:r>
      <w:r w:rsidR="00E548BC">
        <w:t xml:space="preserve">other products built on HDF5, such as </w:t>
      </w:r>
      <w:r>
        <w:t xml:space="preserve">the hdf-java products. Reserving a set of characters that will be used consistently by HDF5 applications seems to be the best possible solution. </w:t>
      </w:r>
    </w:p>
    <w:p w:rsidR="00A40698" w:rsidRPr="00633649" w:rsidRDefault="00921A33" w:rsidP="00A40698">
      <w:pPr>
        <w:pStyle w:val="Heading1"/>
      </w:pPr>
      <w:r>
        <w:t>Reserved Characters for HDF5 Applications</w:t>
      </w:r>
      <w:r w:rsidR="007379D6">
        <w:t xml:space="preserve"> and products built on HDF5</w:t>
      </w:r>
    </w:p>
    <w:p w:rsidR="00A40698" w:rsidRDefault="00921A33" w:rsidP="00A40698">
      <w:r>
        <w:t>Table 1 shows the set of c</w:t>
      </w:r>
      <w:r w:rsidRPr="00347879">
        <w:t xml:space="preserve">haracters we </w:t>
      </w:r>
      <w:r>
        <w:t xml:space="preserve">are recommending be reserved for use by the HDF5 utilities and other </w:t>
      </w:r>
      <w:r w:rsidR="007379D6">
        <w:t xml:space="preserve">products built on </w:t>
      </w:r>
      <w:r>
        <w:t xml:space="preserve">HDF5. </w:t>
      </w:r>
      <w:r w:rsidR="007379D6">
        <w:t>The reserved characters will applied to both the inputs for command-line options and the output from the HDF5 utilities or other applications</w:t>
      </w:r>
      <w:r w:rsidR="008B68E6">
        <w:t xml:space="preserve"> if applicable</w:t>
      </w:r>
      <w:r w:rsidR="007379D6">
        <w:t>.</w:t>
      </w:r>
    </w:p>
    <w:p w:rsidR="00A40698" w:rsidRDefault="00921A33" w:rsidP="001E4CD6">
      <w:pPr>
        <w:pStyle w:val="TableCaption"/>
      </w:pPr>
      <w:r>
        <w:t xml:space="preserve">Table </w:t>
      </w:r>
      <w:r w:rsidR="006106EE">
        <w:fldChar w:fldCharType="begin"/>
      </w:r>
      <w:r>
        <w:instrText xml:space="preserve"> SEQ Table \* ARABIC </w:instrText>
      </w:r>
      <w:r w:rsidR="006106EE">
        <w:fldChar w:fldCharType="separate"/>
      </w:r>
      <w:r>
        <w:rPr>
          <w:noProof/>
        </w:rPr>
        <w:t>1</w:t>
      </w:r>
      <w:r w:rsidR="006106EE">
        <w:fldChar w:fldCharType="end"/>
      </w:r>
      <w:r>
        <w:t xml:space="preserve"> -- Characters reserved for HDF5 Applications</w:t>
      </w:r>
    </w:p>
    <w:tbl>
      <w:tblPr>
        <w:tblStyle w:val="LightList-Accent3"/>
        <w:tblW w:w="10008" w:type="dxa"/>
        <w:tblBorders>
          <w:top w:val="single" w:sz="18" w:space="0" w:color="9BBB59" w:themeColor="accent3"/>
          <w:bottom w:val="single" w:sz="18" w:space="0" w:color="9BBB59" w:themeColor="accent3"/>
          <w:insideH w:val="single" w:sz="8" w:space="0" w:color="9BBB59" w:themeColor="accent3"/>
          <w:insideV w:val="single" w:sz="8" w:space="0" w:color="9BBB59" w:themeColor="accent3"/>
        </w:tblBorders>
        <w:tblLook w:val="00BF"/>
      </w:tblPr>
      <w:tblGrid>
        <w:gridCol w:w="1495"/>
        <w:gridCol w:w="8513"/>
      </w:tblGrid>
      <w:tr w:rsidR="00D57FD8" w:rsidRPr="007E3667" w:rsidTr="00D57FD8">
        <w:trPr>
          <w:cnfStyle w:val="100000000000"/>
        </w:trPr>
        <w:tc>
          <w:tcPr>
            <w:cnfStyle w:val="001000000000"/>
            <w:tcW w:w="1495" w:type="dxa"/>
          </w:tcPr>
          <w:p w:rsidR="00D57FD8" w:rsidRPr="007E3667" w:rsidRDefault="00D57FD8" w:rsidP="00A40698">
            <w:pPr>
              <w:pStyle w:val="TableHeading"/>
              <w:keepNext/>
            </w:pPr>
            <w:r w:rsidRPr="007E3667">
              <w:t>Character</w:t>
            </w:r>
          </w:p>
        </w:tc>
        <w:tc>
          <w:tcPr>
            <w:cnfStyle w:val="000010000000"/>
            <w:tcW w:w="8513" w:type="dxa"/>
            <w:tcBorders>
              <w:top w:val="none" w:sz="0" w:space="0" w:color="auto"/>
              <w:left w:val="none" w:sz="0" w:space="0" w:color="auto"/>
              <w:right w:val="none" w:sz="0" w:space="0" w:color="auto"/>
            </w:tcBorders>
          </w:tcPr>
          <w:p w:rsidR="00D57FD8" w:rsidRPr="007E3667" w:rsidRDefault="00D57FD8" w:rsidP="00A40698">
            <w:pPr>
              <w:pStyle w:val="TableHeading"/>
              <w:keepNext/>
            </w:pPr>
            <w:r w:rsidRPr="007E3667">
              <w:t>Description</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sidRPr="009126DD">
              <w:rPr>
                <w:color w:val="C00000"/>
                <w:sz w:val="28"/>
                <w:szCs w:val="28"/>
              </w:rPr>
              <w: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Pr="00FE0111" w:rsidRDefault="00D57FD8" w:rsidP="00A40698">
            <w:r>
              <w:t xml:space="preserve">Escape character </w:t>
            </w:r>
          </w:p>
        </w:tc>
      </w:tr>
      <w:tr w:rsidR="00D57FD8" w:rsidRPr="00FE0111" w:rsidTr="00D57FD8">
        <w:tc>
          <w:tcPr>
            <w:cnfStyle w:val="001000000000"/>
            <w:tcW w:w="1495" w:type="dxa"/>
          </w:tcPr>
          <w:p w:rsidR="00D57FD8" w:rsidRDefault="00D57FD8" w:rsidP="00A40698">
            <w:r>
              <w:t>‘</w:t>
            </w:r>
            <w:r w:rsidRPr="009126DD">
              <w:rPr>
                <w:color w:val="C00000"/>
                <w:sz w:val="28"/>
                <w:szCs w:val="28"/>
              </w:rPr>
              <w:t>*</w:t>
            </w:r>
            <w:r>
              <w:t>’</w:t>
            </w:r>
          </w:p>
        </w:tc>
        <w:tc>
          <w:tcPr>
            <w:cnfStyle w:val="000010000000"/>
            <w:tcW w:w="8513" w:type="dxa"/>
            <w:tcBorders>
              <w:left w:val="none" w:sz="0" w:space="0" w:color="auto"/>
              <w:right w:val="none" w:sz="0" w:space="0" w:color="auto"/>
            </w:tcBorders>
          </w:tcPr>
          <w:p w:rsidR="00D57FD8" w:rsidRDefault="00D57FD8" w:rsidP="00A40698">
            <w:r>
              <w:t>Wildcard character</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Pr>
                <w:color w:val="C00000"/>
                <w:sz w:val="28"/>
                <w:szCs w:val="28"/>
              </w:rPr>
              <w: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Default="00D57FD8" w:rsidP="00A40698">
            <w:r>
              <w:t>Separate dimensions</w:t>
            </w:r>
          </w:p>
        </w:tc>
      </w:tr>
      <w:tr w:rsidR="00D57FD8" w:rsidRPr="00FE0111" w:rsidTr="00D57FD8">
        <w:tc>
          <w:tcPr>
            <w:cnfStyle w:val="001000000000"/>
            <w:tcW w:w="1495" w:type="dxa"/>
          </w:tcPr>
          <w:p w:rsidR="00D57FD8" w:rsidRDefault="00D57FD8" w:rsidP="00A40698">
            <w:r>
              <w:lastRenderedPageBreak/>
              <w:t>‘</w:t>
            </w:r>
            <w:r w:rsidRPr="009126DD">
              <w:rPr>
                <w:color w:val="C00000"/>
                <w:sz w:val="28"/>
                <w:szCs w:val="28"/>
              </w:rPr>
              <w:t>/</w:t>
            </w:r>
            <w:r>
              <w:t>’</w:t>
            </w:r>
          </w:p>
        </w:tc>
        <w:tc>
          <w:tcPr>
            <w:cnfStyle w:val="000010000000"/>
            <w:tcW w:w="8513" w:type="dxa"/>
            <w:tcBorders>
              <w:left w:val="none" w:sz="0" w:space="0" w:color="auto"/>
              <w:right w:val="none" w:sz="0" w:space="0" w:color="auto"/>
            </w:tcBorders>
          </w:tcPr>
          <w:p w:rsidR="00D57FD8" w:rsidRPr="00FE0111" w:rsidRDefault="008102E1" w:rsidP="00505BE3">
            <w:r w:rsidRPr="008102E1">
              <w:t>Separates link names to objects (i.e the "path to an object")</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sidRPr="009126DD">
              <w:rPr>
                <w:color w:val="C00000"/>
                <w:sz w:val="28"/>
                <w:szCs w:val="28"/>
              </w:rPr>
              <w: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Pr="00FE0111" w:rsidRDefault="00D57FD8" w:rsidP="00A40698">
            <w:r>
              <w:t>Separates a file name from the beginning of the link name path</w:t>
            </w:r>
          </w:p>
        </w:tc>
      </w:tr>
      <w:tr w:rsidR="00D57FD8" w:rsidRPr="00FE0111" w:rsidTr="00D57FD8">
        <w:tc>
          <w:tcPr>
            <w:cnfStyle w:val="001000000000"/>
            <w:tcW w:w="1495" w:type="dxa"/>
          </w:tcPr>
          <w:p w:rsidR="00D57FD8" w:rsidRDefault="00D57FD8" w:rsidP="00A40698">
            <w:r>
              <w:t>‘</w:t>
            </w:r>
            <w:r w:rsidRPr="009126DD">
              <w:rPr>
                <w:color w:val="C00000"/>
                <w:sz w:val="28"/>
                <w:szCs w:val="28"/>
              </w:rPr>
              <w:t>@</w:t>
            </w:r>
            <w:r>
              <w:t>’</w:t>
            </w:r>
          </w:p>
        </w:tc>
        <w:tc>
          <w:tcPr>
            <w:cnfStyle w:val="000010000000"/>
            <w:tcW w:w="8513" w:type="dxa"/>
            <w:tcBorders>
              <w:left w:val="none" w:sz="0" w:space="0" w:color="auto"/>
              <w:right w:val="none" w:sz="0" w:space="0" w:color="auto"/>
            </w:tcBorders>
          </w:tcPr>
          <w:p w:rsidR="00D57FD8" w:rsidRDefault="00D57FD8" w:rsidP="00A40698">
            <w:r>
              <w:t>Indicates the beginning of an attribute name</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sidRPr="009126DD">
              <w:rPr>
                <w:color w:val="C00000"/>
                <w:sz w:val="28"/>
                <w:szCs w:val="28"/>
              </w:rPr>
              <w: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Default="00D57FD8" w:rsidP="00A40698">
            <w:r>
              <w:t>Indicates a field in a compound datatype</w:t>
            </w:r>
          </w:p>
        </w:tc>
      </w:tr>
      <w:tr w:rsidR="00D57FD8" w:rsidRPr="00FE0111" w:rsidTr="00D57FD8">
        <w:tc>
          <w:tcPr>
            <w:cnfStyle w:val="001000000000"/>
            <w:tcW w:w="1495" w:type="dxa"/>
          </w:tcPr>
          <w:p w:rsidR="00D57FD8" w:rsidRDefault="00D57FD8" w:rsidP="00A40698">
            <w:r>
              <w:t>‘</w:t>
            </w:r>
            <w:r w:rsidRPr="009126DD">
              <w:rPr>
                <w:color w:val="C00000"/>
                <w:sz w:val="28"/>
                <w:szCs w:val="28"/>
              </w:rPr>
              <w:t>”</w:t>
            </w:r>
            <w:r>
              <w:t>’ and ‘</w:t>
            </w:r>
            <w:r w:rsidRPr="009126DD">
              <w:rPr>
                <w:color w:val="C00000"/>
                <w:sz w:val="28"/>
                <w:szCs w:val="28"/>
              </w:rPr>
              <w:t>”</w:t>
            </w:r>
            <w:r>
              <w:t>’</w:t>
            </w:r>
          </w:p>
        </w:tc>
        <w:tc>
          <w:tcPr>
            <w:cnfStyle w:val="000010000000"/>
            <w:tcW w:w="8513" w:type="dxa"/>
            <w:tcBorders>
              <w:left w:val="none" w:sz="0" w:space="0" w:color="auto"/>
              <w:right w:val="none" w:sz="0" w:space="0" w:color="auto"/>
            </w:tcBorders>
          </w:tcPr>
          <w:p w:rsidR="00D57FD8" w:rsidRDefault="00D57FD8" w:rsidP="00A40698">
            <w:r>
              <w:t>Double quotes, anything enclosed by a pair of double quotes is treated as a single entry</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sidRPr="009126DD">
              <w:rPr>
                <w:color w:val="C00000"/>
                <w:sz w:val="28"/>
                <w:szCs w:val="28"/>
              </w:rPr>
              <w:t>[</w:t>
            </w:r>
            <w:r>
              <w:t>‘ and ‘</w:t>
            </w:r>
            <w:r w:rsidRPr="009126DD">
              <w:rPr>
                <w:color w:val="C00000"/>
                <w:sz w:val="28"/>
                <w:szCs w:val="28"/>
              </w:rPr>
              <w: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Default="00D57FD8" w:rsidP="00A40698">
            <w:r>
              <w:t>Begin/end dataspace description (e.g., [3,4])</w:t>
            </w:r>
          </w:p>
        </w:tc>
      </w:tr>
      <w:tr w:rsidR="00D57FD8" w:rsidRPr="00FE0111" w:rsidTr="00D57FD8">
        <w:tc>
          <w:tcPr>
            <w:cnfStyle w:val="001000000000"/>
            <w:tcW w:w="1495" w:type="dxa"/>
          </w:tcPr>
          <w:p w:rsidR="00D57FD8" w:rsidRDefault="00D57FD8" w:rsidP="00A40698">
            <w:r>
              <w:t>‘</w:t>
            </w:r>
            <w:r w:rsidRPr="009126DD">
              <w:rPr>
                <w:color w:val="C00000"/>
                <w:sz w:val="28"/>
                <w:szCs w:val="28"/>
              </w:rPr>
              <w:t>{</w:t>
            </w:r>
            <w:r>
              <w:t>‘ and ‘</w:t>
            </w:r>
            <w:r w:rsidRPr="009126DD">
              <w:rPr>
                <w:color w:val="C00000"/>
                <w:sz w:val="28"/>
                <w:szCs w:val="28"/>
              </w:rPr>
              <w:t>}</w:t>
            </w:r>
            <w:r>
              <w:t>’</w:t>
            </w:r>
          </w:p>
        </w:tc>
        <w:tc>
          <w:tcPr>
            <w:cnfStyle w:val="000010000000"/>
            <w:tcW w:w="8513" w:type="dxa"/>
            <w:tcBorders>
              <w:left w:val="none" w:sz="0" w:space="0" w:color="auto"/>
              <w:right w:val="none" w:sz="0" w:space="0" w:color="auto"/>
            </w:tcBorders>
          </w:tcPr>
          <w:p w:rsidR="00D57FD8" w:rsidRDefault="00D57FD8" w:rsidP="00A40698">
            <w:r>
              <w:t>Begin/end datatype description (e.g., {int})</w:t>
            </w:r>
          </w:p>
        </w:tc>
      </w:tr>
      <w:tr w:rsidR="00D57FD8" w:rsidRPr="00FE0111" w:rsidTr="00D57FD8">
        <w:trPr>
          <w:cnfStyle w:val="000000100000"/>
        </w:trPr>
        <w:tc>
          <w:tcPr>
            <w:cnfStyle w:val="001000000000"/>
            <w:tcW w:w="1495" w:type="dxa"/>
            <w:tcBorders>
              <w:top w:val="none" w:sz="0" w:space="0" w:color="auto"/>
              <w:left w:val="none" w:sz="0" w:space="0" w:color="auto"/>
              <w:bottom w:val="none" w:sz="0" w:space="0" w:color="auto"/>
            </w:tcBorders>
          </w:tcPr>
          <w:p w:rsidR="00D57FD8" w:rsidRDefault="00D57FD8" w:rsidP="00A40698">
            <w:r>
              <w:t>‘</w:t>
            </w:r>
            <w:r w:rsidRPr="009126DD">
              <w:rPr>
                <w:color w:val="C00000"/>
                <w:sz w:val="28"/>
                <w:szCs w:val="28"/>
              </w:rPr>
              <w:t>&lt;</w:t>
            </w:r>
            <w:r>
              <w:t>’ and ‘</w:t>
            </w:r>
            <w:r w:rsidRPr="009126DD">
              <w:rPr>
                <w:color w:val="C00000"/>
                <w:sz w:val="28"/>
                <w:szCs w:val="28"/>
              </w:rPr>
              <w:t>&gt;</w:t>
            </w:r>
            <w:r>
              <w:t>’</w:t>
            </w:r>
          </w:p>
        </w:tc>
        <w:tc>
          <w:tcPr>
            <w:cnfStyle w:val="000010000000"/>
            <w:tcW w:w="8513" w:type="dxa"/>
            <w:tcBorders>
              <w:top w:val="none" w:sz="0" w:space="0" w:color="auto"/>
              <w:left w:val="none" w:sz="0" w:space="0" w:color="auto"/>
              <w:bottom w:val="none" w:sz="0" w:space="0" w:color="auto"/>
              <w:right w:val="none" w:sz="0" w:space="0" w:color="auto"/>
            </w:tcBorders>
          </w:tcPr>
          <w:p w:rsidR="00D57FD8" w:rsidRDefault="00D57FD8" w:rsidP="00A40698">
            <w:r>
              <w:t>Indicates array datatype dimensions</w:t>
            </w:r>
          </w:p>
        </w:tc>
      </w:tr>
      <w:tr w:rsidR="00D57FD8" w:rsidRPr="00FE0111" w:rsidTr="00D57FD8">
        <w:tc>
          <w:tcPr>
            <w:cnfStyle w:val="001000000000"/>
            <w:tcW w:w="1495" w:type="dxa"/>
          </w:tcPr>
          <w:p w:rsidR="00D57FD8" w:rsidRDefault="00D57FD8" w:rsidP="00A40698">
            <w:r>
              <w:t>‘</w:t>
            </w:r>
            <w:r w:rsidRPr="009126DD">
              <w:rPr>
                <w:color w:val="C00000"/>
                <w:sz w:val="28"/>
                <w:szCs w:val="28"/>
              </w:rPr>
              <w:t>(</w:t>
            </w:r>
            <w:r>
              <w:t>‘ and ‘</w:t>
            </w:r>
            <w:r w:rsidRPr="009126DD">
              <w:rPr>
                <w:color w:val="C00000"/>
                <w:sz w:val="28"/>
                <w:szCs w:val="28"/>
              </w:rPr>
              <w:t>)</w:t>
            </w:r>
            <w:r>
              <w:t>’</w:t>
            </w:r>
          </w:p>
        </w:tc>
        <w:tc>
          <w:tcPr>
            <w:cnfStyle w:val="000010000000"/>
            <w:tcW w:w="8513" w:type="dxa"/>
            <w:tcBorders>
              <w:left w:val="none" w:sz="0" w:space="0" w:color="auto"/>
              <w:bottom w:val="none" w:sz="0" w:space="0" w:color="auto"/>
              <w:right w:val="none" w:sz="0" w:space="0" w:color="auto"/>
            </w:tcBorders>
          </w:tcPr>
          <w:p w:rsidR="00D57FD8" w:rsidRPr="00FE0111" w:rsidRDefault="00D57FD8" w:rsidP="00A40698">
            <w:r>
              <w:t>Indicates a variable-length datatype</w:t>
            </w:r>
          </w:p>
        </w:tc>
      </w:tr>
    </w:tbl>
    <w:p w:rsidR="007E3667" w:rsidRDefault="007E3667" w:rsidP="009D5F2B"/>
    <w:p w:rsidR="009D5F2B" w:rsidRDefault="009D5F2B" w:rsidP="009D5F2B">
      <w:r>
        <w:t>The reserved characters will be only restricted in their use by HDF5 applications, and not by the HDF5 format or library. In other words, reserving the characters will not change the current behavior of the library. It will, however, affect applications working with HDF5 files where reserved characters are used in link or attribute names. For example, ‘@’ is reserved to separate a link and an attribute. Using ‘@’ in a link name or attribute name will not cause the library calls to fail or the HDF5 file to be invalid.  However, some HDF5 utility features, such as the “--exclude-object-attribute” option for h5diff, may not work for the links and attributes with ‘@’ in their name. We strongly recommend users not to use the reserved characters in link names and attribute names.</w:t>
      </w:r>
    </w:p>
    <w:p w:rsidR="00A40698" w:rsidRDefault="00921A33" w:rsidP="00A40698">
      <w:pPr>
        <w:pStyle w:val="Heading1"/>
      </w:pPr>
      <w:r>
        <w:t>Use Cases</w:t>
      </w:r>
    </w:p>
    <w:p w:rsidR="00A40698" w:rsidRDefault="00921A33" w:rsidP="00A40698">
      <w:pPr>
        <w:pStyle w:val="Heading2"/>
      </w:pPr>
      <w:r>
        <w:t>Passing file name and link name as a single parameter in hdf-java</w:t>
      </w:r>
    </w:p>
    <w:p w:rsidR="00A40698" w:rsidRDefault="00921A33" w:rsidP="00A40698">
      <w:r>
        <w:t>Java s</w:t>
      </w:r>
      <w:r w:rsidRPr="00AE5060">
        <w:t>tatic methods</w:t>
      </w:r>
      <w:r>
        <w:t xml:space="preserve"> can</w:t>
      </w:r>
      <w:r w:rsidRPr="00AE5060">
        <w:t xml:space="preserve"> be invoked without creating an instance of the class</w:t>
      </w:r>
      <w:r>
        <w:t>. Using a static method, such as H5File.getObject(String fullPath)</w:t>
      </w:r>
      <w:r w:rsidR="002217D7">
        <w:t xml:space="preserve"> in the hdf-java object pacakge</w:t>
      </w:r>
      <w:r>
        <w:t>, users can retrieve a specific object without having an instance of H5File and the whole file structure in memory. The ability to pass a single parameter would be convenient for users.  For example,</w:t>
      </w:r>
    </w:p>
    <w:p w:rsidR="00A40698" w:rsidDel="00050E3C" w:rsidRDefault="00921A33" w:rsidP="00A40698">
      <w:pPr>
        <w:ind w:firstLine="720"/>
      </w:pPr>
      <w:r>
        <w:t>Dataset dset = (Dataset)H5File.getObject(“/tmp/test.h5#/dset”);</w:t>
      </w:r>
    </w:p>
    <w:p w:rsidR="00A40698" w:rsidRDefault="000757BE" w:rsidP="00A40698">
      <w:r>
        <w:t>Where</w:t>
      </w:r>
      <w:r w:rsidR="00921A33">
        <w:t xml:space="preserve"> “/tmp/test.h5” is the file name and “/dset” is the path to the dataset.</w:t>
      </w:r>
    </w:p>
    <w:p w:rsidR="00A40698" w:rsidRDefault="00921A33" w:rsidP="00A40698">
      <w:r>
        <w:t xml:space="preserve">The separator is also very useful for client/server applications. The file name and link name can be passed to the server in a single string, and is similar to using “#” to access a specific part of the page content in an URL. </w:t>
      </w:r>
    </w:p>
    <w:p w:rsidR="00A40698" w:rsidRDefault="00921A33" w:rsidP="00A40698">
      <w:pPr>
        <w:pStyle w:val="Heading2"/>
      </w:pPr>
      <w:r>
        <w:t>Identifying a specific attribute in h5diff</w:t>
      </w:r>
    </w:p>
    <w:p w:rsidR="00A26DCB" w:rsidRDefault="001A7847" w:rsidP="00A40698">
      <w:r>
        <w:t xml:space="preserve">The </w:t>
      </w:r>
      <w:r w:rsidR="00A26DCB">
        <w:t>“</w:t>
      </w:r>
      <w:r w:rsidR="00A26DCB" w:rsidRPr="00F15A54">
        <w:rPr>
          <w:b/>
          <w:lang w:eastAsia="ko-KR"/>
        </w:rPr>
        <w:t>--exclude-object-attribute</w:t>
      </w:r>
      <w:r w:rsidR="00A26DCB">
        <w:rPr>
          <w:b/>
          <w:lang w:eastAsia="ko-KR"/>
        </w:rPr>
        <w:t>”</w:t>
      </w:r>
      <w:r w:rsidR="00A26DCB" w:rsidRPr="00F15A54">
        <w:rPr>
          <w:b/>
          <w:lang w:eastAsia="ko-KR"/>
        </w:rPr>
        <w:t xml:space="preserve"> </w:t>
      </w:r>
      <w:r w:rsidR="00A26DCB">
        <w:t xml:space="preserve">option is used to exclude certain attributes </w:t>
      </w:r>
      <w:r>
        <w:t>for</w:t>
      </w:r>
      <w:r w:rsidR="00A26DCB">
        <w:t xml:space="preserve"> compar</w:t>
      </w:r>
      <w:r>
        <w:t>ing</w:t>
      </w:r>
      <w:r w:rsidR="00A26DCB">
        <w:t xml:space="preserve"> objects in h5diff. </w:t>
      </w:r>
      <w:r>
        <w:t>The</w:t>
      </w:r>
      <w:r w:rsidR="00A26DCB">
        <w:t xml:space="preserve"> proposed approach is to use a &lt;object_name, attribute_name&gt; pair of strings for the option. </w:t>
      </w:r>
      <w:r w:rsidR="00921A33">
        <w:t xml:space="preserve">For details see RFC at </w:t>
      </w:r>
      <w:hyperlink r:id="rId8" w:history="1">
        <w:r w:rsidR="00921A33" w:rsidRPr="004338E7">
          <w:rPr>
            <w:rStyle w:val="Hyperlink"/>
          </w:rPr>
          <w:t>https://www.hdfgroup.uiuc.edu/RFC/HDF5/tools/h5diff/ignore_obj/</w:t>
        </w:r>
      </w:hyperlink>
      <w:r w:rsidR="00921A33">
        <w:t>.</w:t>
      </w:r>
    </w:p>
    <w:p w:rsidR="00A40698" w:rsidRDefault="00A26DCB" w:rsidP="00A40698">
      <w:r>
        <w:lastRenderedPageBreak/>
        <w:t xml:space="preserve">Some users proposed to use a separator between the link name and the attribute name so that </w:t>
      </w:r>
      <w:r w:rsidR="001A7847">
        <w:t xml:space="preserve">the </w:t>
      </w:r>
      <w:r>
        <w:t>“</w:t>
      </w:r>
      <w:r w:rsidRPr="00F15A54">
        <w:rPr>
          <w:b/>
          <w:lang w:eastAsia="ko-KR"/>
        </w:rPr>
        <w:t>--exclude-object-attribute</w:t>
      </w:r>
      <w:r>
        <w:rPr>
          <w:b/>
          <w:lang w:eastAsia="ko-KR"/>
        </w:rPr>
        <w:t>”</w:t>
      </w:r>
      <w:r w:rsidRPr="00F15A54">
        <w:rPr>
          <w:b/>
          <w:lang w:eastAsia="ko-KR"/>
        </w:rPr>
        <w:t xml:space="preserve"> </w:t>
      </w:r>
      <w:r>
        <w:t>option takes a single string</w:t>
      </w:r>
      <w:r w:rsidR="001A7847">
        <w:t xml:space="preserve"> instead of a pair of strings</w:t>
      </w:r>
      <w:r>
        <w:t xml:space="preserve">. </w:t>
      </w:r>
      <w:r w:rsidR="001A7847">
        <w:t xml:space="preserve">Using </w:t>
      </w:r>
      <w:r w:rsidR="00921A33">
        <w:t>a reserved separator, the h5diff command-line interface or configuration file for excluding attributes will be consistent and much simpler. For example,</w:t>
      </w:r>
    </w:p>
    <w:p w:rsidR="00A40698" w:rsidRDefault="00921A33" w:rsidP="00A40698">
      <w:r>
        <w:tab/>
        <w:t xml:space="preserve">h5diff  </w:t>
      </w:r>
      <w:r w:rsidRPr="009E5F1D">
        <w:t>--exclude-object-attribute  “/</w:t>
      </w:r>
      <w:r>
        <w:t>sensor_data@time_stamp</w:t>
      </w:r>
      <w:r w:rsidRPr="009E5F1D">
        <w:t>” File5.h5 File6.h5</w:t>
      </w:r>
    </w:p>
    <w:p w:rsidR="00A40698" w:rsidRDefault="00A40698" w:rsidP="00A40698">
      <w:r>
        <w:t>Where</w:t>
      </w:r>
      <w:r w:rsidR="00921A33">
        <w:t xml:space="preserve"> “/sensor_data” is the dataset and “time_stamp” is the attribute to be excluded from the dataset for comparison.</w:t>
      </w:r>
    </w:p>
    <w:p w:rsidR="00A40698" w:rsidRDefault="00921A33" w:rsidP="00A40698">
      <w:pPr>
        <w:pStyle w:val="Heading2"/>
      </w:pPr>
      <w:r>
        <w:t>Separating nested compound fields in h5watch</w:t>
      </w:r>
    </w:p>
    <w:p w:rsidR="00A53A5F" w:rsidRDefault="00921A33" w:rsidP="00A40698">
      <w:r>
        <w:t xml:space="preserve">The </w:t>
      </w:r>
      <w:r w:rsidRPr="00764E6E">
        <w:t xml:space="preserve">h5watch </w:t>
      </w:r>
      <w:r>
        <w:t xml:space="preserve">tool </w:t>
      </w:r>
      <w:r w:rsidRPr="00764E6E">
        <w:t>allows users to output new elements appended to a dataset as it grows</w:t>
      </w:r>
      <w:r>
        <w:t xml:space="preserve">. For details, see the RFC at </w:t>
      </w:r>
      <w:hyperlink r:id="rId9" w:history="1">
        <w:r w:rsidRPr="004338E7">
          <w:rPr>
            <w:rStyle w:val="Hyperlink"/>
          </w:rPr>
          <w:t>https://thehdfgroup-import.pbworks.com/h5watch</w:t>
        </w:r>
      </w:hyperlink>
      <w:r>
        <w:t xml:space="preserve">. One of the features in h5watch is able to show values of a specific field in a nested compound datatype. </w:t>
      </w:r>
      <w:r w:rsidR="00A53A5F">
        <w:t>For this purpose, three reserved characters are used:</w:t>
      </w:r>
    </w:p>
    <w:p w:rsidR="00A53A5F" w:rsidRDefault="00A53A5F" w:rsidP="00A53A5F">
      <w:pPr>
        <w:pStyle w:val="ListParagraph"/>
        <w:numPr>
          <w:ilvl w:val="0"/>
          <w:numId w:val="48"/>
        </w:numPr>
      </w:pPr>
      <w:r w:rsidRPr="00A53A5F">
        <w:t>A comma</w:t>
      </w:r>
      <w:r>
        <w:t>, ‘</w:t>
      </w:r>
      <w:r w:rsidRPr="00F90833">
        <w:rPr>
          <w:color w:val="FF0000"/>
          <w:sz w:val="36"/>
          <w:szCs w:val="36"/>
        </w:rPr>
        <w:t>,</w:t>
      </w:r>
      <w:r>
        <w:t xml:space="preserve">’, is used to separate </w:t>
      </w:r>
      <w:r w:rsidRPr="00A53A5F">
        <w:t>field names in a compound data type</w:t>
      </w:r>
      <w:r>
        <w:t>.</w:t>
      </w:r>
    </w:p>
    <w:p w:rsidR="00A53A5F" w:rsidRDefault="00A53A5F" w:rsidP="00A53A5F">
      <w:pPr>
        <w:pStyle w:val="ListParagraph"/>
        <w:numPr>
          <w:ilvl w:val="0"/>
          <w:numId w:val="48"/>
        </w:numPr>
      </w:pPr>
      <w:r>
        <w:t xml:space="preserve">A period, </w:t>
      </w:r>
      <w:r w:rsidR="00921A33" w:rsidRPr="00764E6E">
        <w:t>‘</w:t>
      </w:r>
      <w:r w:rsidR="00921A33" w:rsidRPr="00F90833">
        <w:rPr>
          <w:color w:val="FF0000"/>
          <w:sz w:val="36"/>
          <w:szCs w:val="36"/>
        </w:rPr>
        <w:t>.</w:t>
      </w:r>
      <w:r w:rsidR="00921A33" w:rsidRPr="00764E6E">
        <w:t>’</w:t>
      </w:r>
      <w:r w:rsidR="00283FB8">
        <w:t xml:space="preserve">, </w:t>
      </w:r>
      <w:r w:rsidR="00283FB8" w:rsidRPr="00764E6E">
        <w:t>is</w:t>
      </w:r>
      <w:r w:rsidR="00921A33">
        <w:t xml:space="preserve"> used as the separator for </w:t>
      </w:r>
      <w:r w:rsidR="00921A33" w:rsidRPr="00764E6E">
        <w:t>nested field</w:t>
      </w:r>
      <w:r w:rsidR="00921A33">
        <w:t>s</w:t>
      </w:r>
      <w:r>
        <w:t>.</w:t>
      </w:r>
    </w:p>
    <w:p w:rsidR="00283FB8" w:rsidRDefault="00A53A5F" w:rsidP="00A53A5F">
      <w:pPr>
        <w:pStyle w:val="ListParagraph"/>
        <w:numPr>
          <w:ilvl w:val="0"/>
          <w:numId w:val="48"/>
        </w:numPr>
      </w:pPr>
      <w:r>
        <w:t xml:space="preserve">An </w:t>
      </w:r>
      <w:r w:rsidRPr="00A53A5F">
        <w:t>escape character</w:t>
      </w:r>
      <w:r>
        <w:t>, ‘</w:t>
      </w:r>
      <w:r w:rsidRPr="00F90833">
        <w:rPr>
          <w:color w:val="FF0000"/>
          <w:sz w:val="36"/>
          <w:szCs w:val="36"/>
        </w:rPr>
        <w:t>\</w:t>
      </w:r>
      <w:r>
        <w:t>’,</w:t>
      </w:r>
      <w:r w:rsidR="0021746A">
        <w:t xml:space="preserve"> </w:t>
      </w:r>
      <w:r>
        <w:t xml:space="preserve">is used </w:t>
      </w:r>
      <w:r w:rsidR="0021746A">
        <w:t xml:space="preserve">for any </w:t>
      </w:r>
      <w:r>
        <w:t>“.”</w:t>
      </w:r>
      <w:r w:rsidR="0021746A">
        <w:t>that is part of a field name</w:t>
      </w:r>
      <w:r>
        <w:t>.</w:t>
      </w:r>
    </w:p>
    <w:p w:rsidR="00A40698" w:rsidRDefault="00A40698" w:rsidP="00A53A5F">
      <w:pPr>
        <w:pStyle w:val="ListParagraph"/>
        <w:numPr>
          <w:ilvl w:val="0"/>
          <w:numId w:val="48"/>
        </w:numPr>
      </w:pPr>
      <w:r>
        <w:t>A slash character, ‘</w:t>
      </w:r>
      <w:r w:rsidRPr="00F90833">
        <w:rPr>
          <w:color w:val="FF0000"/>
          <w:sz w:val="36"/>
          <w:szCs w:val="36"/>
        </w:rPr>
        <w:t>/</w:t>
      </w:r>
      <w:r>
        <w:t>’, is used to separate file name and object path (we may need to change it to use ‘</w:t>
      </w:r>
      <w:r w:rsidRPr="00F90833">
        <w:rPr>
          <w:color w:val="FF0000"/>
          <w:sz w:val="36"/>
          <w:szCs w:val="36"/>
        </w:rPr>
        <w:t>#</w:t>
      </w:r>
      <w:r>
        <w:t>’ as we pro</w:t>
      </w:r>
      <w:r w:rsidR="009F5BDB">
        <w:t>posed in table 1).</w:t>
      </w:r>
    </w:p>
    <w:p w:rsidR="00283FB8" w:rsidRDefault="00283FB8" w:rsidP="00283FB8">
      <w:r>
        <w:t xml:space="preserve">The following is an example of a compound </w:t>
      </w:r>
      <w:r w:rsidR="000757BE">
        <w:t xml:space="preserve">datatype for </w:t>
      </w:r>
      <w:r w:rsidR="002330C0">
        <w:t>dataset, dset</w:t>
      </w:r>
      <w:r w:rsidR="000757BE">
        <w:t>,</w:t>
      </w:r>
      <w:r w:rsidR="002330C0">
        <w:t xml:space="preserve"> in an</w:t>
      </w:r>
      <w:r>
        <w:t xml:space="preserve"> HDF5</w:t>
      </w:r>
      <w:r w:rsidR="002330C0">
        <w:t>, cmpd.h5</w:t>
      </w:r>
      <w:r>
        <w:t>.</w:t>
      </w:r>
    </w:p>
    <w:p w:rsidR="00283FB8" w:rsidRDefault="007379D6" w:rsidP="00283FB8">
      <w:r>
        <w:pict>
          <v:shapetype id="_x0000_t202" coordsize="21600,21600" o:spt="202" path="m,l,21600r21600,l21600,xe">
            <v:stroke joinstyle="miter"/>
            <v:path gradientshapeok="t" o:connecttype="rect"/>
          </v:shapetype>
          <v:shape id="_x0000_s1026" type="#_x0000_t202" style="width:489.5pt;height:326.35pt;mso-height-percent:200;mso-position-horizontal-relative:char;mso-position-vertical-relative:line;mso-height-percent:200;mso-width-relative:margin;mso-height-relative:margin">
            <v:textbox style="mso-fit-shape-to-text:t">
              <w:txbxContent>
                <w:p w:rsidR="00A40698" w:rsidRDefault="00A40698" w:rsidP="00283FB8">
                  <w:r>
                    <w:t xml:space="preserve">      DATATYPE  H5T_COMPOUND {</w:t>
                  </w:r>
                </w:p>
                <w:p w:rsidR="00A40698" w:rsidRDefault="00A40698" w:rsidP="00283FB8">
                  <w:r>
                    <w:t xml:space="preserve">         H5T_STD_I32LE "lon";</w:t>
                  </w:r>
                </w:p>
                <w:p w:rsidR="00A40698" w:rsidRDefault="00A40698" w:rsidP="00283FB8">
                  <w:r>
                    <w:t xml:space="preserve">         H5T_STD_I32LE "lat";</w:t>
                  </w:r>
                </w:p>
                <w:p w:rsidR="00A40698" w:rsidRDefault="00A40698" w:rsidP="00283FB8">
                  <w:r>
                    <w:t xml:space="preserve">         H5T_COMPOUND {</w:t>
                  </w:r>
                </w:p>
                <w:p w:rsidR="00A40698" w:rsidRDefault="00A40698" w:rsidP="00283FB8">
                  <w:r>
                    <w:t xml:space="preserve">            H5T_STD_I32LE “high.day";</w:t>
                  </w:r>
                </w:p>
                <w:p w:rsidR="00A40698" w:rsidRDefault="00A40698" w:rsidP="00283FB8">
                  <w:r>
                    <w:t xml:space="preserve">            H5T_STD_I32LE “low.day";</w:t>
                  </w:r>
                </w:p>
                <w:p w:rsidR="00A40698" w:rsidRDefault="00A40698" w:rsidP="0021746A">
                  <w:r>
                    <w:t xml:space="preserve">            H5T_STD_I32LE “high.wk";</w:t>
                  </w:r>
                </w:p>
                <w:p w:rsidR="00A40698" w:rsidRDefault="00A40698" w:rsidP="0021746A">
                  <w:r>
                    <w:t xml:space="preserve">            H5T_STD_I32LE “low.wk";</w:t>
                  </w:r>
                </w:p>
                <w:p w:rsidR="00A40698" w:rsidRDefault="00A40698" w:rsidP="00283FB8">
                  <w:r>
                    <w:t xml:space="preserve">        } "temp";</w:t>
                  </w:r>
                </w:p>
                <w:p w:rsidR="00A40698" w:rsidRDefault="00A40698" w:rsidP="00283FB8">
                  <w:r>
                    <w:t xml:space="preserve">      }</w:t>
                  </w:r>
                </w:p>
              </w:txbxContent>
            </v:textbox>
            <w10:wrap type="none"/>
            <w10:anchorlock/>
          </v:shape>
        </w:pict>
      </w:r>
    </w:p>
    <w:p w:rsidR="0021746A" w:rsidRDefault="0021746A" w:rsidP="00283FB8">
      <w:r>
        <w:t xml:space="preserve">The following </w:t>
      </w:r>
      <w:r w:rsidR="002330C0">
        <w:t>is an example of h5wat</w:t>
      </w:r>
      <w:r w:rsidR="000757BE">
        <w:t>c</w:t>
      </w:r>
      <w:r w:rsidR="002330C0">
        <w:t xml:space="preserve">h command to </w:t>
      </w:r>
      <w:r w:rsidR="000757BE">
        <w:t>show the values of</w:t>
      </w:r>
      <w:r w:rsidR="002330C0">
        <w:t xml:space="preserve"> the fields of “long”, “lat”, and “high.day”</w:t>
      </w:r>
      <w:r>
        <w:t xml:space="preserve"> </w:t>
      </w:r>
      <w:r w:rsidR="000757BE">
        <w:t>in the compound dataset, dset, in the file, cmpd.h5.</w:t>
      </w:r>
    </w:p>
    <w:p w:rsidR="002330C0" w:rsidRPr="002E290C" w:rsidRDefault="0021746A" w:rsidP="00283FB8">
      <w:pPr>
        <w:rPr>
          <w:i/>
        </w:rPr>
      </w:pPr>
      <w:r w:rsidRPr="002E290C">
        <w:rPr>
          <w:i/>
        </w:rPr>
        <w:t>h5watch  --fields=</w:t>
      </w:r>
      <w:r w:rsidR="002330C0" w:rsidRPr="002E290C">
        <w:rPr>
          <w:i/>
        </w:rPr>
        <w:t>lon,lat,temp.high\.day</w:t>
      </w:r>
      <w:r w:rsidRPr="002E290C">
        <w:rPr>
          <w:i/>
        </w:rPr>
        <w:t xml:space="preserve"> </w:t>
      </w:r>
      <w:r w:rsidR="002330C0" w:rsidRPr="002E290C">
        <w:rPr>
          <w:i/>
        </w:rPr>
        <w:t>cmpd.h5/dset</w:t>
      </w:r>
    </w:p>
    <w:p w:rsidR="00A40698" w:rsidRDefault="0021746A" w:rsidP="00283FB8">
      <w:r w:rsidRPr="0021746A">
        <w:t xml:space="preserve"> </w:t>
      </w:r>
    </w:p>
    <w:p w:rsidR="00A40698" w:rsidRDefault="00921A33" w:rsidP="00A40698">
      <w:pPr>
        <w:pStyle w:val="Heading2"/>
      </w:pPr>
      <w:r>
        <w:lastRenderedPageBreak/>
        <w:t xml:space="preserve">Specifying a region of dataset in h5dump </w:t>
      </w:r>
    </w:p>
    <w:p w:rsidR="00A40698" w:rsidRDefault="00921A33" w:rsidP="00A40698">
      <w:r>
        <w:t>Subsetting is available in h5dump by using the following options for a dataset:</w:t>
      </w:r>
    </w:p>
    <w:p w:rsidR="00A40698" w:rsidRDefault="00921A33" w:rsidP="00A40698">
      <w:r>
        <w:t xml:space="preserve">      -s START,  --start=START    Offset of start of subsetting selection</w:t>
      </w:r>
    </w:p>
    <w:p w:rsidR="00A40698" w:rsidRDefault="00921A33" w:rsidP="00A40698">
      <w:r>
        <w:t xml:space="preserve">      -S STRIDE, --stride=STRIDE  Hyperslab stride</w:t>
      </w:r>
    </w:p>
    <w:p w:rsidR="00A40698" w:rsidRDefault="00921A33" w:rsidP="00A40698">
      <w:r>
        <w:t xml:space="preserve">      -c COUNT,  --count=COUNT    Number of blocks to include in selection</w:t>
      </w:r>
    </w:p>
    <w:p w:rsidR="00A40698" w:rsidRPr="00A6099C" w:rsidRDefault="00921A33" w:rsidP="00A40698">
      <w:r>
        <w:t xml:space="preserve">      -k BLOCK,  --block=BLOCK    Size of block in hyperslab </w:t>
      </w:r>
    </w:p>
    <w:p w:rsidR="00A40698" w:rsidRDefault="00921A33" w:rsidP="00A40698">
      <w:r>
        <w:t>‘,’ is used to separate values of dimension sizes. For example,</w:t>
      </w:r>
    </w:p>
    <w:p w:rsidR="00A40698" w:rsidRDefault="00921A33" w:rsidP="00A40698">
      <w:pPr>
        <w:ind w:firstLine="432"/>
      </w:pPr>
      <w:r w:rsidRPr="001546B8">
        <w:t>h5dump -d /foo -s "0,1" -S "1,1" -c "2,3" -k "2,2" quux.h5</w:t>
      </w:r>
    </w:p>
    <w:p w:rsidR="00A40698" w:rsidRDefault="00921A33" w:rsidP="00A40698">
      <w:pPr>
        <w:pStyle w:val="Heading1"/>
      </w:pPr>
      <w:r>
        <w:t>Recommendation</w:t>
      </w:r>
    </w:p>
    <w:p w:rsidR="00A40698" w:rsidRDefault="00921A33" w:rsidP="00A40698">
      <w:r>
        <w:t>Our recommendation is to publish a standard set of characters reserved for HDF5 application. Although using reserved characters in link names and attribute names will not cause the library calls to fail but it may cause some applications to fail if the reserved characters are used in those applications for their intended purposes. Therefore, we strongly recommend users not to use the reserved characters in link names and attribute names.</w:t>
      </w:r>
    </w:p>
    <w:p w:rsidR="00A40698" w:rsidRDefault="00921A33">
      <w:pPr>
        <w:spacing w:after="0"/>
        <w:jc w:val="left"/>
        <w:rPr>
          <w:rFonts w:asciiTheme="majorHAnsi" w:eastAsiaTheme="majorEastAsia" w:hAnsiTheme="majorHAnsi" w:cstheme="majorBidi"/>
          <w:b/>
          <w:bCs/>
          <w:sz w:val="28"/>
          <w:szCs w:val="28"/>
        </w:rPr>
      </w:pPr>
      <w:r>
        <w:br w:type="page"/>
      </w:r>
    </w:p>
    <w:p w:rsidR="00A40698" w:rsidRDefault="00921A33" w:rsidP="00A40698">
      <w:pPr>
        <w:pStyle w:val="Heading"/>
      </w:pPr>
      <w:r>
        <w:lastRenderedPageBreak/>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A40698" w:rsidRPr="009D6CFF">
        <w:trPr>
          <w:jc w:val="center"/>
        </w:trPr>
        <w:tc>
          <w:tcPr>
            <w:tcW w:w="2337" w:type="dxa"/>
          </w:tcPr>
          <w:p w:rsidR="00A40698" w:rsidRPr="009D6CFF" w:rsidRDefault="00921A33" w:rsidP="00A40698">
            <w:pPr>
              <w:jc w:val="left"/>
              <w:rPr>
                <w:i/>
              </w:rPr>
            </w:pPr>
            <w:r>
              <w:t xml:space="preserve">  </w:t>
            </w:r>
            <w:r>
              <w:rPr>
                <w:i/>
              </w:rPr>
              <w:t>July 27, 2010</w:t>
            </w:r>
            <w:r w:rsidRPr="009D6CFF">
              <w:rPr>
                <w:i/>
              </w:rPr>
              <w:t>:</w:t>
            </w:r>
          </w:p>
        </w:tc>
        <w:tc>
          <w:tcPr>
            <w:tcW w:w="7743" w:type="dxa"/>
          </w:tcPr>
          <w:p w:rsidR="00A40698" w:rsidRPr="009D6CFF" w:rsidRDefault="00921A33" w:rsidP="00056231">
            <w:pPr>
              <w:jc w:val="left"/>
            </w:pPr>
            <w:r w:rsidRPr="009D6CFF">
              <w:t>Version 1</w:t>
            </w:r>
            <w:r>
              <w:t xml:space="preserve">, first draft, </w:t>
            </w:r>
            <w:r w:rsidR="00056231">
              <w:t>requested</w:t>
            </w:r>
            <w:r w:rsidRPr="009D6CFF">
              <w:t xml:space="preserve"> comment </w:t>
            </w:r>
            <w:r w:rsidR="00056231">
              <w:t>from Ruth</w:t>
            </w:r>
            <w:r w:rsidRPr="009D6CFF">
              <w:t xml:space="preserve">. </w:t>
            </w:r>
          </w:p>
        </w:tc>
      </w:tr>
      <w:tr w:rsidR="00056231" w:rsidRPr="009D6CFF" w:rsidTr="00A40698">
        <w:trPr>
          <w:jc w:val="center"/>
        </w:trPr>
        <w:tc>
          <w:tcPr>
            <w:tcW w:w="2337" w:type="dxa"/>
          </w:tcPr>
          <w:p w:rsidR="00056231" w:rsidRPr="009D6CFF" w:rsidRDefault="00056231" w:rsidP="00056231">
            <w:pPr>
              <w:jc w:val="left"/>
              <w:rPr>
                <w:i/>
              </w:rPr>
            </w:pPr>
            <w:r>
              <w:t xml:space="preserve">  </w:t>
            </w:r>
            <w:r>
              <w:rPr>
                <w:i/>
              </w:rPr>
              <w:t>October 5, 2010</w:t>
            </w:r>
            <w:r w:rsidRPr="009D6CFF">
              <w:rPr>
                <w:i/>
              </w:rPr>
              <w:t>:</w:t>
            </w:r>
          </w:p>
        </w:tc>
        <w:tc>
          <w:tcPr>
            <w:tcW w:w="7743" w:type="dxa"/>
          </w:tcPr>
          <w:p w:rsidR="00056231" w:rsidRPr="009D6CFF" w:rsidRDefault="00056231" w:rsidP="00056231">
            <w:pPr>
              <w:jc w:val="left"/>
            </w:pPr>
            <w:r w:rsidRPr="009D6CFF">
              <w:t xml:space="preserve">Version </w:t>
            </w:r>
            <w:r>
              <w:t xml:space="preserve">2, </w:t>
            </w:r>
            <w:r w:rsidR="00217B02">
              <w:t xml:space="preserve">revised based on Ruth’s comments, </w:t>
            </w:r>
            <w:r w:rsidRPr="009D6CFF">
              <w:t xml:space="preserve">circulated for comment within The HDF Group. </w:t>
            </w:r>
          </w:p>
        </w:tc>
      </w:tr>
      <w:tr w:rsidR="00A40698" w:rsidRPr="009D6CFF">
        <w:trPr>
          <w:jc w:val="center"/>
        </w:trPr>
        <w:tc>
          <w:tcPr>
            <w:tcW w:w="2337" w:type="dxa"/>
          </w:tcPr>
          <w:p w:rsidR="00A40698" w:rsidRPr="009D6CFF" w:rsidRDefault="00A40698" w:rsidP="00A40698">
            <w:pPr>
              <w:jc w:val="left"/>
              <w:rPr>
                <w:rStyle w:val="Emphasis"/>
              </w:rPr>
            </w:pPr>
          </w:p>
        </w:tc>
        <w:tc>
          <w:tcPr>
            <w:tcW w:w="7743" w:type="dxa"/>
          </w:tcPr>
          <w:p w:rsidR="00A40698" w:rsidRPr="009D6CFF" w:rsidRDefault="00A40698" w:rsidP="00A40698">
            <w:pPr>
              <w:jc w:val="left"/>
              <w:rPr>
                <w:rStyle w:val="Emphasis"/>
              </w:rPr>
            </w:pPr>
          </w:p>
        </w:tc>
      </w:tr>
      <w:tr w:rsidR="00A40698" w:rsidRPr="009D6CFF">
        <w:trPr>
          <w:jc w:val="center"/>
        </w:trPr>
        <w:tc>
          <w:tcPr>
            <w:tcW w:w="2337" w:type="dxa"/>
          </w:tcPr>
          <w:p w:rsidR="00A40698" w:rsidRPr="009D6CFF" w:rsidRDefault="00A40698" w:rsidP="00A40698">
            <w:pPr>
              <w:jc w:val="left"/>
              <w:rPr>
                <w:rStyle w:val="Emphasis"/>
              </w:rPr>
            </w:pPr>
          </w:p>
        </w:tc>
        <w:tc>
          <w:tcPr>
            <w:tcW w:w="7743" w:type="dxa"/>
          </w:tcPr>
          <w:p w:rsidR="00A40698" w:rsidRPr="009D6CFF" w:rsidRDefault="00A40698" w:rsidP="00A40698">
            <w:pPr>
              <w:jc w:val="left"/>
              <w:rPr>
                <w:rStyle w:val="Emphasis"/>
              </w:rPr>
            </w:pPr>
          </w:p>
        </w:tc>
      </w:tr>
      <w:tr w:rsidR="00A40698" w:rsidRPr="009D6CFF">
        <w:trPr>
          <w:jc w:val="center"/>
        </w:trPr>
        <w:tc>
          <w:tcPr>
            <w:tcW w:w="2337" w:type="dxa"/>
          </w:tcPr>
          <w:p w:rsidR="00A40698" w:rsidRPr="009D6CFF" w:rsidRDefault="00A40698" w:rsidP="00A40698">
            <w:pPr>
              <w:jc w:val="left"/>
              <w:rPr>
                <w:rStyle w:val="Emphasis"/>
              </w:rPr>
            </w:pPr>
          </w:p>
        </w:tc>
        <w:tc>
          <w:tcPr>
            <w:tcW w:w="7743" w:type="dxa"/>
          </w:tcPr>
          <w:p w:rsidR="00A40698" w:rsidRPr="009D6CFF" w:rsidRDefault="00A40698" w:rsidP="00A40698">
            <w:pPr>
              <w:jc w:val="left"/>
              <w:rPr>
                <w:rStyle w:val="Emphasis"/>
              </w:rPr>
            </w:pPr>
          </w:p>
        </w:tc>
      </w:tr>
      <w:tr w:rsidR="00A40698" w:rsidRPr="009D6CFF">
        <w:trPr>
          <w:jc w:val="center"/>
        </w:trPr>
        <w:tc>
          <w:tcPr>
            <w:tcW w:w="2337" w:type="dxa"/>
          </w:tcPr>
          <w:p w:rsidR="00A40698" w:rsidRPr="009D6CFF" w:rsidRDefault="00A40698" w:rsidP="00A40698">
            <w:pPr>
              <w:jc w:val="left"/>
              <w:rPr>
                <w:rStyle w:val="Emphasis"/>
              </w:rPr>
            </w:pPr>
          </w:p>
        </w:tc>
        <w:tc>
          <w:tcPr>
            <w:tcW w:w="7743" w:type="dxa"/>
          </w:tcPr>
          <w:p w:rsidR="00A40698" w:rsidRPr="009D6CFF" w:rsidRDefault="00A40698" w:rsidP="00A40698">
            <w:pPr>
              <w:jc w:val="left"/>
              <w:rPr>
                <w:rStyle w:val="Emphasis"/>
              </w:rPr>
            </w:pPr>
          </w:p>
        </w:tc>
      </w:tr>
      <w:tr w:rsidR="00A40698" w:rsidRPr="009D6CFF">
        <w:trPr>
          <w:jc w:val="center"/>
        </w:trPr>
        <w:tc>
          <w:tcPr>
            <w:tcW w:w="2337" w:type="dxa"/>
          </w:tcPr>
          <w:p w:rsidR="00A40698" w:rsidRPr="009D6CFF" w:rsidRDefault="00A40698" w:rsidP="00A40698">
            <w:pPr>
              <w:jc w:val="left"/>
              <w:rPr>
                <w:rStyle w:val="Emphasis"/>
              </w:rPr>
            </w:pPr>
          </w:p>
        </w:tc>
        <w:tc>
          <w:tcPr>
            <w:tcW w:w="7743" w:type="dxa"/>
          </w:tcPr>
          <w:p w:rsidR="00A40698" w:rsidRPr="009D6CFF" w:rsidRDefault="00A40698" w:rsidP="00A40698">
            <w:pPr>
              <w:jc w:val="left"/>
              <w:rPr>
                <w:rStyle w:val="Emphasis"/>
              </w:rPr>
            </w:pPr>
          </w:p>
        </w:tc>
      </w:tr>
    </w:tbl>
    <w:p w:rsidR="00A40698" w:rsidRPr="00C62B71" w:rsidRDefault="00A40698" w:rsidP="00A40698">
      <w:pPr>
        <w:spacing w:after="0"/>
      </w:pPr>
    </w:p>
    <w:sectPr w:rsidR="00A40698" w:rsidRPr="00C62B71" w:rsidSect="00A40698">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C8D" w:rsidRDefault="00CC4C8D" w:rsidP="00A40698">
      <w:r>
        <w:separator/>
      </w:r>
    </w:p>
  </w:endnote>
  <w:endnote w:type="continuationSeparator" w:id="0">
    <w:p w:rsidR="00CC4C8D" w:rsidRDefault="00CC4C8D" w:rsidP="00A406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A40698" w:rsidRDefault="00A40698" w:rsidP="00A40698">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8B68E6">
                <w:rPr>
                  <w:noProof/>
                </w:rPr>
                <w:t>5</w:t>
              </w:r>
            </w:fldSimple>
            <w:r>
              <w:t xml:space="preserve"> of </w:t>
            </w:r>
            <w:fldSimple w:instr=" NUMPAGES  ">
              <w:r w:rsidR="008B68E6">
                <w:rPr>
                  <w:noProof/>
                </w:rPr>
                <w:t>5</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A40698" w:rsidRDefault="00A40698" w:rsidP="00A40698">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8B68E6">
                <w:rPr>
                  <w:noProof/>
                </w:rPr>
                <w:t>1</w:t>
              </w:r>
            </w:fldSimple>
            <w:r>
              <w:t xml:space="preserve"> of </w:t>
            </w:r>
            <w:fldSimple w:instr=" NUMPAGES  ">
              <w:r w:rsidR="008B68E6">
                <w:rPr>
                  <w:noProof/>
                </w:rPr>
                <w:t>5</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C8D" w:rsidRDefault="00CC4C8D" w:rsidP="00A40698">
      <w:r>
        <w:separator/>
      </w:r>
    </w:p>
  </w:footnote>
  <w:footnote w:type="continuationSeparator" w:id="0">
    <w:p w:rsidR="00CC4C8D" w:rsidRDefault="00CC4C8D" w:rsidP="00A406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698" w:rsidRPr="007101A3" w:rsidRDefault="007201A1" w:rsidP="00A40698">
    <w:pPr>
      <w:pStyle w:val="THGHeader"/>
    </w:pPr>
    <w:r>
      <w:t>October 5, 2010</w:t>
    </w:r>
    <w:r w:rsidR="00A40698">
      <w:ptab w:relativeTo="margin" w:alignment="center" w:leader="none"/>
    </w:r>
    <w:r w:rsidR="00A40698">
      <w:ptab w:relativeTo="margin" w:alignment="right" w:leader="none"/>
    </w:r>
    <w:r w:rsidR="00A40698">
      <w:t>RFC THG 2010-07-27.</w:t>
    </w:r>
    <w:r>
      <w:t>v2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698" w:rsidRPr="006D4EA4" w:rsidRDefault="007201A1" w:rsidP="00A40698">
    <w:pPr>
      <w:pStyle w:val="THGHeader"/>
    </w:pPr>
    <w:r>
      <w:t>October 5, 2010</w:t>
    </w:r>
    <w:r w:rsidR="00A40698">
      <w:ptab w:relativeTo="margin" w:alignment="center" w:leader="none"/>
    </w:r>
    <w:r w:rsidR="00A40698">
      <w:ptab w:relativeTo="margin" w:alignment="right" w:leader="none"/>
    </w:r>
    <w:r w:rsidR="00A40698">
      <w:t>RFC THG 2010-07-27.</w:t>
    </w:r>
    <w:r>
      <w:t>v2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5F29A8"/>
    <w:multiLevelType w:val="hybridMultilevel"/>
    <w:tmpl w:val="973A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A96A4B"/>
    <w:multiLevelType w:val="hybridMultilevel"/>
    <w:tmpl w:val="0578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7"/>
  </w:num>
  <w:num w:numId="4">
    <w:abstractNumId w:val="2"/>
  </w:num>
  <w:num w:numId="5">
    <w:abstractNumId w:val="1"/>
  </w:num>
  <w:num w:numId="6">
    <w:abstractNumId w:val="0"/>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5"/>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4"/>
  </w:num>
  <w:num w:numId="20">
    <w:abstractNumId w:val="12"/>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3"/>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7"/>
  </w:num>
  <w:num w:numId="44">
    <w:abstractNumId w:val="15"/>
  </w:num>
  <w:num w:numId="45">
    <w:abstractNumId w:val="12"/>
  </w:num>
  <w:num w:numId="46">
    <w:abstractNumId w:val="7"/>
    <w:lvlOverride w:ilvl="0">
      <w:startOverride w:val="1"/>
    </w:lvlOverride>
  </w:num>
  <w:num w:numId="47">
    <w:abstractNumId w:val="10"/>
  </w:num>
  <w:num w:numId="48">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trackRevisions/>
  <w:doNotTrackMoves/>
  <w:defaultTabStop w:val="720"/>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231BC5"/>
    <w:rsid w:val="00025747"/>
    <w:rsid w:val="00056231"/>
    <w:rsid w:val="000757BE"/>
    <w:rsid w:val="0008479B"/>
    <w:rsid w:val="000C7B7D"/>
    <w:rsid w:val="000D1FB7"/>
    <w:rsid w:val="000F5444"/>
    <w:rsid w:val="00164C36"/>
    <w:rsid w:val="00195141"/>
    <w:rsid w:val="001A0832"/>
    <w:rsid w:val="001A7847"/>
    <w:rsid w:val="001E4CD6"/>
    <w:rsid w:val="0021746A"/>
    <w:rsid w:val="00217B02"/>
    <w:rsid w:val="002217D7"/>
    <w:rsid w:val="00231BC5"/>
    <w:rsid w:val="002330C0"/>
    <w:rsid w:val="00283FB8"/>
    <w:rsid w:val="002E290C"/>
    <w:rsid w:val="003062F6"/>
    <w:rsid w:val="003109DE"/>
    <w:rsid w:val="003D0A94"/>
    <w:rsid w:val="003E0B04"/>
    <w:rsid w:val="00505BE3"/>
    <w:rsid w:val="006106EE"/>
    <w:rsid w:val="00640C67"/>
    <w:rsid w:val="00681B0C"/>
    <w:rsid w:val="007201A1"/>
    <w:rsid w:val="007379D6"/>
    <w:rsid w:val="007760A0"/>
    <w:rsid w:val="007E3667"/>
    <w:rsid w:val="008102E1"/>
    <w:rsid w:val="0081401D"/>
    <w:rsid w:val="008B5989"/>
    <w:rsid w:val="008B68E6"/>
    <w:rsid w:val="008C6392"/>
    <w:rsid w:val="00921A33"/>
    <w:rsid w:val="009D5F2B"/>
    <w:rsid w:val="009F5BDB"/>
    <w:rsid w:val="00A26DCB"/>
    <w:rsid w:val="00A40698"/>
    <w:rsid w:val="00A53A5F"/>
    <w:rsid w:val="00B12C7D"/>
    <w:rsid w:val="00B73890"/>
    <w:rsid w:val="00B812FA"/>
    <w:rsid w:val="00BF6AFF"/>
    <w:rsid w:val="00CA7284"/>
    <w:rsid w:val="00CC4C8D"/>
    <w:rsid w:val="00D57FD8"/>
    <w:rsid w:val="00E548BC"/>
    <w:rsid w:val="00EF2BF6"/>
    <w:rsid w:val="00F908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5" w:qFormat="1"/>
    <w:lsdException w:name="List Bullet" w:qFormat="1"/>
    <w:lsdException w:name="List Number" w:uiPriority="5" w:qFormat="1"/>
    <w:lsdException w:name="List 2" w:uiPriority="5"/>
    <w:lsdException w:name="List Number 2" w:uiPriority="5" w:qFormat="1"/>
    <w:lsdException w:name="Title" w:semiHidden="0" w:uiPriority="17" w:unhideWhenUsed="0" w:qFormat="1"/>
    <w:lsdException w:name="Default Paragraph Font" w:uiPriority="1"/>
    <w:lsdException w:name="Subtitle" w:semiHidden="0" w:uiPriority="11" w:unhideWhenUsed="0"/>
    <w:lsdException w:name="Strong" w:semiHidden="0" w:uiPriority="11" w:unhideWhenUsed="0" w:qFormat="1"/>
    <w:lsdException w:name="Emphasis" w:semiHidden="0" w:uiPriority="11" w:unhideWhenUsed="0" w:qFormat="1"/>
    <w:lsdException w:name="Plain Text" w:uiPriority="7" w:qFormat="1"/>
    <w:lsdException w:name="Table Grid" w:semiHidden="0" w:uiPriority="59" w:unhideWhenUsed="0"/>
    <w:lsdException w:name="Placeholder Text" w:unhideWhenUsed="0"/>
    <w:lsdException w:name="No Spacing" w:semiHidden="0" w:uiPriority="2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1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D6"/>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7379D6"/>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7379D6"/>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7379D6"/>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7379D6"/>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7379D6"/>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7379D6"/>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7379D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7379D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7379D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7379D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7379D6"/>
  </w:style>
  <w:style w:type="paragraph" w:styleId="BalloonText">
    <w:name w:val="Balloon Text"/>
    <w:basedOn w:val="Normal"/>
    <w:link w:val="BalloonTextChar"/>
    <w:uiPriority w:val="99"/>
    <w:semiHidden/>
    <w:unhideWhenUsed/>
    <w:rsid w:val="007379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9D6"/>
    <w:rPr>
      <w:rFonts w:ascii="Tahoma" w:hAnsi="Tahoma" w:cs="Tahoma"/>
      <w:sz w:val="16"/>
      <w:szCs w:val="16"/>
    </w:rPr>
  </w:style>
  <w:style w:type="paragraph" w:styleId="PlainText">
    <w:name w:val="Plain Text"/>
    <w:basedOn w:val="Normal"/>
    <w:link w:val="PlainTextChar"/>
    <w:uiPriority w:val="7"/>
    <w:qFormat/>
    <w:rsid w:val="007379D6"/>
    <w:pPr>
      <w:spacing w:after="0"/>
    </w:pPr>
    <w:rPr>
      <w:rFonts w:ascii="Consolas" w:hAnsi="Consolas"/>
      <w:sz w:val="21"/>
      <w:szCs w:val="21"/>
    </w:rPr>
  </w:style>
  <w:style w:type="character" w:customStyle="1" w:styleId="PlainTextChar">
    <w:name w:val="Plain Text Char"/>
    <w:basedOn w:val="DefaultParagraphFont"/>
    <w:link w:val="PlainText"/>
    <w:uiPriority w:val="7"/>
    <w:rsid w:val="007379D6"/>
    <w:rPr>
      <w:rFonts w:ascii="Consolas" w:hAnsi="Consolas"/>
      <w:sz w:val="21"/>
      <w:szCs w:val="21"/>
    </w:rPr>
  </w:style>
  <w:style w:type="paragraph" w:styleId="NoSpacing">
    <w:name w:val="No Spacing"/>
    <w:uiPriority w:val="24"/>
    <w:unhideWhenUsed/>
    <w:rsid w:val="007379D6"/>
  </w:style>
  <w:style w:type="paragraph" w:styleId="Header">
    <w:name w:val="header"/>
    <w:basedOn w:val="Normal"/>
    <w:link w:val="HeaderChar"/>
    <w:uiPriority w:val="99"/>
    <w:unhideWhenUsed/>
    <w:rsid w:val="007379D6"/>
    <w:pPr>
      <w:tabs>
        <w:tab w:val="center" w:pos="4680"/>
        <w:tab w:val="right" w:pos="9360"/>
      </w:tabs>
      <w:spacing w:after="0"/>
    </w:pPr>
  </w:style>
  <w:style w:type="character" w:customStyle="1" w:styleId="HeaderChar">
    <w:name w:val="Header Char"/>
    <w:basedOn w:val="DefaultParagraphFont"/>
    <w:link w:val="Header"/>
    <w:uiPriority w:val="99"/>
    <w:rsid w:val="007379D6"/>
    <w:rPr>
      <w:rFonts w:asciiTheme="minorHAnsi" w:hAnsiTheme="minorHAnsi"/>
      <w:sz w:val="24"/>
    </w:rPr>
  </w:style>
  <w:style w:type="paragraph" w:styleId="Footer">
    <w:name w:val="footer"/>
    <w:basedOn w:val="Normal"/>
    <w:link w:val="FooterChar"/>
    <w:uiPriority w:val="99"/>
    <w:rsid w:val="007379D6"/>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7379D6"/>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7379D6"/>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7379D6"/>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7379D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7379D6"/>
    <w:rPr>
      <w:color w:val="0000FF" w:themeColor="hyperlink"/>
      <w:u w:val="single"/>
    </w:rPr>
  </w:style>
  <w:style w:type="character" w:customStyle="1" w:styleId="Heading2Char">
    <w:name w:val="Heading 2 Char"/>
    <w:basedOn w:val="DefaultParagraphFont"/>
    <w:link w:val="Heading2"/>
    <w:uiPriority w:val="2"/>
    <w:rsid w:val="007379D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7379D6"/>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7379D6"/>
    <w:rPr>
      <w:rFonts w:eastAsiaTheme="majorEastAsia" w:cstheme="majorBidi"/>
      <w:b/>
      <w:bCs/>
      <w:i/>
      <w:iCs/>
      <w:sz w:val="24"/>
    </w:rPr>
  </w:style>
  <w:style w:type="character" w:customStyle="1" w:styleId="Heading5Char">
    <w:name w:val="Heading 5 Char"/>
    <w:basedOn w:val="DefaultParagraphFont"/>
    <w:link w:val="Heading5"/>
    <w:uiPriority w:val="16"/>
    <w:semiHidden/>
    <w:rsid w:val="007379D6"/>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7379D6"/>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7379D6"/>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7379D6"/>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7379D6"/>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7379D6"/>
    <w:rPr>
      <w:sz w:val="16"/>
      <w:szCs w:val="16"/>
    </w:rPr>
  </w:style>
  <w:style w:type="paragraph" w:styleId="CommentText">
    <w:name w:val="annotation text"/>
    <w:basedOn w:val="Normal"/>
    <w:link w:val="CommentTextChar"/>
    <w:uiPriority w:val="99"/>
    <w:semiHidden/>
    <w:unhideWhenUsed/>
    <w:rsid w:val="007379D6"/>
    <w:rPr>
      <w:sz w:val="20"/>
      <w:szCs w:val="20"/>
    </w:rPr>
  </w:style>
  <w:style w:type="character" w:customStyle="1" w:styleId="CommentTextChar">
    <w:name w:val="Comment Text Char"/>
    <w:basedOn w:val="DefaultParagraphFont"/>
    <w:link w:val="CommentText"/>
    <w:uiPriority w:val="99"/>
    <w:semiHidden/>
    <w:rsid w:val="007379D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7379D6"/>
    <w:rPr>
      <w:b/>
      <w:bCs/>
    </w:rPr>
  </w:style>
  <w:style w:type="character" w:customStyle="1" w:styleId="CommentSubjectChar">
    <w:name w:val="Comment Subject Char"/>
    <w:basedOn w:val="CommentTextChar"/>
    <w:link w:val="CommentSubject"/>
    <w:uiPriority w:val="99"/>
    <w:semiHidden/>
    <w:rsid w:val="007379D6"/>
    <w:rPr>
      <w:b/>
      <w:bCs/>
    </w:rPr>
  </w:style>
  <w:style w:type="paragraph" w:styleId="ListParagraph">
    <w:name w:val="List Paragraph"/>
    <w:aliases w:val="List Paragraph2"/>
    <w:basedOn w:val="Normal"/>
    <w:uiPriority w:val="5"/>
    <w:qFormat/>
    <w:rsid w:val="007379D6"/>
    <w:pPr>
      <w:ind w:left="720"/>
      <w:jc w:val="left"/>
    </w:pPr>
  </w:style>
  <w:style w:type="paragraph" w:styleId="Revision">
    <w:name w:val="Revision"/>
    <w:hidden/>
    <w:uiPriority w:val="99"/>
    <w:semiHidden/>
    <w:rsid w:val="007379D6"/>
    <w:rPr>
      <w:sz w:val="24"/>
    </w:rPr>
  </w:style>
  <w:style w:type="paragraph" w:customStyle="1" w:styleId="Heading">
    <w:name w:val="Heading"/>
    <w:basedOn w:val="Heading1"/>
    <w:next w:val="Normal"/>
    <w:autoRedefine/>
    <w:uiPriority w:val="2"/>
    <w:qFormat/>
    <w:rsid w:val="007379D6"/>
    <w:pPr>
      <w:numPr>
        <w:numId w:val="0"/>
      </w:numPr>
    </w:pPr>
    <w:rPr>
      <w:color w:val="auto"/>
    </w:rPr>
  </w:style>
  <w:style w:type="paragraph" w:customStyle="1" w:styleId="Author">
    <w:name w:val="Author"/>
    <w:basedOn w:val="Title"/>
    <w:link w:val="AuthorChar"/>
    <w:autoRedefine/>
    <w:uiPriority w:val="18"/>
    <w:qFormat/>
    <w:rsid w:val="007379D6"/>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7379D6"/>
    <w:pPr>
      <w:spacing w:before="200"/>
      <w:jc w:val="left"/>
    </w:pPr>
    <w:rPr>
      <w:sz w:val="26"/>
    </w:rPr>
  </w:style>
  <w:style w:type="character" w:customStyle="1" w:styleId="AuthorChar">
    <w:name w:val="Author Char"/>
    <w:basedOn w:val="TitleChar"/>
    <w:link w:val="Author"/>
    <w:uiPriority w:val="18"/>
    <w:rsid w:val="007379D6"/>
    <w:rPr>
      <w:sz w:val="28"/>
      <w:szCs w:val="32"/>
    </w:rPr>
  </w:style>
  <w:style w:type="character" w:styleId="Emphasis">
    <w:name w:val="Emphasis"/>
    <w:basedOn w:val="DefaultParagraphFont"/>
    <w:uiPriority w:val="11"/>
    <w:qFormat/>
    <w:rsid w:val="007379D6"/>
    <w:rPr>
      <w:i/>
      <w:iCs/>
    </w:rPr>
  </w:style>
  <w:style w:type="character" w:styleId="IntenseEmphasis">
    <w:name w:val="Intense Emphasis"/>
    <w:basedOn w:val="DefaultParagraphFont"/>
    <w:uiPriority w:val="11"/>
    <w:qFormat/>
    <w:rsid w:val="007379D6"/>
    <w:rPr>
      <w:b/>
      <w:bCs/>
      <w:i/>
      <w:iCs/>
      <w:color w:val="auto"/>
    </w:rPr>
  </w:style>
  <w:style w:type="character" w:styleId="Strong">
    <w:name w:val="Strong"/>
    <w:basedOn w:val="DefaultParagraphFont"/>
    <w:uiPriority w:val="11"/>
    <w:qFormat/>
    <w:rsid w:val="007379D6"/>
    <w:rPr>
      <w:b/>
      <w:bCs/>
    </w:rPr>
  </w:style>
  <w:style w:type="paragraph" w:styleId="Quote">
    <w:name w:val="Quote"/>
    <w:basedOn w:val="Normal"/>
    <w:next w:val="Normal"/>
    <w:link w:val="QuoteChar"/>
    <w:uiPriority w:val="29"/>
    <w:rsid w:val="007379D6"/>
    <w:rPr>
      <w:i/>
      <w:iCs/>
      <w:color w:val="000000" w:themeColor="text1"/>
    </w:rPr>
  </w:style>
  <w:style w:type="character" w:customStyle="1" w:styleId="QuoteChar">
    <w:name w:val="Quote Char"/>
    <w:basedOn w:val="DefaultParagraphFont"/>
    <w:link w:val="Quote"/>
    <w:uiPriority w:val="29"/>
    <w:rsid w:val="007379D6"/>
    <w:rPr>
      <w:rFonts w:asciiTheme="minorHAnsi" w:hAnsiTheme="minorHAnsi"/>
      <w:i/>
      <w:iCs/>
      <w:color w:val="000000" w:themeColor="text1"/>
      <w:sz w:val="24"/>
    </w:rPr>
  </w:style>
  <w:style w:type="paragraph" w:styleId="List">
    <w:name w:val="List"/>
    <w:basedOn w:val="Normal"/>
    <w:uiPriority w:val="5"/>
    <w:qFormat/>
    <w:rsid w:val="007379D6"/>
    <w:pPr>
      <w:ind w:left="360" w:hanging="360"/>
      <w:contextualSpacing/>
    </w:pPr>
  </w:style>
  <w:style w:type="paragraph" w:styleId="ListNumber">
    <w:name w:val="List Number"/>
    <w:basedOn w:val="Normal"/>
    <w:uiPriority w:val="5"/>
    <w:qFormat/>
    <w:rsid w:val="007379D6"/>
    <w:pPr>
      <w:ind w:left="360" w:hanging="360"/>
      <w:contextualSpacing/>
    </w:pPr>
  </w:style>
  <w:style w:type="paragraph" w:styleId="ListNumber2">
    <w:name w:val="List Number 2"/>
    <w:basedOn w:val="Normal"/>
    <w:uiPriority w:val="5"/>
    <w:qFormat/>
    <w:rsid w:val="007379D6"/>
    <w:pPr>
      <w:numPr>
        <w:numId w:val="7"/>
      </w:numPr>
      <w:spacing w:after="40"/>
      <w:jc w:val="left"/>
    </w:pPr>
    <w:rPr>
      <w:szCs w:val="24"/>
    </w:rPr>
  </w:style>
  <w:style w:type="paragraph" w:styleId="ListNumber3">
    <w:name w:val="List Number 3"/>
    <w:basedOn w:val="Normal"/>
    <w:autoRedefine/>
    <w:uiPriority w:val="99"/>
    <w:semiHidden/>
    <w:unhideWhenUsed/>
    <w:rsid w:val="007379D6"/>
    <w:pPr>
      <w:numPr>
        <w:numId w:val="4"/>
      </w:numPr>
      <w:contextualSpacing/>
    </w:pPr>
  </w:style>
  <w:style w:type="paragraph" w:styleId="ListNumber4">
    <w:name w:val="List Number 4"/>
    <w:basedOn w:val="Normal"/>
    <w:autoRedefine/>
    <w:uiPriority w:val="99"/>
    <w:semiHidden/>
    <w:unhideWhenUsed/>
    <w:rsid w:val="007379D6"/>
    <w:pPr>
      <w:numPr>
        <w:numId w:val="5"/>
      </w:numPr>
      <w:contextualSpacing/>
    </w:pPr>
  </w:style>
  <w:style w:type="paragraph" w:styleId="ListNumber5">
    <w:name w:val="List Number 5"/>
    <w:basedOn w:val="Normal"/>
    <w:autoRedefine/>
    <w:uiPriority w:val="99"/>
    <w:unhideWhenUsed/>
    <w:rsid w:val="007379D6"/>
    <w:pPr>
      <w:numPr>
        <w:numId w:val="6"/>
      </w:numPr>
      <w:contextualSpacing/>
    </w:pPr>
  </w:style>
  <w:style w:type="paragraph" w:styleId="List2">
    <w:name w:val="List 2"/>
    <w:basedOn w:val="Normal"/>
    <w:uiPriority w:val="5"/>
    <w:rsid w:val="007379D6"/>
    <w:pPr>
      <w:ind w:left="720" w:hanging="360"/>
      <w:contextualSpacing/>
    </w:pPr>
  </w:style>
  <w:style w:type="paragraph" w:customStyle="1" w:styleId="ListAlpha3">
    <w:name w:val="List Alpha 3"/>
    <w:basedOn w:val="ListNumber2"/>
    <w:uiPriority w:val="6"/>
    <w:qFormat/>
    <w:rsid w:val="007379D6"/>
    <w:pPr>
      <w:numPr>
        <w:numId w:val="20"/>
      </w:numPr>
    </w:pPr>
  </w:style>
  <w:style w:type="paragraph" w:customStyle="1" w:styleId="HDFFooter">
    <w:name w:val="HDF Footer"/>
    <w:basedOn w:val="Footer"/>
    <w:link w:val="HDFFooterChar"/>
    <w:uiPriority w:val="23"/>
    <w:qFormat/>
    <w:rsid w:val="007379D6"/>
    <w:pPr>
      <w:pBdr>
        <w:top w:val="single" w:sz="8" w:space="1" w:color="4F81BD" w:themeColor="accent1"/>
      </w:pBdr>
    </w:pPr>
  </w:style>
  <w:style w:type="paragraph" w:customStyle="1" w:styleId="THGHeader">
    <w:name w:val="THG Header"/>
    <w:basedOn w:val="Header"/>
    <w:link w:val="THGHeaderChar"/>
    <w:uiPriority w:val="21"/>
    <w:qFormat/>
    <w:rsid w:val="007379D6"/>
  </w:style>
  <w:style w:type="character" w:customStyle="1" w:styleId="HDFFooterChar">
    <w:name w:val="HDF Footer Char"/>
    <w:basedOn w:val="FooterChar"/>
    <w:link w:val="HDFFooter"/>
    <w:uiPriority w:val="23"/>
    <w:rsid w:val="007379D6"/>
  </w:style>
  <w:style w:type="paragraph" w:customStyle="1" w:styleId="THGHeader2">
    <w:name w:val="THG Header2"/>
    <w:basedOn w:val="Header"/>
    <w:link w:val="THGHeader2Char"/>
    <w:uiPriority w:val="22"/>
    <w:qFormat/>
    <w:rsid w:val="007379D6"/>
    <w:pPr>
      <w:pBdr>
        <w:bottom w:val="single" w:sz="8" w:space="1" w:color="4F81BD" w:themeColor="accent1"/>
      </w:pBdr>
    </w:pPr>
  </w:style>
  <w:style w:type="character" w:customStyle="1" w:styleId="THGHeaderChar">
    <w:name w:val="THG Header Char"/>
    <w:basedOn w:val="HeaderChar"/>
    <w:link w:val="THGHeader"/>
    <w:uiPriority w:val="21"/>
    <w:rsid w:val="007379D6"/>
  </w:style>
  <w:style w:type="character" w:customStyle="1" w:styleId="THGHeader2Char">
    <w:name w:val="THG Header2 Char"/>
    <w:basedOn w:val="HeaderChar"/>
    <w:link w:val="THGHeader2"/>
    <w:uiPriority w:val="22"/>
    <w:rsid w:val="007379D6"/>
  </w:style>
  <w:style w:type="paragraph" w:customStyle="1" w:styleId="Abstract">
    <w:name w:val="Abstract"/>
    <w:basedOn w:val="Normal"/>
    <w:uiPriority w:val="19"/>
    <w:qFormat/>
    <w:rsid w:val="007379D6"/>
    <w:pPr>
      <w:ind w:left="720" w:right="720"/>
    </w:pPr>
  </w:style>
  <w:style w:type="paragraph" w:customStyle="1" w:styleId="Divider">
    <w:name w:val="Divider"/>
    <w:basedOn w:val="Author"/>
    <w:next w:val="Heading1"/>
    <w:uiPriority w:val="20"/>
    <w:qFormat/>
    <w:rsid w:val="007379D6"/>
    <w:pPr>
      <w:spacing w:line="14" w:lineRule="auto"/>
    </w:pPr>
    <w:rPr>
      <w:b w:val="0"/>
      <w:sz w:val="22"/>
    </w:rPr>
  </w:style>
  <w:style w:type="table" w:styleId="TableGrid">
    <w:name w:val="Table Grid"/>
    <w:basedOn w:val="TableNormal"/>
    <w:uiPriority w:val="59"/>
    <w:rsid w:val="00737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347879"/>
  </w:style>
  <w:style w:type="paragraph" w:styleId="Caption">
    <w:name w:val="caption"/>
    <w:basedOn w:val="Normal"/>
    <w:next w:val="Normal"/>
    <w:uiPriority w:val="35"/>
    <w:unhideWhenUsed/>
    <w:qFormat/>
    <w:rsid w:val="007379D6"/>
    <w:pPr>
      <w:spacing w:after="200"/>
    </w:pPr>
    <w:rPr>
      <w:b/>
      <w:bCs/>
      <w:color w:val="4F81BD" w:themeColor="accent1"/>
      <w:sz w:val="18"/>
      <w:szCs w:val="18"/>
    </w:rPr>
  </w:style>
  <w:style w:type="paragraph" w:customStyle="1" w:styleId="TableCaption">
    <w:name w:val="Table Caption"/>
    <w:basedOn w:val="Caption"/>
    <w:qFormat/>
    <w:rsid w:val="007379D6"/>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7379D6"/>
    <w:pPr>
      <w:spacing w:before="160"/>
      <w:jc w:val="left"/>
    </w:pPr>
  </w:style>
  <w:style w:type="paragraph" w:customStyle="1" w:styleId="TableFootnote">
    <w:name w:val="Table Footnote"/>
    <w:basedOn w:val="Normal"/>
    <w:qFormat/>
    <w:rsid w:val="007379D6"/>
    <w:rPr>
      <w:sz w:val="20"/>
    </w:rPr>
  </w:style>
  <w:style w:type="paragraph" w:customStyle="1" w:styleId="Figure">
    <w:name w:val="Figure"/>
    <w:basedOn w:val="Normal"/>
    <w:qFormat/>
    <w:rsid w:val="007379D6"/>
    <w:pPr>
      <w:jc w:val="center"/>
    </w:pPr>
  </w:style>
  <w:style w:type="paragraph" w:customStyle="1" w:styleId="FigureCaption">
    <w:name w:val="Figure Caption"/>
    <w:basedOn w:val="TableCaption"/>
    <w:qFormat/>
    <w:rsid w:val="007379D6"/>
  </w:style>
  <w:style w:type="paragraph" w:customStyle="1" w:styleId="ListNumberReference">
    <w:name w:val="List Number Reference"/>
    <w:basedOn w:val="ListNumber"/>
    <w:qFormat/>
    <w:rsid w:val="007379D6"/>
    <w:pPr>
      <w:numPr>
        <w:numId w:val="46"/>
      </w:numPr>
    </w:pPr>
  </w:style>
  <w:style w:type="table" w:styleId="MediumShading1-Accent3">
    <w:name w:val="Medium Shading 1 Accent 3"/>
    <w:basedOn w:val="TableNormal"/>
    <w:uiPriority w:val="63"/>
    <w:rsid w:val="008140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E366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1240602576">
      <w:bodyDiv w:val="1"/>
      <w:marLeft w:val="0"/>
      <w:marRight w:val="0"/>
      <w:marTop w:val="0"/>
      <w:marBottom w:val="0"/>
      <w:divBdr>
        <w:top w:val="none" w:sz="0" w:space="0" w:color="auto"/>
        <w:left w:val="none" w:sz="0" w:space="0" w:color="auto"/>
        <w:bottom w:val="none" w:sz="0" w:space="0" w:color="auto"/>
        <w:right w:val="none" w:sz="0" w:space="0" w:color="auto"/>
      </w:divBdr>
      <w:divsChild>
        <w:div w:id="903685822">
          <w:marLeft w:val="0"/>
          <w:marRight w:val="0"/>
          <w:marTop w:val="0"/>
          <w:marBottom w:val="0"/>
          <w:divBdr>
            <w:top w:val="none" w:sz="0" w:space="0" w:color="auto"/>
            <w:left w:val="none" w:sz="0" w:space="0" w:color="auto"/>
            <w:bottom w:val="none" w:sz="0" w:space="0" w:color="auto"/>
            <w:right w:val="none" w:sz="0" w:space="0" w:color="auto"/>
          </w:divBdr>
        </w:div>
        <w:div w:id="1219852503">
          <w:marLeft w:val="0"/>
          <w:marRight w:val="0"/>
          <w:marTop w:val="0"/>
          <w:marBottom w:val="0"/>
          <w:divBdr>
            <w:top w:val="none" w:sz="0" w:space="0" w:color="auto"/>
            <w:left w:val="none" w:sz="0" w:space="0" w:color="auto"/>
            <w:bottom w:val="none" w:sz="0" w:space="0" w:color="auto"/>
            <w:right w:val="none" w:sz="0" w:space="0" w:color="auto"/>
          </w:divBdr>
        </w:div>
        <w:div w:id="1652707589">
          <w:marLeft w:val="0"/>
          <w:marRight w:val="0"/>
          <w:marTop w:val="0"/>
          <w:marBottom w:val="0"/>
          <w:divBdr>
            <w:top w:val="none" w:sz="0" w:space="0" w:color="auto"/>
            <w:left w:val="none" w:sz="0" w:space="0" w:color="auto"/>
            <w:bottom w:val="none" w:sz="0" w:space="0" w:color="auto"/>
            <w:right w:val="none" w:sz="0" w:space="0" w:color="auto"/>
          </w:divBdr>
        </w:div>
        <w:div w:id="1757164772">
          <w:marLeft w:val="0"/>
          <w:marRight w:val="0"/>
          <w:marTop w:val="0"/>
          <w:marBottom w:val="0"/>
          <w:divBdr>
            <w:top w:val="none" w:sz="0" w:space="0" w:color="auto"/>
            <w:left w:val="none" w:sz="0" w:space="0" w:color="auto"/>
            <w:bottom w:val="none" w:sz="0" w:space="0" w:color="auto"/>
            <w:right w:val="none" w:sz="0" w:space="0" w:color="auto"/>
          </w:divBdr>
        </w:div>
        <w:div w:id="1939562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hdfgroup.uiuc.edu/RFC/HDF5/tools/h5diff/ignore_obj/"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hdfgroup-import.pbworks.com/h5watch"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49846-35A8-490A-AA1D-A2AF6FFD3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293</TotalTime>
  <Pages>5</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hdfadmin</dc:creator>
  <cp:lastModifiedBy>hdfadmin</cp:lastModifiedBy>
  <cp:revision>32</cp:revision>
  <cp:lastPrinted>2010-07-28T22:01:00Z</cp:lastPrinted>
  <dcterms:created xsi:type="dcterms:W3CDTF">2010-10-05T14:20:00Z</dcterms:created>
  <dcterms:modified xsi:type="dcterms:W3CDTF">2010-10-05T19:47:00Z</dcterms:modified>
</cp:coreProperties>
</file>